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22, 2025</w:t>
      </w:r>
    </w:p>
    <w:p>
      <w:pPr>
        <w:spacing w:after="0" w:line="1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Invivyd,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9" w:lineRule="exact"/>
        <w:rPr>
          <w:sz w:val="24"/>
          <w:szCs w:val="24"/>
          <w:color w:val="auto"/>
        </w:rPr>
      </w:pPr>
    </w:p>
    <w:tbl>
      <w:tblPr>
        <w:tblLayout w:type="fixed"/>
        <w:tblInd w:w="1100" w:type="dxa"/>
        <w:tblCellMar>
          <w:top w:w="0" w:type="dxa"/>
          <w:left w:w="0" w:type="dxa"/>
          <w:bottom w:w="0" w:type="dxa"/>
          <w:right w:w="0" w:type="dxa"/>
        </w:tblCellMar>
      </w:tblPr>
      <w:tr>
        <w:trPr>
          <w:trHeight w:val="214"/>
        </w:trPr>
        <w:tc>
          <w:tcPr>
            <w:tcW w:w="3560" w:type="dxa"/>
            <w:vAlign w:val="bottom"/>
          </w:tcPr>
          <w:p>
            <w:pPr>
              <w:jc w:val="center"/>
              <w:ind w:right="177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72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001-40703</w:t>
            </w:r>
          </w:p>
        </w:tc>
        <w:tc>
          <w:tcPr>
            <w:tcW w:w="2740" w:type="dxa"/>
            <w:vAlign w:val="bottom"/>
          </w:tcPr>
          <w:p>
            <w:pPr>
              <w:jc w:val="center"/>
              <w:ind w:left="1561"/>
              <w:spacing w:after="0"/>
              <w:rPr>
                <w:sz w:val="20"/>
                <w:szCs w:val="20"/>
                <w:color w:val="auto"/>
              </w:rPr>
            </w:pPr>
            <w:r>
              <w:rPr>
                <w:rFonts w:ascii="Times New Roman" w:cs="Times New Roman" w:eastAsia="Times New Roman" w:hAnsi="Times New Roman"/>
                <w:sz w:val="18"/>
                <w:szCs w:val="18"/>
                <w:b w:val="1"/>
                <w:bCs w:val="1"/>
                <w:color w:val="auto"/>
                <w:w w:val="98"/>
              </w:rPr>
              <w:t>85-1403134</w:t>
            </w:r>
          </w:p>
        </w:tc>
      </w:tr>
      <w:tr>
        <w:trPr>
          <w:trHeight w:val="148"/>
        </w:trPr>
        <w:tc>
          <w:tcPr>
            <w:tcW w:w="3560" w:type="dxa"/>
            <w:vAlign w:val="bottom"/>
          </w:tcPr>
          <w:p>
            <w:pPr>
              <w:jc w:val="center"/>
              <w:ind w:right="17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72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40" w:type="dxa"/>
            <w:vAlign w:val="bottom"/>
          </w:tcPr>
          <w:p>
            <w:pPr>
              <w:jc w:val="center"/>
              <w:ind w:left="15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60" w:type="dxa"/>
            <w:vAlign w:val="bottom"/>
          </w:tcPr>
          <w:p>
            <w:pPr>
              <w:jc w:val="center"/>
              <w:ind w:right="17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72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40" w:type="dxa"/>
            <w:vAlign w:val="bottom"/>
          </w:tcPr>
          <w:p>
            <w:pPr>
              <w:jc w:val="center"/>
              <w:ind w:left="15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2"/>
        </w:trPr>
        <w:tc>
          <w:tcPr>
            <w:tcW w:w="356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9"/>
              </w:rPr>
              <w:t>1601 Trapelo Road, Suite 178</w:t>
            </w:r>
          </w:p>
        </w:tc>
        <w:tc>
          <w:tcPr>
            <w:tcW w:w="272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27"/>
        </w:trPr>
        <w:tc>
          <w:tcPr>
            <w:tcW w:w="356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2720" w:type="dxa"/>
            <w:vAlign w:val="bottom"/>
          </w:tcPr>
          <w:p>
            <w:pPr>
              <w:spacing w:after="0"/>
              <w:rPr>
                <w:sz w:val="19"/>
                <w:szCs w:val="19"/>
                <w:color w:val="auto"/>
              </w:rPr>
            </w:pPr>
          </w:p>
        </w:tc>
        <w:tc>
          <w:tcPr>
            <w:tcW w:w="2740" w:type="dxa"/>
            <w:vAlign w:val="bottom"/>
          </w:tcPr>
          <w:p>
            <w:pPr>
              <w:jc w:val="right"/>
              <w:ind w:right="90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356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720" w:type="dxa"/>
            <w:vAlign w:val="bottom"/>
          </w:tcPr>
          <w:p>
            <w:pPr>
              <w:spacing w:after="0"/>
              <w:rPr>
                <w:sz w:val="16"/>
                <w:szCs w:val="16"/>
                <w:color w:val="auto"/>
              </w:rPr>
            </w:pPr>
          </w:p>
        </w:tc>
        <w:tc>
          <w:tcPr>
            <w:tcW w:w="2740" w:type="dxa"/>
            <w:vAlign w:val="bottom"/>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819-0080</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300" w:hanging="279"/>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300" w:hanging="279"/>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280" w:hanging="259"/>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280" w:hanging="259"/>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bl>
      <w:tblPr>
        <w:tblLayout w:type="fixed"/>
        <w:tblInd w:w="0" w:type="dxa"/>
        <w:tblCellMar>
          <w:top w:w="0" w:type="dxa"/>
          <w:left w:w="0" w:type="dxa"/>
          <w:bottom w:w="0" w:type="dxa"/>
          <w:right w:w="0" w:type="dxa"/>
        </w:tblCellMar>
      </w:tblPr>
      <w:tr>
        <w:trPr>
          <w:trHeight w:val="151"/>
        </w:trPr>
        <w:tc>
          <w:tcPr>
            <w:tcW w:w="5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13"/>
                <w:szCs w:val="13"/>
                <w:color w:val="auto"/>
              </w:rPr>
            </w:pPr>
          </w:p>
        </w:tc>
        <w:tc>
          <w:tcPr>
            <w:tcW w:w="42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4"/>
        </w:trPr>
        <w:tc>
          <w:tcPr>
            <w:tcW w:w="5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8"/>
        </w:trPr>
        <w:tc>
          <w:tcPr>
            <w:tcW w:w="5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IVVD</w:t>
            </w:r>
          </w:p>
        </w:tc>
        <w:tc>
          <w:tcPr>
            <w:tcW w:w="100" w:type="dxa"/>
            <w:vAlign w:val="bottom"/>
          </w:tcPr>
          <w:p>
            <w:pPr>
              <w:spacing w:after="0"/>
              <w:rPr>
                <w:sz w:val="20"/>
                <w:szCs w:val="20"/>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81" w:lineRule="exact"/>
        <w:rPr>
          <w:sz w:val="24"/>
          <w:szCs w:val="24"/>
          <w:color w:val="auto"/>
        </w:rPr>
      </w:pPr>
    </w:p>
    <w:p>
      <w:pPr>
        <w:ind w:right="50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29"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1058545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1080" w:right="180" w:hanging="1122"/>
        <w:spacing w:after="0" w:line="286"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On March 22, 2025, the Board of Directors (the “Board”) of Invivyd, Inc. (the “Company”), upon the recommendation of the Nominating and Corporate Governance Committee of the Board, appointed Ajay Royan as a director, effective immediately, with his term expiring at the Company’s 2025 annual meeting of stockholders.</w:t>
      </w:r>
    </w:p>
    <w:p>
      <w:pPr>
        <w:spacing w:after="0" w:line="176" w:lineRule="exact"/>
        <w:rPr>
          <w:sz w:val="20"/>
          <w:szCs w:val="20"/>
          <w:color w:val="auto"/>
        </w:rPr>
      </w:pPr>
    </w:p>
    <w:p>
      <w:pPr>
        <w:jc w:val="both"/>
        <w:ind w:firstLine="562"/>
        <w:spacing w:after="0" w:line="254" w:lineRule="auto"/>
        <w:rPr>
          <w:sz w:val="20"/>
          <w:szCs w:val="20"/>
          <w:color w:val="auto"/>
        </w:rPr>
      </w:pPr>
      <w:r>
        <w:rPr>
          <w:rFonts w:ascii="Times New Roman" w:cs="Times New Roman" w:eastAsia="Times New Roman" w:hAnsi="Times New Roman"/>
          <w:sz w:val="18"/>
          <w:szCs w:val="18"/>
          <w:color w:val="auto"/>
        </w:rPr>
        <w:t>Mr. Royan’s compensation as a director will be consistent with the compensation provided to all of the Company’s non-employee directors. Under the Company’s current non-employee director compensation policy, Mr. Royan will receive an annual cash retainer of $40,000 for his Board service. Mr. Royan was granted a nonqualified option to acquire 100,000 shares of common stock of the Company (the “Common Stock”), with such grant vesting over a three-year period, with one-third of the shares vesting on the first anniversary of March 24, 2025 (the “Grant Date”) and 1/36th of the total shares vesting in substantially equal monthly installments thereafter, such that the option is fully vested on the third anniversary of the Grant Date, subject to Mr. Royan’s continuous service with the Company through each such vesting date. The option is exercisable for 10 years from the Grant Date and has the same per share exercise price as the closing sales price of the Common Stock on the Nasdaq Stock Market on the Grant Date. The option is subject to the terms and conditions of the Company’s 2021 Equity Incentive Plan, as amended.</w:t>
      </w:r>
    </w:p>
    <w:p>
      <w:pPr>
        <w:spacing w:after="0" w:line="192"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The Company and Mr. Royan also entered into the Company’s standard form of indemnification agreement, a copy of which was filed as Exhibit 10.4 to the Company’s Annual Report on Form 10-K (File No. 001-40703) filed with the U.S. Securities and Exchange Commission on March 20, 2025. Pursuant to the terms of the indemnification agreement, the Company may be required, among other things, to indemnify each director for certain expenses (including attorneys’ fees), judgments, fines and settlement amounts actually and reasonably incurred by them in any action or proceeding arising out of their service as a director of the Company.</w:t>
      </w:r>
    </w:p>
    <w:p>
      <w:pPr>
        <w:spacing w:after="0" w:line="183"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There is no arrangement or understanding between Mr. Royan and any other person pursuant to which Mr. Royan was appointed a director of the Company. There are no relationships or transactions in which Mr. Royan has or will have an interest, or was or is a party, requiring disclosure under Item 404(a) of Regulation S-K.</w:t>
      </w:r>
    </w:p>
    <w:p>
      <w:pPr>
        <w:spacing w:after="0" w:line="17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On March 26, 2025, the Company issued a press release announcing Mr. Royan’s appointment to the Board. A copy of the press release is being furnished as Exhibit 99.1 to this Current Report on Form 8-K and is incorporated by reference to this Item 7.01.</w:t>
      </w:r>
    </w:p>
    <w:p>
      <w:pPr>
        <w:spacing w:after="0" w:line="158"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2280" w:type="dxa"/>
            <w:vAlign w:val="bottom"/>
          </w:tcPr>
          <w:p>
            <w:pPr>
              <w:jc w:val="center"/>
              <w:ind w:right="174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560" w:type="dxa"/>
            <w:vAlign w:val="bottom"/>
            <w:vMerge w:val="restart"/>
          </w:tcPr>
          <w:p>
            <w:pPr>
              <w:ind w:left="18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2280" w:type="dxa"/>
            <w:vAlign w:val="bottom"/>
          </w:tcPr>
          <w:p>
            <w:pPr>
              <w:jc w:val="center"/>
              <w:ind w:right="1748"/>
              <w:spacing w:after="0"/>
              <w:rPr>
                <w:sz w:val="20"/>
                <w:szCs w:val="20"/>
                <w:color w:val="auto"/>
              </w:rPr>
            </w:pPr>
            <w:r>
              <w:rPr>
                <w:rFonts w:ascii="Times New Roman" w:cs="Times New Roman" w:eastAsia="Times New Roman" w:hAnsi="Times New Roman"/>
                <w:sz w:val="14"/>
                <w:szCs w:val="14"/>
                <w:b w:val="1"/>
                <w:bCs w:val="1"/>
                <w:color w:val="auto"/>
              </w:rPr>
              <w:t>No.</w:t>
            </w:r>
          </w:p>
        </w:tc>
        <w:tc>
          <w:tcPr>
            <w:tcW w:w="2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-8890</wp:posOffset>
            </wp:positionV>
            <wp:extent cx="53320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32095" cy="8255"/>
                    </a:xfrm>
                    <a:prstGeom prst="rect">
                      <a:avLst/>
                    </a:prstGeom>
                    <a:noFill/>
                  </pic:spPr>
                </pic:pic>
              </a:graphicData>
            </a:graphic>
          </wp:anchor>
        </w:drawing>
      </w: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dated March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-20320</wp:posOffset>
            </wp:positionV>
            <wp:extent cx="16846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84655" cy="8255"/>
                    </a:xfrm>
                    <a:prstGeom prst="rect">
                      <a:avLst/>
                    </a:prstGeom>
                    <a:noFill/>
                  </pic:spPr>
                </pic:pic>
              </a:graphicData>
            </a:graphic>
          </wp:anchor>
        </w:drawing>
      </w:r>
    </w:p>
    <w:p>
      <w:pPr>
        <w:spacing w:after="0" w:line="10"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1110615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40" w:firstLine="37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6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INVIVYD, INC.</w:t>
            </w:r>
          </w:p>
        </w:tc>
      </w:tr>
      <w:tr>
        <w:trPr>
          <w:trHeight w:val="432"/>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26, 2025</w:t>
            </w:r>
          </w:p>
        </w:tc>
        <w:tc>
          <w:tcPr>
            <w:tcW w:w="766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By:  /s/ Jill Andersen</w:t>
            </w:r>
          </w:p>
        </w:tc>
      </w:tr>
      <w:tr>
        <w:trPr>
          <w:trHeight w:val="191"/>
        </w:trPr>
        <w:tc>
          <w:tcPr>
            <w:tcW w:w="35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4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Jill Andersen</w:t>
            </w:r>
          </w:p>
        </w:tc>
      </w:tr>
      <w:tr>
        <w:trPr>
          <w:trHeight w:val="234"/>
        </w:trPr>
        <w:tc>
          <w:tcPr>
            <w:tcW w:w="35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r>
        <w:trPr>
          <w:trHeight w:val="1708"/>
        </w:trPr>
        <w:tc>
          <w:tcPr>
            <w:tcW w:w="35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right"/>
        <w:spacing w:after="0"/>
        <w:rPr>
          <w:sz w:val="20"/>
          <w:szCs w:val="20"/>
          <w:color w:val="auto"/>
        </w:rPr>
      </w:pPr>
      <w:r>
        <w:rPr>
          <w:rFonts w:ascii="Calibri" w:cs="Calibri" w:eastAsia="Calibri" w:hAnsi="Calibri"/>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205740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5740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alibri" w:cs="Calibri" w:eastAsia="Calibri" w:hAnsi="Calibri"/>
          <w:sz w:val="25"/>
          <w:szCs w:val="25"/>
          <w:color w:val="auto"/>
        </w:rPr>
        <w:t>Invivyd Appoints Ajay Royan, Founder of Mithril Capital, to its Board of Directors</w:t>
      </w:r>
    </w:p>
    <w:p>
      <w:pPr>
        <w:spacing w:after="0" w:line="157" w:lineRule="exact"/>
        <w:rPr>
          <w:sz w:val="20"/>
          <w:szCs w:val="20"/>
          <w:color w:val="auto"/>
        </w:rPr>
      </w:pPr>
    </w:p>
    <w:p>
      <w:pPr>
        <w:ind w:right="140"/>
        <w:spacing w:after="0" w:line="237" w:lineRule="auto"/>
        <w:rPr>
          <w:sz w:val="20"/>
          <w:szCs w:val="20"/>
          <w:color w:val="auto"/>
        </w:rPr>
      </w:pPr>
      <w:r>
        <w:rPr>
          <w:rFonts w:ascii="Calibri" w:cs="Calibri" w:eastAsia="Calibri" w:hAnsi="Calibri"/>
          <w:sz w:val="20"/>
          <w:szCs w:val="20"/>
          <w:color w:val="auto"/>
        </w:rPr>
        <w:t>WALTHAM, Mass., March 26, 2025 (GLOBE NEWSWIRE) -- Invivyd, Inc. (Nasdaq: IVVD) is pleased to announce the appointment of Ajay Royan to its Board of Directors. Mr. Royan is a venture capitalist focused on transformatonal companies that have solved critcal problems in healthcare, technology, and energy. Mr. Royan’s investment frm, Mithril, is a signifcant long-term holder of Invivyd stock, and Mr. Royan led the 2022 shareholder acton that focused Invivyd on its mission to deliver protecton from serious viral infectous diseases, startng with COVID-19.</w:t>
      </w:r>
    </w:p>
    <w:p>
      <w:pPr>
        <w:spacing w:after="0" w:line="118" w:lineRule="exact"/>
        <w:rPr>
          <w:sz w:val="20"/>
          <w:szCs w:val="20"/>
          <w:color w:val="auto"/>
        </w:rPr>
      </w:pPr>
    </w:p>
    <w:p>
      <w:pPr>
        <w:ind w:right="80"/>
        <w:spacing w:after="0" w:line="236" w:lineRule="auto"/>
        <w:rPr>
          <w:sz w:val="20"/>
          <w:szCs w:val="20"/>
          <w:color w:val="auto"/>
        </w:rPr>
      </w:pPr>
      <w:r>
        <w:rPr>
          <w:rFonts w:ascii="Calibri" w:cs="Calibri" w:eastAsia="Calibri" w:hAnsi="Calibri"/>
          <w:sz w:val="20"/>
          <w:szCs w:val="20"/>
          <w:color w:val="auto"/>
        </w:rPr>
        <w:t>“We are delighted by Ajay’s return to the Board of Invivyd as the company prepares to take the next step forward in scaling the medical beneft from its core technologies. Invivyd has rapidly re-established the feld of monoclonal antbody preventon of COVID-19 and intends to advance into more scalable, higher value medicines that can protect Americans from COVID-19 and other diseases. Invivyd will beneft substantally from Ajay’s acumen as we move forward,” commented Marc Elia, Chairman of Invivyd’s Board of Directors.</w:t>
      </w:r>
    </w:p>
    <w:p>
      <w:pPr>
        <w:spacing w:after="0" w:line="120" w:lineRule="exact"/>
        <w:rPr>
          <w:sz w:val="20"/>
          <w:szCs w:val="20"/>
          <w:color w:val="auto"/>
        </w:rPr>
      </w:pPr>
    </w:p>
    <w:p>
      <w:pPr>
        <w:ind w:right="80"/>
        <w:spacing w:after="0"/>
        <w:rPr>
          <w:sz w:val="20"/>
          <w:szCs w:val="20"/>
          <w:color w:val="auto"/>
        </w:rPr>
      </w:pPr>
      <w:r>
        <w:rPr>
          <w:rFonts w:ascii="Calibri" w:cs="Calibri" w:eastAsia="Calibri" w:hAnsi="Calibri"/>
          <w:sz w:val="20"/>
          <w:szCs w:val="20"/>
          <w:color w:val="auto"/>
        </w:rPr>
        <w:t>“Invivyd is an important company for the future of American medicine. The monoclonal antbody technology platorm unique to Invivyd transcends the limits of vaccinaton to provide high-quality, best-in-class medicines for vulnerable populatons,” said Ajay Royan. Mr. Royan added, “Endemic diseases afectng our country’s most vulnerable need to be atacked with the same alacrity, decisiveness, collaboratve creatvity, and rapid impact that characterized President Trump’s Operaton Warp Speed. This is the clarity and urgency with which I and Invivyd look forward to working with critcal partners, both in industry and the new administraton, to rapidly deliver innovatve monoclonal antbody therapies to patents who need them most – people living with cancer, those who have had an organ transplant, those with an immunodefciency, and individuals on immunosuppressive therapies. COVID-19 contnues to kill and disable vast numbers of vulnerable Americans, especially in these communites, for whom the limitatons of vaccines and the burdens of long COVID are all too real. And yet they have received neither their due voice in the media mainstream nor the urgent relief they deserve. We can—and therefore must—address their growing, unmet medical need with a holistc approach backed by proven American technology.”</w:t>
      </w:r>
    </w:p>
    <w:p>
      <w:pPr>
        <w:spacing w:after="0" w:line="33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About Invivyd</w:t>
      </w:r>
    </w:p>
    <w:p>
      <w:pPr>
        <w:spacing w:after="0" w:line="117" w:lineRule="exact"/>
        <w:rPr>
          <w:sz w:val="20"/>
          <w:szCs w:val="20"/>
          <w:color w:val="auto"/>
        </w:rPr>
      </w:pPr>
    </w:p>
    <w:p>
      <w:pPr>
        <w:ind w:right="40"/>
        <w:spacing w:after="0" w:line="236" w:lineRule="auto"/>
        <w:rPr>
          <w:sz w:val="20"/>
          <w:szCs w:val="20"/>
          <w:color w:val="auto"/>
        </w:rPr>
      </w:pPr>
      <w:r>
        <w:rPr>
          <w:rFonts w:ascii="Calibri" w:cs="Calibri" w:eastAsia="Calibri" w:hAnsi="Calibri"/>
          <w:sz w:val="20"/>
          <w:szCs w:val="20"/>
          <w:color w:val="auto"/>
        </w:rPr>
        <w:t>Invivyd, Inc. (Nasdaq: IVVD) is a biopharmaceutcal company devoted to delivering protecton from serious viral infectous diseases, beginning with SARS-CoV-2. Invivyd deploys a proprietary integrated technology platorm unique in the industry designed to assess, monitor, develop, and adapt to create best in class antbodies. In March 2024, Invivyd received emergency use authorizaton (EUA) from the U.S. FDA for a monoclonal antbody (mAb) in its pipeline of innovatve antbody candidates. Visit htps://invivyd.com/ to learn more.</w:t>
      </w:r>
    </w:p>
    <w:p>
      <w:pPr>
        <w:spacing w:after="0" w:line="11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Cautonary Note Regarding Forward Looking Statements</w:t>
      </w:r>
    </w:p>
    <w:p>
      <w:pPr>
        <w:spacing w:after="0" w:line="117" w:lineRule="exact"/>
        <w:rPr>
          <w:sz w:val="20"/>
          <w:szCs w:val="20"/>
          <w:color w:val="auto"/>
        </w:rPr>
      </w:pPr>
    </w:p>
    <w:p>
      <w:pPr>
        <w:ind w:right="200"/>
        <w:spacing w:after="0" w:line="236" w:lineRule="auto"/>
        <w:rPr>
          <w:sz w:val="20"/>
          <w:szCs w:val="20"/>
          <w:color w:val="auto"/>
        </w:rPr>
      </w:pPr>
      <w:r>
        <w:rPr>
          <w:rFonts w:ascii="Calibri" w:cs="Calibri" w:eastAsia="Calibri" w:hAnsi="Calibri"/>
          <w:sz w:val="20"/>
          <w:szCs w:val="20"/>
          <w:color w:val="auto"/>
        </w:rPr>
        <w:t>This press release contains forward-looking statements within the meaning of the Private Securites Litgaton Reform Act of 1995. Words such as “antcipates,” “believes,” “could,” “expects,” “estmates,” “intends,” “potental,” “predicts,” “projects,” and “future” or similar expressions (as well as other words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968375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4" w:name="page5"/>
    <w:bookmarkEnd w:id="4"/>
    <w:p>
      <w:pPr>
        <w:spacing w:after="0"/>
        <w:rPr>
          <w:sz w:val="20"/>
          <w:szCs w:val="20"/>
          <w:color w:val="auto"/>
        </w:rPr>
      </w:pPr>
      <w:r>
        <w:rPr>
          <w:rFonts w:ascii="Calibri" w:cs="Calibri" w:eastAsia="Calibri" w:hAnsi="Calibri"/>
          <w:sz w:val="20"/>
          <w:szCs w:val="20"/>
          <w:color w:val="auto"/>
        </w:rPr>
        <w:t>or expressions referencing future events, conditons or circumstances) are intended to identfy forward-looking statements. Forward-looking statements include statements concerning, among other things, expectatons related to the company’s future prospects, including the company’s eforts to scale medical beneft from its core technologies and advance into more scalable, higher value medicines that can protect Americans from COVID-19 and other diseases; the company’s research and development eforts; the role of Invivyd in the future of American medicine; the future of the COVID-19 landscape and the potental impact of COVID-19 on certain populatons; the expectaton that Invivyd’s mAb technology platorm transcends the limits of vaccinaton to provide high-quality, best-in-class medicines for vulnerable populatons; the expectaton to work with critcal partners, both in industry and the new administraton, to rapidly deliver innovatve mAb therapies to patents who need them the most; the company’s compettve positon in the market; the antcipated contributons of the company’s directors; the company’s devoton to delivering protecton from serious viral infectous diseases, beginning with SARS-CoV-2; and other statements that are not historical fact. The company may not actually achieve the plans, intentons or expectatons disclosed in the company’s forward-looking statements and you should not place undue reliance on the company’s forward-looking statements. These forward-looking statements involve risks and uncertaintes that could cause the company’s actual results to difer materially from the results described in or implied by the forward-looking statements, including, without limitaton: the tming, progress and results of the company’s discovery, preclinical and clinical development actvites; the risk that results of nonclinical studies or clinical trials may not be predictve of future results, and interim data are subject to further analysis; unexpected safety or efcacy data observed during preclinical studies or clinical trials; whether the company’s product candidates are able to demonstrate and sustain neutralizing actvity against major SARS-CoV-2 variants, partcularly in the face of viral evoluton; uncertaintes related to the regulatory authorizaton or approval process, and available development and regulatory pathways; changes in the regulatory environment; how long the EUA granted by the U.S. FDA for a mAb in the company’s pipeline will remain in efect and whether the EUA is revised or revoked by the U.S. FDA; the ability to maintain a contnued acceptable safety, tolerability and efcacy profle of any product candidate following regulatory authorizaton or approval; whether the company’s mAb technology platorm is able to produce mAbs with broad and durable viral protecton along with improved drug propertes; whether the company is able to scale medical beneft from its core technologies; changes in expected or existng competton; the company’s reliance on third partes; the complexites of manufacturing mAb therapies; macroeconomic and politcal uncertaintes; the outcome of the company’s eforts to work with critcal partners; the company’s ability to contnue as a going concern; and whether the company has adequate funding to meet future operatng expenses and capital expenditure requirements. Other factors that may cause the company’s actual results to difer materially from those expressed or implied in the forward-looking statements in this press release are described under the heading “Risk Factors” in the company’s Annual Report on Form 10-K for the year ended December 31, 2024, as fled with the Securites and Exchange Commission (SEC), and in the company’s other flings with the SEC, and in its future reports to be fled with the SEC and available at www.sec.gov. Forward-looking statements contained in this press release are made as of this date, and Invivyd undertakes no duty to update such informaton whether as a result of new informaton, future events or otherwise, except as required under applicable law.</w:t>
      </w:r>
    </w:p>
    <w:p>
      <w:pPr>
        <w:spacing w:after="0" w:line="306" w:lineRule="exact"/>
        <w:rPr>
          <w:sz w:val="20"/>
          <w:szCs w:val="20"/>
          <w:color w:val="auto"/>
        </w:rPr>
      </w:pPr>
    </w:p>
    <w:p>
      <w:pPr>
        <w:spacing w:after="0"/>
        <w:rPr>
          <w:sz w:val="20"/>
          <w:szCs w:val="20"/>
          <w:color w:val="auto"/>
        </w:rPr>
      </w:pPr>
      <w:r>
        <w:rPr>
          <w:rFonts w:ascii="Calibri" w:cs="Calibri" w:eastAsia="Calibri" w:hAnsi="Calibri"/>
          <w:sz w:val="20"/>
          <w:szCs w:val="20"/>
          <w:color w:val="auto"/>
        </w:rPr>
        <w:t>This press release contains hyperlinks to informaton that is not deemed to be incorporated by reference in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968375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1" w:right="359" w:bottom="1440" w:gutter="0" w:footer="0" w:header="0"/>
        </w:sectPr>
      </w:pPr>
    </w:p>
    <w:bookmarkStart w:id="5" w:name="page6"/>
    <w:bookmarkEnd w:id="5"/>
    <w:p>
      <w:pPr>
        <w:spacing w:after="0"/>
        <w:rPr>
          <w:sz w:val="20"/>
          <w:szCs w:val="20"/>
          <w:color w:val="auto"/>
        </w:rPr>
      </w:pPr>
      <w:r>
        <w:rPr>
          <w:rFonts w:ascii="Calibri" w:cs="Calibri" w:eastAsia="Calibri" w:hAnsi="Calibri"/>
          <w:sz w:val="20"/>
          <w:szCs w:val="20"/>
          <w:b w:val="1"/>
          <w:bCs w:val="1"/>
          <w:color w:val="auto"/>
        </w:rPr>
        <w:t>Contacts:</w:t>
      </w:r>
    </w:p>
    <w:p>
      <w:pPr>
        <w:spacing w:after="0" w:line="10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Media Relatons</w:t>
      </w:r>
    </w:p>
    <w:p>
      <w:pPr>
        <w:spacing w:after="0" w:line="9" w:lineRule="exact"/>
        <w:rPr>
          <w:sz w:val="20"/>
          <w:szCs w:val="20"/>
          <w:color w:val="auto"/>
        </w:rPr>
      </w:pPr>
    </w:p>
    <w:p>
      <w:pPr>
        <w:jc w:val="center"/>
        <w:ind w:right="8359" w:firstLine="8"/>
        <w:spacing w:after="0" w:line="284" w:lineRule="auto"/>
        <w:tabs>
          <w:tab w:leader="none" w:pos="476" w:val="left"/>
        </w:tabs>
        <w:numPr>
          <w:ilvl w:val="0"/>
          <w:numId w:val="2"/>
        </w:numPr>
        <w:rPr>
          <w:rFonts w:ascii="Calibri" w:cs="Calibri" w:eastAsia="Calibri" w:hAnsi="Calibri"/>
          <w:sz w:val="19"/>
          <w:szCs w:val="19"/>
          <w:color w:val="auto"/>
        </w:rPr>
      </w:pPr>
      <w:r>
        <w:rPr>
          <w:rFonts w:ascii="Calibri" w:cs="Calibri" w:eastAsia="Calibri" w:hAnsi="Calibri"/>
          <w:sz w:val="19"/>
          <w:szCs w:val="19"/>
          <w:color w:val="auto"/>
        </w:rPr>
        <w:t xml:space="preserve">208-1747 </w:t>
      </w:r>
      <w:r>
        <w:rPr>
          <w:rFonts w:ascii="Arial" w:cs="Arial" w:eastAsia="Arial" w:hAnsi="Arial"/>
          <w:sz w:val="19"/>
          <w:szCs w:val="19"/>
          <w:color w:val="auto"/>
        </w:rPr>
        <w:t>media@invivyd.com</w:t>
      </w:r>
    </w:p>
    <w:p>
      <w:pPr>
        <w:spacing w:after="0" w:line="4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Investor Relatons</w:t>
      </w:r>
    </w:p>
    <w:p>
      <w:pPr>
        <w:spacing w:after="0" w:line="9" w:lineRule="exact"/>
        <w:rPr>
          <w:sz w:val="20"/>
          <w:szCs w:val="20"/>
          <w:color w:val="auto"/>
        </w:rPr>
      </w:pPr>
    </w:p>
    <w:p>
      <w:pPr>
        <w:ind w:right="8099" w:firstLine="8"/>
        <w:spacing w:after="0" w:line="284" w:lineRule="auto"/>
        <w:tabs>
          <w:tab w:leader="none" w:pos="476" w:val="left"/>
        </w:tabs>
        <w:numPr>
          <w:ilvl w:val="0"/>
          <w:numId w:val="3"/>
        </w:numPr>
        <w:rPr>
          <w:rFonts w:ascii="Calibri" w:cs="Calibri" w:eastAsia="Calibri" w:hAnsi="Calibri"/>
          <w:sz w:val="19"/>
          <w:szCs w:val="19"/>
          <w:color w:val="auto"/>
        </w:rPr>
      </w:pPr>
      <w:r>
        <w:rPr>
          <w:rFonts w:ascii="Calibri" w:cs="Calibri" w:eastAsia="Calibri" w:hAnsi="Calibri"/>
          <w:sz w:val="19"/>
          <w:szCs w:val="19"/>
          <w:color w:val="auto"/>
        </w:rPr>
        <w:t xml:space="preserve">208-1747 </w:t>
      </w:r>
      <w:r>
        <w:rPr>
          <w:rFonts w:ascii="Arial" w:cs="Arial" w:eastAsia="Arial" w:hAnsi="Arial"/>
          <w:sz w:val="19"/>
          <w:szCs w:val="19"/>
          <w:color w:val="auto"/>
        </w:rPr>
        <w:t>investors@invivyd.com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1137285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1" w:right="1440"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781"/>
    </w:lvl>
  </w:abstractNum>
  <w:abstractNum w:abstractNumId="2">
    <w:nsid w:val="19495CFF"/>
    <w:multiLevelType w:val="hybridMultilevel"/>
    <w:lvl w:ilvl="0">
      <w:lvlJc w:val="left"/>
      <w:lvlText w:val="(%1)"/>
      <w:numFmt w:val="decimal"/>
      <w:start w:val="78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2025-03-26T16:08:50Z</dcterms:created>
  <dcterms:modified xsi:type="dcterms:W3CDTF">2025-03-26T16:08:50Z</dcterms:modified>
</cp:coreProperties>
</file>