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Invivyd, Inc.</w:t>
      </w:r>
    </w:p>
    <w:p>
      <w:pPr>
        <w:spacing w:after="0" w:line="7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705485</wp:posOffset>
            </wp:positionV>
            <wp:extent cx="21342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Haven, Connecticut 06510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Tuesday, May 19,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and any adjournments or postponements thereof (the “2026 Annual Meeting” or the “Annual Meeting”) of </w:t>
      </w:r>
      <w:r>
        <w:rPr>
          <w:rFonts w:ascii="Times New Roman" w:cs="Times New Roman" w:eastAsia="Times New Roman" w:hAnsi="Times New Roman"/>
          <w:sz w:val="18"/>
          <w:szCs w:val="18"/>
          <w:b w:val="1"/>
          <w:bCs w:val="1"/>
          <w:color w:val="auto"/>
        </w:rPr>
        <w:t>INVIVYD, INC.</w:t>
      </w:r>
      <w:r>
        <w:rPr>
          <w:rFonts w:ascii="Times New Roman" w:cs="Times New Roman" w:eastAsia="Times New Roman" w:hAnsi="Times New Roman"/>
          <w:sz w:val="18"/>
          <w:szCs w:val="18"/>
          <w:color w:val="auto"/>
        </w:rPr>
        <w:t xml:space="preserve">, a Delaware corporation (the “Company”). The Annual Meeting will be held virtually on Tuesday, May 19, 2026 at 8:30 a.m. Eastern Time at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You will not be able to attend the Annual Meeting in person. The Annual Meeting will be held for the following purposes:</w:t>
      </w:r>
    </w:p>
    <w:p>
      <w:pPr>
        <w:spacing w:after="0" w:line="180" w:lineRule="exact"/>
        <w:rPr>
          <w:sz w:val="20"/>
          <w:szCs w:val="20"/>
          <w:color w:val="auto"/>
        </w:rPr>
      </w:pPr>
    </w:p>
    <w:p>
      <w:pPr>
        <w:ind w:right="70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nominees for director named in the proxy statement accompanying this Notice of Annual Meeting of Stockholders (the “Proxy Statement”) for a one-year term expiring at the 2027 Annual Meeting of Stockholders (the “2027 Annual Meeting”).</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Board recommends that stockholders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color w:val="auto"/>
        </w:rPr>
        <w:t xml:space="preserve"> for Proposal No. 1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Proposal No.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which is incorporated by reference hereto.</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submit questions and vote during the live webcast by visiting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xml:space="preserve"> and entering the 16-digit Control Number included in (i) your Notice of Internet Availability of Proxy Materials (the “Notice”), (ii) your proxy card in the enclosed proxy materials or (iii) the instructions that you received via email. Please refer to the additional logistical details and recommendations in the accompanying Proxy Statement. You may log-in to the Annual Meeting beginning at 8:15 a.m. Eastern Time on May 19, 2026.</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record date for the Annual Meeting is March 20, 2026 (the “Record Date”). Only stockholders of record at the close of business on the Record Date may vote at the Annual Meeting. We will commence mailing the Notice to our stockholders on or about April 6, 2026, which will contain instructions on how to vote at the Annual Meeting as well as how to access the Proxy Statement and our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size of your holdings. Whether or not you plan to attend the Annual Meeting, please provide your proxy by following the instructions described in the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51701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0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Connecticut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136130" cy="749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49935"/>
                    </a:xfrm>
                    <a:prstGeom prst="rect">
                      <a:avLst/>
                    </a:prstGeom>
                    <a:noFill/>
                  </pic:spPr>
                </pic:pic>
              </a:graphicData>
            </a:graphic>
          </wp:anchor>
        </w:drawing>
      </w:r>
    </w:p>
    <w:p>
      <w:pPr>
        <w:spacing w:after="0" w:line="282" w:lineRule="exact"/>
        <w:rPr>
          <w:sz w:val="20"/>
          <w:szCs w:val="20"/>
          <w:color w:val="auto"/>
        </w:rPr>
      </w:pPr>
    </w:p>
    <w:p>
      <w:pPr>
        <w:jc w:val="center"/>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Tuesday, May 19, 2026 at 8:30 a.m. Eastern Time online at </w:t>
      </w:r>
      <w:r>
        <w:rPr>
          <w:rFonts w:ascii="Times New Roman" w:cs="Times New Roman" w:eastAsia="Times New Roman" w:hAnsi="Times New Roman"/>
          <w:sz w:val="18"/>
          <w:szCs w:val="18"/>
          <w:b w:val="1"/>
          <w:bCs w:val="1"/>
          <w:i w:val="1"/>
          <w:iCs w:val="1"/>
          <w:color w:val="auto"/>
        </w:rPr>
        <w:t>www.virtualshareholdermeeting.com/IVVD2026</w:t>
      </w:r>
    </w:p>
    <w:p>
      <w:pPr>
        <w:spacing w:after="0" w:line="155" w:lineRule="exact"/>
        <w:rPr>
          <w:sz w:val="20"/>
          <w:szCs w:val="20"/>
          <w:color w:val="auto"/>
        </w:rPr>
      </w:pPr>
    </w:p>
    <w:p>
      <w:pPr>
        <w:jc w:val="center"/>
        <w:ind w:left="38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Copies of our Proxy Materials, consisting of the Notice of Annual Meeting of Stockholders, the Proxy Statement and Accompanying Form of Proxy Card, and our 2025 Annual Report on Form 10-K, are available free of charge at </w:t>
      </w:r>
      <w:r>
        <w:rPr>
          <w:rFonts w:ascii="Times New Roman" w:cs="Times New Roman" w:eastAsia="Times New Roman" w:hAnsi="Times New Roman"/>
          <w:sz w:val="18"/>
          <w:szCs w:val="18"/>
          <w:b w:val="1"/>
          <w:bCs w:val="1"/>
          <w:i w:val="1"/>
          <w:iCs w:val="1"/>
          <w:color w:val="auto"/>
        </w:rPr>
        <w:t>www.proxyvote.com</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your shares are held in a brokerage account or by another nominee record holder, please be sure to mark your voting choices on the voting instruction form provided to you by your broker, bank or other agent. If you fail to specify your voting instructions, your shares will not be voted on certain proposals due to rules applicable to broker voting, and we may incur additional costs to solicit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Haven, Connecticut 06510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AT 8:30 A.M., EASTERN TIME, ON MAY 19, 2026</w:t>
      </w:r>
    </w:p>
    <w:p>
      <w:pPr>
        <w:spacing w:after="0" w:line="20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19, 2026</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We are making this Proxy Statement and the accompanying form of proxy card, and our 2025 Annual Report on Form 10-K (the “Annual Report”), available electronically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our website, </w:t>
      </w:r>
      <w:r>
        <w:rPr>
          <w:rFonts w:ascii="Times New Roman" w:cs="Times New Roman" w:eastAsia="Times New Roman" w:hAnsi="Times New Roman"/>
          <w:sz w:val="18"/>
          <w:szCs w:val="18"/>
          <w:i w:val="1"/>
          <w:iCs w:val="1"/>
          <w:color w:val="auto"/>
        </w:rPr>
        <w:t>www.invivyd.com</w:t>
      </w:r>
      <w:r>
        <w:rPr>
          <w:rFonts w:ascii="Times New Roman" w:cs="Times New Roman" w:eastAsia="Times New Roman" w:hAnsi="Times New Roman"/>
          <w:sz w:val="18"/>
          <w:szCs w:val="18"/>
          <w:color w:val="auto"/>
        </w:rPr>
        <w:t>. If you wish to receive a paper or email copy of these documents, please request one by following the instructions contained in your Notice of Internet Availability of Proxy Materials (the “Notice”). There is no charge for requesting a copy.</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Notice will be mailed to our stockholders on or about April 6, 2026, in connection with the solicitation of proxies on behalf of our Board of Directors (our “Board”) for use at our 2026 Annual Meeting of Stockholders, to be held on Tuesday, May 19, 2026 at 8:30 a.m., Eastern Time, virtually at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and at any adjournment or postponement thereof (the “2026 Annual Meeting” or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or not you plan to attend the Annual Meeting, please follow the instructions on the Notice so that your shares may be voted at the Annual Meeting. You may submit your proxy by mail, by telephone, or through the internet by following the instructions set forth on the Notice. If you attend the Annual Meeting, you may revoke your previously submitted proxy and vote virtually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Proposals</w:t>
      </w:r>
    </w:p>
    <w:p>
      <w:pPr>
        <w:spacing w:after="0" w:line="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To elect the six nominees for director named in this Proxy Statement for a one-year term expiring at the 2027 Annual Meeting of Stockholders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2888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To ratify the appointment of PricewaterhouseCoopers LLP as the Company’s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120" w:type="dxa"/>
            <w:vAlign w:val="bottom"/>
          </w:tcPr>
          <w:p>
            <w:pPr>
              <w:spacing w:after="0"/>
              <w:rPr>
                <w:sz w:val="16"/>
                <w:szCs w:val="16"/>
                <w:color w:val="auto"/>
              </w:rPr>
            </w:pPr>
          </w:p>
        </w:tc>
        <w:tc>
          <w:tcPr>
            <w:tcW w:w="34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Voting Standard</w:t>
            </w:r>
          </w:p>
        </w:tc>
        <w:tc>
          <w:tcPr>
            <w:tcW w:w="10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six nominees for director receiving the</w:t>
            </w:r>
          </w:p>
        </w:tc>
        <w:tc>
          <w:tcPr>
            <w:tcW w:w="100" w:type="dxa"/>
            <w:vAlign w:val="bottom"/>
          </w:tcPr>
          <w:p>
            <w:pPr>
              <w:spacing w:after="0"/>
              <w:rPr>
                <w:sz w:val="17"/>
                <w:szCs w:val="17"/>
                <w:color w:val="auto"/>
              </w:rPr>
            </w:pP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“FOR ALL” the election of the</w:t>
            </w:r>
          </w:p>
        </w:tc>
        <w:tc>
          <w:tcPr>
            <w:tcW w:w="0" w:type="dxa"/>
            <w:vAlign w:val="bottom"/>
          </w:tcPr>
          <w:p>
            <w:pPr>
              <w:spacing w:after="0"/>
              <w:rPr>
                <w:sz w:val="1"/>
                <w:szCs w:val="1"/>
                <w:color w:val="auto"/>
              </w:rPr>
            </w:pPr>
          </w:p>
        </w:tc>
      </w:tr>
      <w:tr>
        <w:trPr>
          <w:trHeight w:val="216"/>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highest number of votes “FOR” election will</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named director nominees</w:t>
            </w:r>
          </w:p>
        </w:tc>
        <w:tc>
          <w:tcPr>
            <w:tcW w:w="0" w:type="dxa"/>
            <w:vAlign w:val="bottom"/>
          </w:tcPr>
          <w:p>
            <w:pPr>
              <w:spacing w:after="0"/>
              <w:rPr>
                <w:sz w:val="1"/>
                <w:szCs w:val="1"/>
                <w:color w:val="auto"/>
              </w:rPr>
            </w:pPr>
          </w:p>
        </w:tc>
      </w:tr>
      <w:tr>
        <w:trPr>
          <w:trHeight w:val="126"/>
        </w:trPr>
        <w:tc>
          <w:tcPr>
            <w:tcW w:w="460" w:type="dxa"/>
            <w:vAlign w:val="bottom"/>
            <w:vMerge w:val="continue"/>
          </w:tcPr>
          <w:p>
            <w:pPr>
              <w:spacing w:after="0"/>
              <w:rPr>
                <w:sz w:val="10"/>
                <w:szCs w:val="10"/>
                <w:color w:val="auto"/>
              </w:rPr>
            </w:pP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 elected as directors for a one-year term</w:t>
            </w: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60" w:type="dxa"/>
            <w:vAlign w:val="bottom"/>
          </w:tcPr>
          <w:p>
            <w:pPr>
              <w:spacing w:after="0"/>
              <w:rPr>
                <w:sz w:val="7"/>
                <w:szCs w:val="7"/>
                <w:color w:val="auto"/>
              </w:rPr>
            </w:pPr>
          </w:p>
        </w:tc>
        <w:tc>
          <w:tcPr>
            <w:tcW w:w="3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expiring at the 2027 Annual Meeting.</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Affirmative vote of the holders of a majority of</w:t>
            </w:r>
          </w:p>
        </w:tc>
        <w:tc>
          <w:tcPr>
            <w:tcW w:w="100" w:type="dxa"/>
            <w:vAlign w:val="bottom"/>
          </w:tcPr>
          <w:p>
            <w:pPr>
              <w:spacing w:after="0"/>
              <w:rPr>
                <w:sz w:val="24"/>
                <w:szCs w:val="24"/>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ratification of the</w:t>
            </w:r>
          </w:p>
        </w:tc>
        <w:tc>
          <w:tcPr>
            <w:tcW w:w="0" w:type="dxa"/>
            <w:vAlign w:val="bottom"/>
          </w:tcPr>
          <w:p>
            <w:pPr>
              <w:spacing w:after="0"/>
              <w:rPr>
                <w:sz w:val="1"/>
                <w:szCs w:val="1"/>
                <w:color w:val="auto"/>
              </w:rPr>
            </w:pPr>
          </w:p>
        </w:tc>
      </w:tr>
      <w:tr>
        <w:trPr>
          <w:trHeight w:val="216"/>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the shares present by remote communication or</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appointment of</w:t>
            </w:r>
          </w:p>
        </w:tc>
        <w:tc>
          <w:tcPr>
            <w:tcW w:w="0" w:type="dxa"/>
            <w:vAlign w:val="bottom"/>
          </w:tcPr>
          <w:p>
            <w:pPr>
              <w:spacing w:after="0"/>
              <w:rPr>
                <w:sz w:val="1"/>
                <w:szCs w:val="1"/>
                <w:color w:val="auto"/>
              </w:rPr>
            </w:pPr>
          </w:p>
        </w:tc>
      </w:tr>
      <w:tr>
        <w:trPr>
          <w:trHeight w:val="126"/>
        </w:trPr>
        <w:tc>
          <w:tcPr>
            <w:tcW w:w="460" w:type="dxa"/>
            <w:vAlign w:val="bottom"/>
            <w:vMerge w:val="continue"/>
          </w:tcPr>
          <w:p>
            <w:pPr>
              <w:spacing w:after="0"/>
              <w:rPr>
                <w:sz w:val="10"/>
                <w:szCs w:val="10"/>
                <w:color w:val="auto"/>
              </w:rPr>
            </w:pP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represented by proxy and entitled to vote</w:t>
            </w:r>
          </w:p>
        </w:tc>
        <w:tc>
          <w:tcPr>
            <w:tcW w:w="100" w:type="dxa"/>
            <w:vAlign w:val="bottom"/>
          </w:tcPr>
          <w:p>
            <w:pPr>
              <w:spacing w:after="0"/>
              <w:rPr>
                <w:sz w:val="10"/>
                <w:szCs w:val="10"/>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PricewaterhouseCoopers LLP</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3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Times New Roman" w:cs="Times New Roman" w:eastAsia="Times New Roman" w:hAnsi="Times New Roman"/>
          <w:sz w:val="18"/>
          <w:szCs w:val="18"/>
          <w:color w:val="auto"/>
        </w:rPr>
        <w:t>generally on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747395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240"/>
            <w:col w:w="658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20" w:type="dxa"/>
            <w:vAlign w:val="bottom"/>
            <w:gridSpan w:val="5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120" w:type="dxa"/>
            <w:vAlign w:val="bottom"/>
          </w:tcPr>
          <w:p>
            <w:pPr>
              <w:spacing w:after="0"/>
              <w:rPr>
                <w:sz w:val="17"/>
                <w:szCs w:val="17"/>
                <w:color w:val="auto"/>
              </w:rPr>
            </w:pPr>
          </w:p>
        </w:tc>
      </w:tr>
      <w:tr>
        <w:trPr>
          <w:trHeight w:val="1101"/>
        </w:trPr>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4"/>
                <w:szCs w:val="24"/>
                <w:color w:val="auto"/>
              </w:rPr>
            </w:pPr>
          </w:p>
        </w:tc>
      </w:tr>
      <w:tr>
        <w:trPr>
          <w:trHeight w:val="418"/>
        </w:trPr>
        <w:tc>
          <w:tcPr>
            <w:tcW w:w="6520" w:type="dxa"/>
            <w:vAlign w:val="bottom"/>
            <w:tcBorders>
              <w:bottom w:val="single" w:sz="8" w:color="0000FF"/>
            </w:tcBorders>
            <w:gridSpan w:val="46"/>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60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00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NO. 1 ELECTION OF SIX DIRECTORS</w:t>
            </w:r>
          </w:p>
        </w:tc>
        <w:tc>
          <w:tcPr>
            <w:tcW w:w="20" w:type="dxa"/>
            <w:vAlign w:val="bottom"/>
            <w:tcBorders>
              <w:bottom w:val="single" w:sz="8" w:color="0000EE"/>
            </w:tcBorders>
          </w:tcPr>
          <w:p>
            <w:pPr>
              <w:spacing w:after="0"/>
              <w:rPr>
                <w:sz w:val="17"/>
                <w:szCs w:val="17"/>
                <w:color w:val="auto"/>
              </w:rPr>
            </w:pPr>
          </w:p>
        </w:tc>
        <w:tc>
          <w:tcPr>
            <w:tcW w:w="6100" w:type="dxa"/>
            <w:vAlign w:val="bottom"/>
            <w:gridSpan w:val="1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012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FF"/>
              </w:rPr>
              <w:t>PROPOSAL NO. 2 RATIFICATION OF APPOINTMENT OF INDEPENDENT REGISTERED PUBLIC ACCOUNTING FIRM</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7600" w:type="dxa"/>
            <w:vAlign w:val="bottom"/>
            <w:tcBorders>
              <w:top w:val="single" w:sz="8" w:color="0000FF"/>
              <w:bottom w:val="single" w:sz="8" w:color="0000FF"/>
            </w:tcBorders>
            <w:gridSpan w:val="50"/>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REGARDING THE BOARD OF DIRECTORS AND CORPORATE GOVERNANCE</w:t>
            </w:r>
          </w:p>
        </w:tc>
        <w:tc>
          <w:tcPr>
            <w:tcW w:w="1820" w:type="dxa"/>
            <w:vAlign w:val="bottom"/>
            <w:tcBorders>
              <w:top w:val="single" w:sz="8" w:color="0000FF"/>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Director Nominees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Independence of the Board</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 Family Relationships</w:t>
            </w:r>
          </w:p>
        </w:tc>
        <w:tc>
          <w:tcPr>
            <w:tcW w:w="7700" w:type="dxa"/>
            <w:vAlign w:val="bottom"/>
            <w:gridSpan w:val="3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Board Leadership Structure</w:t>
            </w:r>
          </w:p>
        </w:tc>
        <w:tc>
          <w:tcPr>
            <w:tcW w:w="20" w:type="dxa"/>
            <w:vAlign w:val="bottom"/>
            <w:tcBorders>
              <w:bottom w:val="single" w:sz="8" w:color="0000EE"/>
            </w:tcBorders>
          </w:tcPr>
          <w:p>
            <w:pPr>
              <w:spacing w:after="0"/>
              <w:rPr>
                <w:sz w:val="17"/>
                <w:szCs w:val="17"/>
                <w:color w:val="auto"/>
              </w:rPr>
            </w:pPr>
          </w:p>
        </w:tc>
        <w:tc>
          <w:tcPr>
            <w:tcW w:w="7600" w:type="dxa"/>
            <w:vAlign w:val="bottom"/>
            <w:gridSpan w:val="3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Role of the Board in Risk Oversight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Meetings of the Board and Annual Meeting Attendance</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Regarding Committees of the Board</w:t>
            </w:r>
          </w:p>
        </w:tc>
        <w:tc>
          <w:tcPr>
            <w:tcW w:w="460" w:type="dxa"/>
            <w:vAlign w:val="bottom"/>
            <w:tcBorders>
              <w:top w:val="single" w:sz="8" w:color="0000FF"/>
            </w:tcBorders>
            <w:gridSpan w:val="3"/>
          </w:tcPr>
          <w:p>
            <w:pPr>
              <w:spacing w:after="0"/>
              <w:rPr>
                <w:sz w:val="17"/>
                <w:szCs w:val="17"/>
                <w:color w:val="auto"/>
              </w:rPr>
            </w:pPr>
          </w:p>
        </w:tc>
        <w:tc>
          <w:tcPr>
            <w:tcW w:w="5640" w:type="dxa"/>
            <w:vAlign w:val="bottom"/>
            <w:gridSpan w:val="1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FF"/>
              </w:rPr>
              <w:t>Audit Committee</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FF"/>
              </w:rPr>
              <w:t>Nominating and Corporate Governance Committee</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Stockholder Communications with the Board</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top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Prevention Policy</w:t>
            </w:r>
          </w:p>
        </w:tc>
        <w:tc>
          <w:tcPr>
            <w:tcW w:w="6380" w:type="dxa"/>
            <w:vAlign w:val="bottom"/>
            <w:gridSpan w:val="2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Hedging Policy</w:t>
            </w:r>
          </w:p>
        </w:tc>
        <w:tc>
          <w:tcPr>
            <w:tcW w:w="20" w:type="dxa"/>
            <w:vAlign w:val="bottom"/>
            <w:tcBorders>
              <w:top w:val="single" w:sz="8" w:color="0000FF"/>
              <w:bottom w:val="single" w:sz="8" w:color="0000EE"/>
            </w:tcBorders>
          </w:tcPr>
          <w:p>
            <w:pPr>
              <w:spacing w:after="0"/>
              <w:rPr>
                <w:sz w:val="17"/>
                <w:szCs w:val="17"/>
                <w:color w:val="auto"/>
              </w:rPr>
            </w:pPr>
          </w:p>
        </w:tc>
        <w:tc>
          <w:tcPr>
            <w:tcW w:w="1280" w:type="dxa"/>
            <w:vAlign w:val="bottom"/>
            <w:tcBorders>
              <w:top w:val="single" w:sz="8" w:color="0000FF"/>
            </w:tcBorders>
            <w:gridSpan w:val="21"/>
          </w:tcPr>
          <w:p>
            <w:pPr>
              <w:spacing w:after="0"/>
              <w:rPr>
                <w:sz w:val="17"/>
                <w:szCs w:val="17"/>
                <w:color w:val="auto"/>
              </w:rPr>
            </w:pPr>
          </w:p>
        </w:tc>
        <w:tc>
          <w:tcPr>
            <w:tcW w:w="7200" w:type="dxa"/>
            <w:vAlign w:val="bottom"/>
            <w:gridSpan w:val="2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7"/>
              </w:rPr>
              <w:t>Clawback Policy</w:t>
            </w:r>
          </w:p>
        </w:tc>
        <w:tc>
          <w:tcPr>
            <w:tcW w:w="20" w:type="dxa"/>
            <w:vAlign w:val="bottom"/>
            <w:tcBorders>
              <w:bottom w:val="single" w:sz="8" w:color="0000EE"/>
            </w:tcBorders>
          </w:tcPr>
          <w:p>
            <w:pPr>
              <w:spacing w:after="0"/>
              <w:rPr>
                <w:sz w:val="17"/>
                <w:szCs w:val="17"/>
                <w:color w:val="auto"/>
              </w:rPr>
            </w:pPr>
          </w:p>
        </w:tc>
        <w:tc>
          <w:tcPr>
            <w:tcW w:w="8380" w:type="dxa"/>
            <w:vAlign w:val="bottom"/>
            <w:gridSpan w:val="4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012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8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480" w:type="dxa"/>
            <w:vAlign w:val="bottom"/>
            <w:tcBorders>
              <w:top w:val="single" w:sz="8" w:color="0000FF"/>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4260" w:type="dxa"/>
            <w:vAlign w:val="bottom"/>
            <w:tcBorders>
              <w:top w:val="single" w:sz="8" w:color="0000FF"/>
            </w:tcBorders>
            <w:gridSpan w:val="25"/>
          </w:tcPr>
          <w:p>
            <w:pPr>
              <w:spacing w:after="0"/>
              <w:rPr>
                <w:sz w:val="17"/>
                <w:szCs w:val="17"/>
                <w:color w:val="auto"/>
              </w:rPr>
            </w:pPr>
          </w:p>
        </w:tc>
        <w:tc>
          <w:tcPr>
            <w:tcW w:w="336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Narrative To Summary Compensation Table</w:t>
            </w:r>
          </w:p>
        </w:tc>
        <w:tc>
          <w:tcPr>
            <w:tcW w:w="6420" w:type="dxa"/>
            <w:vAlign w:val="bottom"/>
            <w:gridSpan w:val="2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6"/>
              </w:rPr>
              <w:t>Annual Base Salary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4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Bonus Compensation</w:t>
            </w:r>
          </w:p>
        </w:tc>
        <w:tc>
          <w:tcPr>
            <w:tcW w:w="20" w:type="dxa"/>
            <w:vAlign w:val="bottom"/>
            <w:tcBorders>
              <w:bottom w:val="single" w:sz="8" w:color="0000EE"/>
            </w:tcBorders>
          </w:tcPr>
          <w:p>
            <w:pPr>
              <w:spacing w:after="0"/>
              <w:rPr>
                <w:sz w:val="17"/>
                <w:szCs w:val="17"/>
                <w:color w:val="auto"/>
              </w:rPr>
            </w:pPr>
          </w:p>
        </w:tc>
        <w:tc>
          <w:tcPr>
            <w:tcW w:w="8060" w:type="dxa"/>
            <w:vAlign w:val="bottom"/>
            <w:gridSpan w:val="3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Equity-Based Awards</w:t>
            </w:r>
          </w:p>
        </w:tc>
        <w:tc>
          <w:tcPr>
            <w:tcW w:w="8040" w:type="dxa"/>
            <w:vAlign w:val="bottom"/>
            <w:gridSpan w:val="3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80" w:type="dxa"/>
            <w:vAlign w:val="bottom"/>
          </w:tcPr>
          <w:p>
            <w:pPr>
              <w:spacing w:after="0"/>
              <w:rPr>
                <w:sz w:val="17"/>
                <w:szCs w:val="17"/>
                <w:color w:val="auto"/>
              </w:rPr>
            </w:pPr>
          </w:p>
        </w:tc>
        <w:tc>
          <w:tcPr>
            <w:tcW w:w="9640" w:type="dxa"/>
            <w:vAlign w:val="bottom"/>
            <w:tcBorders>
              <w:bottom w:val="single" w:sz="8" w:color="0000FF"/>
            </w:tcBorders>
            <w:gridSpan w:val="52"/>
          </w:tcPr>
          <w:p>
            <w:pPr>
              <w:spacing w:after="0" w:line="196" w:lineRule="exact"/>
              <w:rPr>
                <w:sz w:val="20"/>
                <w:szCs w:val="20"/>
                <w:color w:val="auto"/>
              </w:rPr>
            </w:pPr>
            <w:r>
              <w:rPr>
                <w:rFonts w:ascii="Times New Roman" w:cs="Times New Roman" w:eastAsia="Times New Roman" w:hAnsi="Times New Roman"/>
                <w:sz w:val="18"/>
                <w:szCs w:val="18"/>
                <w:color w:val="0000FF"/>
                <w:w w:val="99"/>
              </w:rPr>
              <w:t>Policies and Practices Related to the Grant of Certain Equity Awards Close in Time to the Release of Material Nonpublic Information</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Outstanding Equity Awards as of December 31, 2025</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Retirement Benefits and Other Compensation</w:t>
            </w:r>
          </w:p>
        </w:tc>
        <w:tc>
          <w:tcPr>
            <w:tcW w:w="20" w:type="dxa"/>
            <w:vAlign w:val="bottom"/>
            <w:tcBorders>
              <w:top w:val="single" w:sz="8" w:color="0000FF"/>
              <w:bottom w:val="single" w:sz="8" w:color="0000EE"/>
            </w:tcBorders>
          </w:tcPr>
          <w:p>
            <w:pPr>
              <w:spacing w:after="0"/>
              <w:rPr>
                <w:sz w:val="17"/>
                <w:szCs w:val="17"/>
                <w:color w:val="auto"/>
              </w:rPr>
            </w:pPr>
          </w:p>
        </w:tc>
        <w:tc>
          <w:tcPr>
            <w:tcW w:w="540" w:type="dxa"/>
            <w:vAlign w:val="bottom"/>
            <w:tcBorders>
              <w:top w:val="single" w:sz="8" w:color="0000FF"/>
            </w:tcBorders>
            <w:gridSpan w:val="4"/>
          </w:tcPr>
          <w:p>
            <w:pPr>
              <w:spacing w:after="0"/>
              <w:rPr>
                <w:sz w:val="17"/>
                <w:szCs w:val="17"/>
                <w:color w:val="auto"/>
              </w:rPr>
            </w:pPr>
          </w:p>
        </w:tc>
        <w:tc>
          <w:tcPr>
            <w:tcW w:w="5780" w:type="dxa"/>
            <w:vAlign w:val="bottom"/>
            <w:gridSpan w:val="1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Agreements with William Duke, Jr., M.B.A., Jill Andersen, J.D. and Timothy Lee</w:t>
            </w:r>
          </w:p>
        </w:tc>
        <w:tc>
          <w:tcPr>
            <w:tcW w:w="270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w w:val="99"/>
              </w:rPr>
              <w:t>Potential Payments Upon Termination or Change in Control</w:t>
            </w:r>
          </w:p>
        </w:tc>
        <w:tc>
          <w:tcPr>
            <w:tcW w:w="530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12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Narrative to Director Compensation Table</w:t>
            </w:r>
          </w:p>
        </w:tc>
        <w:tc>
          <w:tcPr>
            <w:tcW w:w="20" w:type="dxa"/>
            <w:vAlign w:val="bottom"/>
            <w:tcBorders>
              <w:bottom w:val="single" w:sz="8" w:color="0000EE"/>
            </w:tcBorders>
          </w:tcPr>
          <w:p>
            <w:pPr>
              <w:spacing w:after="0"/>
              <w:rPr>
                <w:sz w:val="17"/>
                <w:szCs w:val="17"/>
                <w:color w:val="auto"/>
              </w:rPr>
            </w:pPr>
          </w:p>
        </w:tc>
        <w:tc>
          <w:tcPr>
            <w:tcW w:w="6560" w:type="dxa"/>
            <w:vAlign w:val="bottom"/>
            <w:gridSpan w:val="2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012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5700" w:type="dxa"/>
            <w:vAlign w:val="bottom"/>
            <w:tcBorders>
              <w:top w:val="single" w:sz="8" w:color="0000FF"/>
              <w:bottom w:val="single" w:sz="8" w:color="0000FF"/>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FF"/>
                <w:w w:val="99"/>
              </w:rPr>
              <w:t>TRANSACTIONS WITH RELATED PERSONS AND INDEMNIFICATION</w:t>
            </w:r>
          </w:p>
        </w:tc>
        <w:tc>
          <w:tcPr>
            <w:tcW w:w="1300" w:type="dxa"/>
            <w:vAlign w:val="bottom"/>
            <w:tcBorders>
              <w:top w:val="single" w:sz="8" w:color="0000FF"/>
            </w:tcBorders>
            <w:gridSpan w:val="5"/>
          </w:tcPr>
          <w:p>
            <w:pPr>
              <w:spacing w:after="0"/>
              <w:rPr>
                <w:sz w:val="17"/>
                <w:szCs w:val="17"/>
                <w:color w:val="auto"/>
              </w:rPr>
            </w:pPr>
          </w:p>
        </w:tc>
        <w:tc>
          <w:tcPr>
            <w:tcW w:w="312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Related Person Transactions Policy and Procedures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Certain Related Person Transactions</w:t>
            </w:r>
          </w:p>
        </w:tc>
        <w:tc>
          <w:tcPr>
            <w:tcW w:w="5940" w:type="dxa"/>
            <w:vAlign w:val="bottom"/>
            <w:gridSpan w:val="1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8"/>
              </w:rPr>
              <w:t>Agreements with PHP</w:t>
            </w:r>
          </w:p>
        </w:tc>
        <w:tc>
          <w:tcPr>
            <w:tcW w:w="1000" w:type="dxa"/>
            <w:vAlign w:val="bottom"/>
            <w:tcBorders>
              <w:top w:val="single" w:sz="8" w:color="0000FF"/>
            </w:tcBorders>
            <w:gridSpan w:val="12"/>
          </w:tcPr>
          <w:p>
            <w:pPr>
              <w:spacing w:after="0"/>
              <w:rPr>
                <w:sz w:val="17"/>
                <w:szCs w:val="17"/>
                <w:color w:val="auto"/>
              </w:rPr>
            </w:pPr>
          </w:p>
        </w:tc>
        <w:tc>
          <w:tcPr>
            <w:tcW w:w="7020" w:type="dxa"/>
            <w:vAlign w:val="bottom"/>
            <w:gridSpan w:val="2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8"/>
              </w:rPr>
              <w:t>Relationships with Adimab</w:t>
            </w:r>
          </w:p>
        </w:tc>
        <w:tc>
          <w:tcPr>
            <w:tcW w:w="20" w:type="dxa"/>
            <w:vAlign w:val="bottom"/>
            <w:tcBorders>
              <w:bottom w:val="single" w:sz="8" w:color="0000EE"/>
            </w:tcBorders>
          </w:tcPr>
          <w:p>
            <w:pPr>
              <w:spacing w:after="0"/>
              <w:rPr>
                <w:sz w:val="17"/>
                <w:szCs w:val="17"/>
                <w:color w:val="auto"/>
              </w:rPr>
            </w:pPr>
          </w:p>
        </w:tc>
        <w:tc>
          <w:tcPr>
            <w:tcW w:w="7640" w:type="dxa"/>
            <w:vAlign w:val="bottom"/>
            <w:gridSpan w:val="3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Investors’ Rights Agreement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Indemnification</w:t>
            </w:r>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gridSpan w:val="17"/>
          </w:tcPr>
          <w:p>
            <w:pPr>
              <w:spacing w:after="0"/>
              <w:rPr>
                <w:sz w:val="17"/>
                <w:szCs w:val="17"/>
                <w:color w:val="auto"/>
              </w:rPr>
            </w:pPr>
          </w:p>
        </w:tc>
        <w:tc>
          <w:tcPr>
            <w:tcW w:w="7560" w:type="dxa"/>
            <w:vAlign w:val="bottom"/>
            <w:gridSpan w:val="2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7620" w:type="dxa"/>
            <w:vAlign w:val="bottom"/>
            <w:tcBorders>
              <w:bottom w:val="single" w:sz="8" w:color="0000FF"/>
            </w:tcBorders>
            <w:gridSpan w:val="51"/>
          </w:tcPr>
          <w:p>
            <w:pPr>
              <w:spacing w:after="0" w:line="196" w:lineRule="exact"/>
              <w:rPr>
                <w:sz w:val="20"/>
                <w:szCs w:val="20"/>
                <w:color w:val="auto"/>
              </w:rPr>
            </w:pPr>
            <w:r>
              <w:rPr>
                <w:rFonts w:ascii="Times New Roman" w:cs="Times New Roman" w:eastAsia="Times New Roman" w:hAnsi="Times New Roman"/>
                <w:sz w:val="18"/>
                <w:szCs w:val="18"/>
                <w:color w:val="0000FF"/>
                <w:w w:val="99"/>
              </w:rPr>
              <w:t>DEADLINE FOR SUBMISSION OF STOCKHOLDER PROPOSALS FOR 2027 ANNUAL MEETING</w:t>
            </w:r>
          </w:p>
        </w:tc>
        <w:tc>
          <w:tcPr>
            <w:tcW w:w="250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6120" w:type="dxa"/>
            <w:vAlign w:val="bottom"/>
            <w:tcBorders>
              <w:bottom w:val="single" w:sz="8" w:color="0000FF"/>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FF"/>
                <w:w w:val="99"/>
              </w:rPr>
              <w:t>DELIVERY OF DOCUMENTS TO STOCKHOLDERS SHARING AN ADDRESS</w:t>
            </w:r>
          </w:p>
        </w:tc>
        <w:tc>
          <w:tcPr>
            <w:tcW w:w="20" w:type="dxa"/>
            <w:vAlign w:val="bottom"/>
            <w:tcBorders>
              <w:bottom w:val="single" w:sz="8" w:color="0000EE"/>
            </w:tcBorders>
          </w:tcPr>
          <w:p>
            <w:pPr>
              <w:spacing w:after="0"/>
              <w:rPr>
                <w:sz w:val="17"/>
                <w:szCs w:val="17"/>
                <w:color w:val="auto"/>
              </w:rPr>
            </w:pPr>
          </w:p>
        </w:tc>
        <w:tc>
          <w:tcPr>
            <w:tcW w:w="398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am I being asked to vote on?</w:t>
      </w:r>
    </w:p>
    <w:p>
      <w:pPr>
        <w:spacing w:after="0" w:line="121"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two matters scheduled for a vote at the Annual Meeting, which are described in more detail below in this Proxy Statement:</w:t>
      </w:r>
    </w:p>
    <w:p>
      <w:pPr>
        <w:spacing w:after="0" w:line="117" w:lineRule="exact"/>
        <w:rPr>
          <w:rFonts w:ascii="Times New Roman" w:cs="Times New Roman" w:eastAsia="Times New Roman" w:hAnsi="Times New Roman"/>
          <w:sz w:val="18"/>
          <w:szCs w:val="18"/>
          <w:b w:val="1"/>
          <w:bCs w:val="1"/>
          <w:color w:val="auto"/>
        </w:rPr>
      </w:pPr>
    </w:p>
    <w:p>
      <w:pPr>
        <w:ind w:left="1020" w:right="40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Election of the six nominees for director named in this Proxy Statement for a one-year term expiring at the 2027 Annual Meeting (“Proposal No. 1”);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Ratification of the appointment of PricewaterhouseCoopers LLP as the Company’s independent registered public accounting firm for the fiscal year ending December 31, 2026 (“Proposal No.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are needed to approve each proposal?</w:t>
      </w:r>
    </w:p>
    <w:p>
      <w:pPr>
        <w:spacing w:after="0" w:line="121" w:lineRule="exact"/>
        <w:rPr>
          <w:sz w:val="20"/>
          <w:szCs w:val="20"/>
          <w:color w:val="auto"/>
        </w:rPr>
      </w:pPr>
    </w:p>
    <w:p>
      <w:pPr>
        <w:ind w:right="80" w:firstLine="8"/>
        <w:spacing w:after="0" w:line="258" w:lineRule="auto"/>
        <w:tabs>
          <w:tab w:leader="none" w:pos="2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Proposal No. 1, the six nominees receiving the highest number of “FOR” votes from the holders of shares present by remote communication or represented by proxy and entitled to vote on the election of directors will be elected for a one-year term expiring at the 2027 Annual Meeting. You may choose to vote for or withhold your vote from one or more of such nominees. Withholding a vote from a director nominee will not be voted with respect to the director nominee indicated and will have no impact on the election of directors, although it will be counted for purposes of establishing a quorum. Broker non-votes will have no effect on the outcome of Proposal No. 1.</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Proposal No. 2, ratification of the appointment of PricewaterhouseCoopers LLP as the Company’s independent registered public accounting firm for the fiscal year ending December 31, 2026, the affirmative vote of the holders of a majority of the shares present by remote communication or represented by proxy and entitled to vote generally on the subject matter is required for approval. Abstentions will have the same effect as votes “Against” Proposal No. 2. There will be no broker non-votes with respect to Proposal No. 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recommendations of the Board?</w:t>
      </w:r>
    </w:p>
    <w:p>
      <w:pPr>
        <w:spacing w:after="0" w:line="121"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unanimously recommends that you vote your shares as follows: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the election of the six director nominees to our Board for a one-year term expiring at the 2027 Annual Meeting;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PricewaterhouseCoopers LLP as our independent registered public accounting firm for the fiscal year ending December 31, 2026.</w:t>
      </w:r>
    </w:p>
    <w:p>
      <w:pPr>
        <w:spacing w:after="0" w:line="266"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attend the Annual Meeting, and how do I attend?</w:t>
      </w:r>
    </w:p>
    <w:p>
      <w:pPr>
        <w:spacing w:after="0" w:line="121"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stockholders are invited to attend the Annual Meeting.</w:t>
      </w:r>
    </w:p>
    <w:p>
      <w:pPr>
        <w:spacing w:after="0" w:line="22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The Annual Meeting is a virtual only meeting held through a live webcast at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You will not be able to attend the Annual Meeting in person.</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You are entitled to attend and ask questions at the Annual Meeting if you were a stockholder as of the close of business on the Record Date (i.e., March 20, 2026). To be admitted to the Annual Meeting, you will need to visit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xml:space="preserve"> and enter the 16-digit Control Number found next to the label “Control Number” on your Notice, your proxy card, or in the email in which this Proxy Statement was sent to you. If you are a beneficial stockholder, you should contact the bank, broker or other institution where you hold your account well in advance of the Annual Meeting if you have questions about obtaining your Control Number or voting instruction form to 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you attend the Annual Meeting, it is important that you submit your proxy so that your shares are voted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begin at 8:15 a.m. Eastern Time on May 19,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If you were not a stockholder as of the Record Date, or you do not log-in using your Control Number, you will be able to log-in as a guest by visiting </w:t>
      </w:r>
      <w:r>
        <w:rPr>
          <w:rFonts w:ascii="Times New Roman" w:cs="Times New Roman" w:eastAsia="Times New Roman" w:hAnsi="Times New Roman"/>
          <w:sz w:val="18"/>
          <w:szCs w:val="18"/>
          <w:i w:val="1"/>
          <w:iCs w:val="1"/>
          <w:color w:val="auto"/>
        </w:rPr>
        <w:t xml:space="preserve">www.virtualshareholdermeeting.com/IVVD2026 </w:t>
      </w:r>
      <w:r>
        <w:rPr>
          <w:rFonts w:ascii="Times New Roman" w:cs="Times New Roman" w:eastAsia="Times New Roman" w:hAnsi="Times New Roman"/>
          <w:sz w:val="18"/>
          <w:szCs w:val="18"/>
          <w:color w:val="auto"/>
        </w:rPr>
        <w:t>and registering as a guest. Please note that if you log-in as a guest, you will not be able to vote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ask questions during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 at the Annual Meeting, and how many shares can they vote?</w:t>
      </w:r>
    </w:p>
    <w:p>
      <w:pPr>
        <w:spacing w:after="0" w:line="121" w:lineRule="exact"/>
        <w:rPr>
          <w:sz w:val="20"/>
          <w:szCs w:val="20"/>
          <w:color w:val="auto"/>
        </w:rPr>
      </w:pPr>
    </w:p>
    <w:p>
      <w:pPr>
        <w:ind w:right="200" w:firstLine="8"/>
        <w:spacing w:after="0" w:line="282" w:lineRule="auto"/>
        <w:tabs>
          <w:tab w:leader="none" w:pos="23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the Record Date, there were 282,803,863 shares of common stock outstanding and entitled to vote.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stockholder entitled to vote at the Annual Meeting may cast one vote for each share of common stock owned by him, her or it that has voting power upon each matter considered at the Annual Meeting. Our stockholders do not have the right to cumulate their votes in the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can I see who is entitled to vote at the Annual Meeting?</w:t>
      </w:r>
    </w:p>
    <w:p>
      <w:pPr>
        <w:spacing w:after="0" w:line="121" w:lineRule="exact"/>
        <w:rPr>
          <w:sz w:val="20"/>
          <w:szCs w:val="20"/>
          <w:color w:val="auto"/>
        </w:rPr>
      </w:pPr>
    </w:p>
    <w:p>
      <w:pPr>
        <w:jc w:val="both"/>
        <w:ind w:right="300" w:firstLine="8"/>
        <w:spacing w:after="0" w:line="261" w:lineRule="auto"/>
        <w:tabs>
          <w:tab w:leader="none" w:pos="23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period of ten days ending on the day before the date of the Annual Meeting, a list of our record stockholders as of the close of business on the Record Date will be available for examination by any stockholder for any purpose germane to the Annual Meeting at our corporate headquarters during regular business hours. Please contact our Corporate Secretary at Invivyd, Inc., 209 Church Street, New Haven, Connecticut 06510, Attn: Corporate Secretary, (781) 819-0080 to make arrangements to inspect the list.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Where can I get technical assistance during the Annual Meeting?</w:t>
      </w:r>
    </w:p>
    <w:p>
      <w:pPr>
        <w:spacing w:after="0" w:line="121" w:lineRule="exact"/>
        <w:rPr>
          <w:sz w:val="20"/>
          <w:szCs w:val="20"/>
          <w:color w:val="auto"/>
        </w:rPr>
      </w:pPr>
    </w:p>
    <w:p>
      <w:pPr>
        <w:ind w:right="40" w:firstLine="8"/>
        <w:spacing w:after="0" w:line="266" w:lineRule="auto"/>
        <w:tabs>
          <w:tab w:leader="none" w:pos="23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platform is fully supported across browsers and devices running the most updated version of applicable software and plugins. Attendees should ensure they have a strong internet connection, allow plenty of time to log in, and can hear streaming audio prior to the start of the Annual Meeting.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have difficulty accessing the Annual Meeting or experience technical difficulties during the Annual Meeting, please call the toll-free number that will be available on our virtual stockholder login site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for assistance. Technicians will be available to help you with any technical difficulties you may have beginning 15 minutes prior to the start of the Annual Meeting, and technicians will be available through the conclusion of the Annual Meeting. Additional information regarding matters addressing technical and logistical issues, including technical support during the Annual Meeting, will be available on the Annual Meeting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is the Annual Meeting online, and will I still have the same participation rights as I would have at an in-person stockholder meeting?</w:t>
      </w:r>
    </w:p>
    <w:p>
      <w:pPr>
        <w:spacing w:after="0" w:line="121" w:lineRule="exact"/>
        <w:rPr>
          <w:sz w:val="20"/>
          <w:szCs w:val="20"/>
          <w:color w:val="auto"/>
        </w:rPr>
      </w:pPr>
    </w:p>
    <w:p>
      <w:pPr>
        <w:ind w:right="480" w:firstLine="8"/>
        <w:spacing w:after="0" w:line="266" w:lineRule="auto"/>
        <w:tabs>
          <w:tab w:leader="none" w:pos="2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hosting the Annual Meeting online, we are able to communicate more effectively with our stockholders, enable increased attendance and participation from locations around the world, reduce costs and increase overall efficiency and safety for us and our stockholders. The virtual Annual Meeting has been designed to provide the same rights to participate as you would have at an in-person meeting.</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voting online during the Annual Meeting or changing a vote you may have submitted previously by following the methods described in this Proxy Statement, stockholders who attend the Annual Meeting and log in using their Control Number will have an opportunity to submit questions online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meeting matters or company business or are inappropriate. If we receive substantially similar questions, we will group such questions together and provide a single response to avoid repetition.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another matter is properly brought before the Annual Meeting?</w:t>
      </w:r>
    </w:p>
    <w:p>
      <w:pPr>
        <w:spacing w:after="0" w:line="121" w:lineRule="exact"/>
        <w:rPr>
          <w:sz w:val="20"/>
          <w:szCs w:val="20"/>
          <w:color w:val="auto"/>
        </w:rPr>
      </w:pPr>
    </w:p>
    <w:p>
      <w:pPr>
        <w:ind w:right="140" w:firstLine="8"/>
        <w:spacing w:after="0" w:line="261" w:lineRule="auto"/>
        <w:tabs>
          <w:tab w:leader="none" w:pos="23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knows of no other matters that will be presented for consideration at the Annual Meeting. If any other matters are properly brought before the Annual Meeting and at any adjournment or postponement thereof, it is the intention of the persons named in the accompanying proxy to vote on those matters in accordance with their best judgment to the extent authorized under Rule 14a-4 under the Securities Exchange Act of 1934, as amended (the “Exchange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121"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your proxy is being solicited directly by us, and you may vote online at the Annual Meeting or vote by proxy. Whether or not you plan to attend the Annual Meeting, we urge you to vote by proxy through the internet, vote by proxy over the telephone, or vote by proxy using a proxy card that you may request or that we may elect to deliver at a later time to ensure your vote is counted. You may still attend the Annual Meeting and vote at the meeting even if you have already submitted your proxy.</w:t>
      </w:r>
    </w:p>
    <w:p>
      <w:pPr>
        <w:spacing w:after="0" w:line="68" w:lineRule="exact"/>
        <w:rPr>
          <w:sz w:val="20"/>
          <w:szCs w:val="20"/>
          <w:color w:val="auto"/>
        </w:rPr>
      </w:pPr>
    </w:p>
    <w:p>
      <w:pPr>
        <w:ind w:left="1020" w:right="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www.virtualshareholdermeeting.com/IVVD2026</w:t>
      </w:r>
      <w:r>
        <w:rPr>
          <w:rFonts w:ascii="Times New Roman" w:cs="Times New Roman" w:eastAsia="Times New Roman" w:hAnsi="Times New Roman"/>
          <w:sz w:val="18"/>
          <w:szCs w:val="18"/>
          <w:color w:val="auto"/>
        </w:rPr>
        <w:t>. You will need to enter the Control Number found on your Notice, your proxy card,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email sending you the Proxy Statement.</w:t>
      </w:r>
    </w:p>
    <w:p>
      <w:pPr>
        <w:spacing w:after="0" w:line="62" w:lineRule="exact"/>
        <w:rPr>
          <w:rFonts w:ascii="Times New Roman" w:cs="Times New Roman" w:eastAsia="Times New Roman" w:hAnsi="Times New Roman"/>
          <w:sz w:val="18"/>
          <w:szCs w:val="18"/>
          <w:color w:val="auto"/>
        </w:rPr>
      </w:pPr>
    </w:p>
    <w:p>
      <w:pPr>
        <w:ind w:left="1020" w:right="58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submit your proxy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(until 11:59 p.m. Eastern Time on May 18, 2026),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as described below.</w:t>
      </w:r>
    </w:p>
    <w:p>
      <w:pPr>
        <w:spacing w:after="0" w:line="50"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by mail, please request a paper copy of the materials, which will include a proxy card. Please promptly complete, sign and date the proxy card and return it promptly to ensure that it is received prior to the closing of the polls at the Annual Meeting.</w:t>
      </w:r>
    </w:p>
    <w:p>
      <w:pPr>
        <w:spacing w:after="0" w:line="67" w:lineRule="exact"/>
        <w:rPr>
          <w:rFonts w:ascii="Times New Roman" w:cs="Times New Roman" w:eastAsia="Times New Roman" w:hAnsi="Times New Roman"/>
          <w:sz w:val="18"/>
          <w:szCs w:val="18"/>
          <w:color w:val="auto"/>
        </w:rPr>
      </w:pPr>
    </w:p>
    <w:p>
      <w:pPr>
        <w:ind w:left="2040" w:right="40" w:hanging="505"/>
        <w:spacing w:after="0" w:line="258" w:lineRule="auto"/>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your proxy card but do not indicate how you wish to vote, the proxies will vote your shares “FOR ALL” for the election of the six named director nominees and “FOR” the ratification of PricewaterhouseCoopers LLP as our independent registered public accounting firm for the fiscal year ending December 31, 2026 and, if any other matter is properly presented at the Annual Meeting, your proxy (one of the individuals named on your proxy card) will vote your shares using his or her discretion.</w:t>
      </w:r>
    </w:p>
    <w:p>
      <w:pPr>
        <w:spacing w:after="0" w:line="75"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Unsigned proxy cards will not be counted.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proxy over the telephone, dial toll-free 1-800-690-6903 using a touch-tone phone and follow the recorded instructions. You will be asked to provide the Control Number found on your Notice, your proxy card, or in the email sending you the Proxy Statement. Your telephone proxy must be received by 11:59 p.m., Eastern Time on May 18, 2026 to be counted.</w:t>
      </w:r>
    </w:p>
    <w:p>
      <w:pPr>
        <w:spacing w:after="0" w:line="65" w:lineRule="exact"/>
        <w:rPr>
          <w:rFonts w:ascii="Times New Roman" w:cs="Times New Roman" w:eastAsia="Times New Roman" w:hAnsi="Times New Roman"/>
          <w:sz w:val="18"/>
          <w:szCs w:val="18"/>
          <w:color w:val="auto"/>
        </w:rPr>
      </w:pPr>
    </w:p>
    <w:p>
      <w:pPr>
        <w:ind w:left="1540" w:right="60" w:hanging="514"/>
        <w:spacing w:after="0" w:line="261"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submit your proxy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Control Number found on your Notice, your proxy card, or in the email sending you the Proxy Statement. You may submit your proxy through the internet 24 hours a day. Your internet proxy must be received by 11:59 p.m. Eastern Time on May 18, 2026 to be counted.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held indirectly (that is, you held your shares in “street name” in a brokerage account or by another nominee holder), then you are a beneficial owner.</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you are a beneficial owner, a Notice or voting instruction form has been provided to you by your broker, bank or other agent describing how to submit voting instructions for your shares.</w:t>
      </w:r>
    </w:p>
    <w:p>
      <w:pPr>
        <w:spacing w:after="0" w:line="54" w:lineRule="exact"/>
        <w:rPr>
          <w:sz w:val="20"/>
          <w:szCs w:val="20"/>
          <w:color w:val="auto"/>
        </w:rPr>
      </w:pPr>
    </w:p>
    <w:p>
      <w:pPr>
        <w:ind w:left="1020" w:right="2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a voting instruction form, you can submit your voting instructions by completing and returning such voting instruction form. Please be sure to mark your voting choices on your voting instruction form before you return it. You may also be able to submit your voting instructions by telephone or through the internet or at the Annual Meeting, depending on your voting instructions (with a legal proxy from your broker, bank or other agent). Please refer to the instructions provided with your voting instruction form for information about submitting your voting instructions in these ways. See also “</w:t>
      </w:r>
      <w:r>
        <w:rPr>
          <w:rFonts w:ascii="Times New Roman" w:cs="Times New Roman" w:eastAsia="Times New Roman" w:hAnsi="Times New Roman"/>
          <w:sz w:val="18"/>
          <w:szCs w:val="18"/>
          <w:i w:val="1"/>
          <w:iCs w:val="1"/>
          <w:color w:val="auto"/>
        </w:rPr>
        <w:t>If I am a beneficial owner of shares held in street name and I do not provide my broker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 with voting instructions, what happens?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566420</wp:posOffset>
            </wp:positionV>
            <wp:extent cx="7136130" cy="475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7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0" w:right="26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does it mean to vote by proxy?</w:t>
      </w:r>
    </w:p>
    <w:p>
      <w:pPr>
        <w:spacing w:after="0" w:line="121" w:lineRule="exact"/>
        <w:rPr>
          <w:sz w:val="20"/>
          <w:szCs w:val="20"/>
          <w:color w:val="auto"/>
        </w:rPr>
      </w:pPr>
    </w:p>
    <w:p>
      <w:pPr>
        <w:ind w:right="80" w:firstLine="8"/>
        <w:spacing w:after="0" w:line="258" w:lineRule="auto"/>
        <w:tabs>
          <w:tab w:leader="none" w:pos="2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a person you appoint to vote on your behalf. Unless you vote live during the Annual Meeting, by voting using any of the other methods described in this Proxy Statement, you will be appointing as your proxies William Duke, Jr., our Chief Financial Officer, and Jill Andersen, our Chief Legal Officer and Corporate Secretary. They may act together or individually on your behalf, and will have the authority to appoint a substitute to act as proxy. Whether or not you expect to attend the Annual Meeting, we request that you please use the means available to you to vote by proxy so as to ensure that your shares of common stock may be voted.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If I am a beneficial owner of shares held in street name and I do not provide my broker or bank with voting instructions, what happens?</w:t>
      </w:r>
    </w:p>
    <w:p>
      <w:pPr>
        <w:spacing w:after="0" w:line="121"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beneficial owner of shares held in street name and your voting instruction form or Notice does not indicate that you may vote your shares</w:t>
      </w:r>
    </w:p>
    <w:p>
      <w:pPr>
        <w:spacing w:after="0" w:line="27" w:lineRule="exact"/>
        <w:rPr>
          <w:rFonts w:ascii="Times New Roman" w:cs="Times New Roman" w:eastAsia="Times New Roman" w:hAnsi="Times New Roman"/>
          <w:sz w:val="18"/>
          <w:szCs w:val="18"/>
          <w:b w:val="1"/>
          <w:bCs w:val="1"/>
          <w:color w:val="auto"/>
        </w:rPr>
      </w:pPr>
    </w:p>
    <w:p>
      <w:pPr>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directly (or you have not obtained a legal proxy from your broker, bank or other agent), you must provide your broker, bank or other agent with instructions on how to vote your shares for “non-routine” matters. Your brokerage firm is entitled to vote shares held for a beneficial holder on discretionary, or “routine,” matters, such as the ratification of the appointment of PricewaterhouseCoopers LLP as our independent registered public accounting firm, without instructions from the beneficial holder of those shares. On the other hand, a brokerage firm is not entitled to vote shares held for a beneficial holder on certain non-discretionary items, or “non-routine” matters, such as the election of directors. Consequently, if you do not submit any voting instructions to your brokerage firm, your brokerage firm may exercise its discretion to vote your shares only on the proposal to ratify the appointment of PricewaterhouseCoopers LLP. For non-discretionary matters, if you do not submit any voting instructions, your shares will (i) constitute “broker non-votes,” (ii) count for establishing the presence of a quorum, and (iii) have no effect on the election of directors.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 or revoke my proxy?</w:t>
      </w:r>
    </w:p>
    <w:p>
      <w:pPr>
        <w:spacing w:after="0" w:line="121"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can revoke your proxy at any time before the final vote at the Annual Meeting.</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by: (1) submitting a new proxy on the internet or by telephone or submitting another properly completed proxy card with a later date than your original card, but no later than (x) 11:59 p.m. on May 17, 2026 if you are submitting by mail and</w:t>
      </w:r>
    </w:p>
    <w:p>
      <w:pPr>
        <w:ind w:right="100"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on May 18, 2026 if you are submitting by telephone or internet; or (2) attending and voting at the Annual Meeting (note that simply attending the Annual Meeting will not, by itself, revoke your proxy). We will count your vote in accordance with the last instructions we receive from you prior to the closing of the polls.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beneficial owner, you should follow the instructions provided by your broker, bank or other agent.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are votes counted?</w:t>
      </w:r>
    </w:p>
    <w:p>
      <w:pPr>
        <w:spacing w:after="0" w:line="121" w:lineRule="exact"/>
        <w:rPr>
          <w:sz w:val="20"/>
          <w:szCs w:val="20"/>
          <w:color w:val="auto"/>
        </w:rPr>
      </w:pPr>
    </w:p>
    <w:p>
      <w:pPr>
        <w:ind w:right="160" w:firstLine="8"/>
        <w:spacing w:after="0" w:line="261" w:lineRule="auto"/>
        <w:tabs>
          <w:tab w:leader="none" w:pos="2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No. 1, “For” and “Withhold” votes and broker non-votes for each nominee; and, for Proposal No. 2, “For” and “Against” votes and abstentions. Your vote will not be disclosed either within our Company or to third parties, except as necessary to meet applicable legal requirements, to allow for the tabulation of votes and certificate of the vote, and to facilitate a successful proxy solicitation.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quorum requirement, and what happens if a quorum is not present at the Annual Meeting?</w:t>
      </w:r>
    </w:p>
    <w:p>
      <w:pPr>
        <w:spacing w:after="0" w:line="121" w:lineRule="exact"/>
        <w:rPr>
          <w:sz w:val="20"/>
          <w:szCs w:val="20"/>
          <w:color w:val="auto"/>
        </w:rPr>
      </w:pPr>
    </w:p>
    <w:p>
      <w:pPr>
        <w:ind w:right="60" w:firstLine="8"/>
        <w:spacing w:after="0" w:line="261" w:lineRule="auto"/>
        <w:tabs>
          <w:tab w:leader="none" w:pos="2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by remote communication or represented by proxy. On the Record Date, there were 282,803,863 shares of common stock outstanding and entitled to vote. Thus, the holders of 141,401,932 shares must be present by remote communication or represented by proxy at the Annual Meeting to have a quorum.</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attend the meeting (see “</w:t>
      </w:r>
      <w:r>
        <w:rPr>
          <w:rFonts w:ascii="Times New Roman" w:cs="Times New Roman" w:eastAsia="Times New Roman" w:hAnsi="Times New Roman"/>
          <w:sz w:val="18"/>
          <w:szCs w:val="18"/>
          <w:i w:val="1"/>
          <w:iCs w:val="1"/>
          <w:color w:val="auto"/>
        </w:rPr>
        <w:t>Who can attend the Annual Meeting, and how do I attend?</w:t>
      </w:r>
      <w:r>
        <w:rPr>
          <w:rFonts w:ascii="Times New Roman" w:cs="Times New Roman" w:eastAsia="Times New Roman" w:hAnsi="Times New Roman"/>
          <w:sz w:val="18"/>
          <w:szCs w:val="18"/>
          <w:color w:val="auto"/>
        </w:rPr>
        <w:t>” above for details). Abstentions and broker non-votes, if any, will be counted towards the quorum requirement. If there is no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quorum, the Annual Meeting will be adjourned by either the chairperson of the meeting or by the vote of a majority of the shares present by remote communication or represented by proxy, until a quorum is obtained. If an adjournment is for more than 30 days or a new record date is fixed for the adjourned meeting, we will provide notice of the adjourned meeting to each stockholder of record entitled to vote at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Where can I access the Annual Report?</w:t>
      </w:r>
    </w:p>
    <w:p>
      <w:pPr>
        <w:spacing w:after="0" w:line="121" w:lineRule="exact"/>
        <w:rPr>
          <w:sz w:val="20"/>
          <w:szCs w:val="20"/>
          <w:color w:val="auto"/>
        </w:rPr>
      </w:pPr>
    </w:p>
    <w:p>
      <w:pPr>
        <w:ind w:firstLine="8"/>
        <w:spacing w:after="0" w:line="256" w:lineRule="auto"/>
        <w:tabs>
          <w:tab w:leader="none" w:pos="2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our 2025 Annual Report, which consists of our Annual Report on Form 10-K for the year ended December 31, 2025, has been made available or mailed concurrently with this Proxy Statement, without charge, to our stockholders entitled to notice of and to vote at the Annual Meeting, provided that we have not included the exhibits to the Annual Report on Form 10-K. We will provide copies of the exhibits to the Form 10-K upon request by eligible stockholders, provided that we may impose a reasonable fee for providing such exhibits, which is limited to our reasonable expenses. Requests for copies of such exhibits should be mailed to our Corporate Secretary at Invivyd, Inc., 209 Church Street, New Haven, Connecticut 06510, Attn: Corporate Secretary.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did I receive a notice in the mail regarding the internet availability of proxy materials instead of a full set of proxy materials?</w:t>
      </w:r>
    </w:p>
    <w:p>
      <w:pPr>
        <w:spacing w:after="0" w:line="121" w:lineRule="exact"/>
        <w:rPr>
          <w:sz w:val="20"/>
          <w:szCs w:val="20"/>
          <w:color w:val="auto"/>
        </w:rPr>
      </w:pPr>
    </w:p>
    <w:p>
      <w:pPr>
        <w:ind w:right="100" w:firstLine="8"/>
        <w:spacing w:after="0" w:line="258" w:lineRule="auto"/>
        <w:tabs>
          <w:tab w:leader="none" w:pos="2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elected to provide access to our proxy materials on the internet. Accordingly, we are sending the Notice to our stockholders. All stockholders will have the ability to access the proxy materials on the website referred to in the Notice or request to receive a printed set of the proxy materials. Instructions on how to access the proxy materials on the internet or to request a printed copy may be found in the Notice. In addition, stockholders may request to receive proxy materials in printed form by mail or electronically by email on an ongoing basis. We encourage stockholders to take advantage of the availability of proxy materials on the internet to help us reduce the environmental impact of the Annual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does it mean if I receive more than one Notice or set of proxy materials?</w:t>
      </w:r>
    </w:p>
    <w:p>
      <w:pPr>
        <w:spacing w:after="0" w:line="121" w:lineRule="exact"/>
        <w:rPr>
          <w:sz w:val="20"/>
          <w:szCs w:val="20"/>
          <w:color w:val="auto"/>
        </w:rPr>
      </w:pPr>
    </w:p>
    <w:p>
      <w:pPr>
        <w:ind w:right="120" w:firstLine="8"/>
        <w:spacing w:after="0" w:line="266" w:lineRule="auto"/>
        <w:tabs>
          <w:tab w:leader="none" w:pos="23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receive more than one Notice or set of proxy materials, your shares may be registered in more than one name or in different accounts. To ensure that all of your shares are voted, please submit each proxy card or voting instruction form you receive or, if you submit a proxy over the internet or by telephone, you will need to enter each of your Control Numbers.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will proxies be solicited and who is paying for the cost of the proxy solicitation?</w:t>
      </w:r>
    </w:p>
    <w:p>
      <w:pPr>
        <w:spacing w:after="0" w:line="121" w:lineRule="exact"/>
        <w:rPr>
          <w:sz w:val="20"/>
          <w:szCs w:val="20"/>
          <w:color w:val="auto"/>
        </w:rPr>
      </w:pPr>
    </w:p>
    <w:p>
      <w:pPr>
        <w:ind w:right="180" w:firstLine="8"/>
        <w:spacing w:after="0" w:line="261" w:lineRule="auto"/>
        <w:tabs>
          <w:tab w:leader="none" w:pos="23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pay for the entire cost of soliciting proxies, including the printing, handling and mailing of the Annual Meeting materials. In addition to these proxy materials, our directors and certain executive officers may, without additional remuneration, solicit proxies in person, by telephone, or by other means of communication. We may also reimburse brokerage firms, banks and other agents for their reasonable out-of-pocket expenses for forwarding proxy materials to our stockholders,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the independent registered public accounting firm, and will it be represented at the Annual Meeting?</w:t>
      </w:r>
    </w:p>
    <w:p>
      <w:pPr>
        <w:spacing w:after="0" w:line="121" w:lineRule="exact"/>
        <w:rPr>
          <w:sz w:val="20"/>
          <w:szCs w:val="20"/>
          <w:color w:val="auto"/>
        </w:rPr>
      </w:pPr>
    </w:p>
    <w:p>
      <w:pPr>
        <w:ind w:right="60" w:firstLine="8"/>
        <w:spacing w:after="0" w:line="258" w:lineRule="auto"/>
        <w:tabs>
          <w:tab w:leader="none" w:pos="2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PricewaterhouseCoopers LLP served as our independent registered public accounting firm for the fiscal year ended December 31, 2025 and audited our financial statements for such fiscal year. We expect that one or more representatives of PricewaterhouseCoopers LLP will be present at the Annual Meeting. They will have an opportunity to make a statement, if they desire, and will be available to answer appropriate questions during a portion of the Annual Meeting. PricewaterhouseCoopers LLP has been appointed by the Audit Committee of our Board (the “Audit Committee”) to serve as our independent registered public accounting firm for the fiscal year ending December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are we being asked to ratify the appointment of PricewaterhouseCoopers LLP?</w:t>
      </w:r>
    </w:p>
    <w:p>
      <w:pPr>
        <w:spacing w:after="0" w:line="121" w:lineRule="exact"/>
        <w:rPr>
          <w:sz w:val="20"/>
          <w:szCs w:val="20"/>
          <w:color w:val="auto"/>
        </w:rPr>
      </w:pPr>
    </w:p>
    <w:p>
      <w:pPr>
        <w:ind w:right="20" w:firstLine="8"/>
        <w:spacing w:after="0" w:line="266" w:lineRule="auto"/>
        <w:tabs>
          <w:tab w:leader="none" w:pos="2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stockholder approval of the Audit Committee’s appointment of PricewaterhouseCoopers LLP as our independent registered public accounting firm is not required, we believe that it is advisable to give stockholders an opportunity to ratify this appointment. If this proposal is not approved at the Annual Meeting, the Audit Committee may reconsider its appointment of PricewaterhouseCoopers LLP, but will not be required to take any 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can I find out the results of the voting at the Annual Meeting?</w:t>
      </w:r>
    </w:p>
    <w:p>
      <w:pPr>
        <w:spacing w:after="0" w:line="121" w:lineRule="exact"/>
        <w:rPr>
          <w:sz w:val="20"/>
          <w:szCs w:val="20"/>
          <w:color w:val="auto"/>
        </w:rPr>
      </w:pPr>
    </w:p>
    <w:p>
      <w:pPr>
        <w:ind w:firstLine="8"/>
        <w:spacing w:after="0" w:line="266" w:lineRule="auto"/>
        <w:tabs>
          <w:tab w:leader="none" w:pos="23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reported in a Current Report on Form 8-K, which we will file with the Securities and Exchange Commission (the “SEC”) on EDGAR at www.sec.gov within four business days of the Annual Meeting.</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SIX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Size of the Board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Board currently consists of six directors, </w:t>
      </w:r>
      <w:r>
        <w:rPr>
          <w:rFonts w:ascii="Times New Roman" w:cs="Times New Roman" w:eastAsia="Times New Roman" w:hAnsi="Times New Roman"/>
          <w:sz w:val="18"/>
          <w:szCs w:val="18"/>
          <w:color w:val="231F20"/>
        </w:rPr>
        <w:t>each serving a term that will expire at the 2026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Nominees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Our Board, upon the recommendation of the </w:t>
      </w:r>
      <w:r>
        <w:rPr>
          <w:rFonts w:ascii="Times New Roman" w:cs="Times New Roman" w:eastAsia="Times New Roman" w:hAnsi="Times New Roman"/>
          <w:sz w:val="18"/>
          <w:szCs w:val="18"/>
          <w:color w:val="231F20"/>
        </w:rPr>
        <w:t>Nominating and Corporate Governance Committee of the Board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Committee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has nominated current directors Tamsin</w:t>
      </w:r>
      <w:r>
        <w:rPr>
          <w:rFonts w:ascii="Times New Roman" w:cs="Times New Roman" w:eastAsia="Times New Roman" w:hAnsi="Times New Roman"/>
          <w:sz w:val="18"/>
          <w:szCs w:val="18"/>
          <w:color w:val="231F20"/>
        </w:rPr>
        <w:t xml:space="preserve"> Berry, Paul B. Bolno, M.D., Marc Elia, Terrance McGuire, Kevin F. McLaughlin and Ajay Royan for re-election to our Board </w:t>
      </w:r>
      <w:r>
        <w:rPr>
          <w:rFonts w:ascii="Times New Roman" w:cs="Times New Roman" w:eastAsia="Times New Roman" w:hAnsi="Times New Roman"/>
          <w:sz w:val="18"/>
          <w:szCs w:val="18"/>
          <w:color w:val="000000"/>
        </w:rPr>
        <w:t>as directors, each to serve until the 2027 Annual Meeting and until such director’s successor is elected and qualified or until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director’s earlier death, resignation or removal.</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Detailed biographical information regarding each of the nominees is provided in this Proxy Statement below under the heading “Director Nominees.” Each of the nominees has been determined by our Board to be independent.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a nominee is unable or unwilling to serve, the shares to be voted for such nominee that are represented by proxies will be voted for any substitute nominee designated by our Board. The Company did not receive any stockholder nominations for director. If a quorum is present at the Annual Meeting, the six nominees for director receiving the highest number of “FOR” votes cast, by remote communication or by proxy, will be elected to serve as directors. Withheld votes and broker non-votes will have no effect on the election of directors. If not otherwise specified, proxies will be voted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of the nominees for director named above.</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FOR ALL</w:t>
      </w:r>
      <w:r>
        <w:rPr>
          <w:rFonts w:ascii="Times New Roman" w:cs="Times New Roman" w:eastAsia="Times New Roman" w:hAnsi="Times New Roman"/>
          <w:sz w:val="18"/>
          <w:szCs w:val="18"/>
          <w:b w:val="1"/>
          <w:bCs w:val="1"/>
          <w:color w:val="auto"/>
        </w:rPr>
        <w:t>” THE ELECTION OF THE DIRECTOR NOMINEES NAMED ABOVE.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PricewaterhouseCoopers LLP as the Company’s independent registered public accounting firm for the fiscal year ending December 31, 2026 and has further directed that management submit the appointment of the independent registered public accounting firm for ratification by the stockholders at the Annual Meeting. PricewaterhouseCoopers LLP has audited the Company’s financial statements since its inception in 2020.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Neither the Company’s Amended and Restated Bylaws </w:t>
      </w:r>
      <w:r>
        <w:rPr>
          <w:rFonts w:ascii="Times New Roman" w:cs="Times New Roman" w:eastAsia="Times New Roman" w:hAnsi="Times New Roman"/>
          <w:sz w:val="18"/>
          <w:szCs w:val="18"/>
          <w:color w:val="231F20"/>
        </w:rPr>
        <w:t>(as amended, the</w:t>
      </w:r>
      <w:r>
        <w:rPr>
          <w:rFonts w:ascii="Times New Roman" w:cs="Times New Roman" w:eastAsia="Times New Roman" w:hAnsi="Times New Roman"/>
          <w:sz w:val="18"/>
          <w:szCs w:val="18"/>
          <w:color w:val="auto"/>
        </w:rPr>
        <w:t xml:space="preserve"> “Bylaws”), nor other governing documents or law require stockholder ratification of the appointment of PricewaterhouseCoopers LLP as the Company’s independent registered public accounting firm. However, the Audit Committee is submitting the appointment of PricewaterhouseCoopers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different independent auditors at any time during the year if the Audit Committee determines that such a change would be in the best interests of the Company and its stockholders.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remote communication or represented by proxy and entitled to vote on the matter at the Annual Meeting will be required to ratify the appointment of PricewaterhouseCoopers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December 31, 2024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 the Company’s independent registered public accounting firm:</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1,247,600</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1,249,725</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ind w:left="520" w:right="40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audits and reviews of the Company’s consolidated financial statements, issuance of consents, comfort letter procedures, assistance with review of documents filed with the SEC and out-of-pocket expenses incurred.</w:t>
      </w: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an annual license fee for the use of accounting disclosure checklists.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permissible non-audit services up to specified amounts. Any pre-approval decisions made pursuant to delegated authority must be reported to the full Audit Committee at its next scheduled meeting.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RATIFICATION OF THE APPOINTMENT OF PRICEWATERHOUSECOOPERS LLP</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THE COMPANY’S INDEPENDENT REGISTERED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 FOR THE FISCAL YEAR ENDING DECEMBER 31, 2026.</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of our nominees for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Tamsin Berry</w:t>
      </w:r>
      <w:r>
        <w:rPr>
          <w:rFonts w:ascii="Times New Roman" w:cs="Times New Roman" w:eastAsia="Times New Roman" w:hAnsi="Times New Roman"/>
          <w:sz w:val="18"/>
          <w:szCs w:val="18"/>
          <w:i w:val="1"/>
          <w:iCs w:val="1"/>
          <w:color w:val="231F20"/>
        </w:rPr>
        <w:t>, age 45</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Tamsin Berry has served as a member of our Board since June 2022. Ms. Berry has served as a partner at Population Health Partners, a global investment firm, since June 2020. Between March 2024 and April 2025, she was employed by The Ellison Institute of Technology Oxford as the Chief of Staff (part-time). From November 2021 through February 2025, she served as non-executive director, and also as a board member, of the Global Pathogen Analysis Service, a not-for-profit pathogen surveillance bioinformatics company. From March 2021 to March 2023, she served as an advisor to EQRx, Inc., a biotechnology firm. From December 2020 to February 2024, she served as advisor to University of Oxford for the Global Health Security Consortium, which includes the Tony Blair Institute. From February 2019 to March 2020, 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 in Philosophy. We believe Ms. Berry is qualified to serve as a member of our Board because of her extensive experience in government and expertise in health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Paul B. Bolno, M.D.</w:t>
      </w:r>
      <w:r>
        <w:rPr>
          <w:rFonts w:ascii="Times New Roman" w:cs="Times New Roman" w:eastAsia="Times New Roman" w:hAnsi="Times New Roman"/>
          <w:sz w:val="18"/>
          <w:szCs w:val="18"/>
          <w:i w:val="1"/>
          <w:iCs w:val="1"/>
          <w:color w:val="231F20"/>
        </w:rPr>
        <w:t>, age 52</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31F20"/>
        </w:rPr>
        <w:t>Paul B. Bolno, M.D. has served as a member of our Board since September 2025. Dr. Bolno has served as President and Chief Executive Officer of Wave Life Sciences Ltd. (“Wave”) since 2013, and as a director since April 2014, and oversaw Wave’s initial public offering in 2015. During his tenure as President and Chief Executive Officer, Dr. Bolno has grown Wave into a leading RNA medicines company, overseen the development of the company’s proprietary PRISM® platform, and built a diversified pipeline of preclinical and clinical programs supported by scalable, in-house manufacturing capabilities. In addition to his current role at Wave, Dr. Bolno serves as Chairman of the Board of Directors of ExpressionEdits and as Chairman of the Scientific Advisory Group for the Nucleic Acid Therapy Accelerator in the United Kingdom. From June 2020 through March 2024, Dr. Bolno served on the Board of Directors of SQZ Biotechnologies, a publicly-traded life sciences company that was acquired by STEMCELL Technologies Canada Acquisitions, Inc. in March 2024. Prior to joining Wave, Dr. Bolno was Vice President, Worldwide Business Development—Head of Asia BD and Investments, as well as Head of Global Neuroscience BD, at GlaxoSmithKline PLC (“GSK”). Dr. Bolno also served as a Director of Glaxo Wellcome Manufacturing, Pte Ltd. in Singapore. Dr. Bolno joined GSK as Vice President, Business Development for the Oncology Business Unit, where he helped establish GSK’s global oncology business and served as a member of the Oncology Executive Team, Oncology Commercial Board and Cancer Research Executive Team. Prior to GSK, Dr. Bolno served as Director of Research at Two River LLC, a healthcare private equity firm. Dr. Bolno holds a medical degree from MCP-Hahnemann School of Medicine and an M.B.A. from Drexel University. He was a general surgery resident and cardiothoracic surgery postdoctoral research fellow at Drexel University College of Medicine. We believe Dr. Bolno is qualified to serve as a member of our Board because of his extensive executive and operating management experience in the biotech and pharmaceutical industries.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Marc Elia</w:t>
      </w:r>
      <w:r>
        <w:rPr>
          <w:rFonts w:ascii="Times New Roman" w:cs="Times New Roman" w:eastAsia="Times New Roman" w:hAnsi="Times New Roman"/>
          <w:sz w:val="18"/>
          <w:szCs w:val="18"/>
          <w:i w:val="1"/>
          <w:iCs w:val="1"/>
          <w:color w:val="231F20"/>
        </w:rPr>
        <w:t>, age 50</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Marc Elia has served as a member of our Board since June 2022 and as Chairperson of our Board since July 2022. Mr. Elia is the founder and chief investment officer of M28 Capital Management L.P., a healthcare sector investment fund, positions he has held since September 2019. Prior to that, from January 2012 to September 2019, Mr. Elia served as a partner at Bridger Capital, an investment fund. Mr. Elia currently serves on the board of directors of Fractyl Health, Inc., a publicly-traded metabolic therapeutics company. He previously served on the board of directors of SQZ Biotechnologies Company. Prior to his career in investing, Mr. Elia held various roles across the biotechnology industry at N30 Pharmaceuticals, Chiron Corporation, and L.E.K. Consulting. Mr. Elia previously served as a director of the Company from July 2020 to April 2021. Mr. Elia holds a B.A. in Economics from Carleton College. We believe Mr. Elia is qualified to serve as a member of our Board because of his broad operational and transactional experience, particularly in the pharmaceutical and biotech industries.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Terrance McGuire</w:t>
      </w:r>
      <w:r>
        <w:rPr>
          <w:rFonts w:ascii="Times New Roman" w:cs="Times New Roman" w:eastAsia="Times New Roman" w:hAnsi="Times New Roman"/>
          <w:sz w:val="18"/>
          <w:szCs w:val="18"/>
          <w:i w:val="1"/>
          <w:iCs w:val="1"/>
          <w:color w:val="231F20"/>
        </w:rPr>
        <w:t>, age 70</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Terrance McGuire has served as a member of our Board since October 2020. Mr. McGuire was a co-founder and is currently a general partner of Polaris Partners. He currently serves on the boards of directors of Seer, Inc., a publicly-traded life sciences company focused on capturing deep molecular insights from the proteome to enable novel insights and breakthroughs in the understanding of biology and disease, and Tectonic Therapeutic, Inc., a publicly traded biotechnology company focused on the discovery and development of therapeutic proteins and antibodies that modulate the activity of G-Protein Coupled Receptors. Mr. McGuire also serves on the board of directors of several private companies, including Adimab, LLC. Mr. McGuire previously served on the boards of directors of Alector, Inc., Acceleron Pharma, Inc., Akamai Technologies, Inc., Cubist, Inc., Cyclerion Therapeutics,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 Mr. McGuire holds a B.S. in physics and economics from Hobart College, an M.S. in engineering from the Thayer School at Dartmouth College, and an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Kevin F. McLaughlin</w:t>
      </w:r>
      <w:r>
        <w:rPr>
          <w:rFonts w:ascii="Times New Roman" w:cs="Times New Roman" w:eastAsia="Times New Roman" w:hAnsi="Times New Roman"/>
          <w:sz w:val="18"/>
          <w:szCs w:val="18"/>
          <w:i w:val="1"/>
          <w:iCs w:val="1"/>
          <w:color w:val="231F20"/>
        </w:rPr>
        <w:t>, age 69</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Kevin F. McLaughlin has served as a member of our Board since May 2024. Mr. McLaughlin has more than 40 years of financial and operating management experience spanning the biotech, high-tech and education industries. From 2010 to 2021, he served as Senior Vice President, Chief Financial Officer and Treasurer of Acceleron Pharma Inc. (“Acceleron”) until its acquisition by Merck &amp; Co., Inc. in November 2021. Prior to Acceleron, he was Senior Vice President and Chief Financial Officer of Qteros, Inc., a cellulosic biofuels company, from 2009 through 2010, and from 2007 through 2009 was Co-Founder, Chief Operating Officer and a Director of Aptius Education, Inc. a publishing company. From 1996 through 2007, Mr. McLaughlin held several executive positions with PRAECIS Pharmaceuticals Incorporated. He joined PRAECIS as its first Chief Financial Officer, later becoming Chief Operating Officer, and then President and Chief Executive Officer and a member of the Board of Directors. He remained in this role until the sale of the company to GSK plc (formerly GlaxoSmithKline). Mr. McLaughlin currently serves on the board of directors of Vericel Corporation, a publicly-traded leading provider of advanced therapies for the sports medicine and severe burn care markets, and two private biotech companies. He previously served on the board of directors of Decibel Therapeutics, until its sale to Regeneron Pharmaceuticals, and the Board of Directors of Stealth Biotherapeutics, until it was brought private by a venture firm. Mr. McLaughlin began his career in senior financial roles at Prime Computer, Inc. and Computervision Corporation. Mr. McLaughlin received a B.S. from Northeastern University and an M.B.A. from the F.W. Olin Graduate School of Business at Babson College. We believe that Mr. McLaughlin is qualified to serve as a member of our Board because of his extensive executive, financial and operating management experience, particularly in the biotech and pharmaceutical industries.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Ajay Royan</w:t>
      </w:r>
      <w:r>
        <w:rPr>
          <w:rFonts w:ascii="Times New Roman" w:cs="Times New Roman" w:eastAsia="Times New Roman" w:hAnsi="Times New Roman"/>
          <w:sz w:val="18"/>
          <w:szCs w:val="18"/>
          <w:i w:val="1"/>
          <w:iCs w:val="1"/>
          <w:color w:val="231F20"/>
        </w:rPr>
        <w:t>, age 46</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Ajay Royan has served as a member of our Board since March 2025, and he previously served as a member of our Board from October 2020 until June 2022. Mr. Royan is the founder and has served as Managing General Partner of Mithril Capital Management LLC, a venture capital firm investing in technology companies, since June 2012. Mr. Royan currently serves on the board of directors of Fractyl Health, Inc., a publicly-traded metabolic therapeutics company, as well as on the board of directors of several private companies in which Mithril Capital Management LLC or its affiliates have invested, including Adimab, LLC. Mr. Royan received a B.A. from Yale University. We believe Mr. Royan is qualified to serve as a member of our Board because of his expertise in the technology industry through his career in venture capital and his experience as a director of health and technology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LLC (“Nasdaq”) listing standards, a majority of the members of a listed company’s board must qualify as “independent,” as affirmatively determined by the board. Our Board consults with the Company’s legal counsel to ensure that our Board’s determinations are consistent with relevant securities and other laws and regulations regarding the definition of “independent,” including those set forth in pertinent Nasdaq listing standards, as in effect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and relationships between each director and nominee for director, or any of his or her family members, and the Company, its senior management and its registered independent public accounting firm, our Board has affirmatively determined that: (i) all of our current directors and nominees for director are independent within the meaning of Nasdaq Rule 5605(a)(2); (ii) current Audit Committee members, Tamsin Berry, Marc Elia and Kevin F. McLaughlin, meet the additional test for independence for audit committee members imposed by Rule 10A-3 under the Exchange Act and Nasdaq Rule 5605(c)(2)(A); and (iii) current members of the Compensation Committee of our Board (the “Compensation Committee”) Paul B. Bolno, M.D. and Kevin F. McLaughlin, meet the additional test for independence for compensation committee members imposed by Nasdaq Rule 5605(d)(2). In making this determination, our Board considered the relationships that each director and nominee for director has with us and all other facts and circumstances that our Board deemed relevant in determining their independence, including the beneficial ownership of our common stock by each person and such person’s affiliated entities, and any agreements or arrangements between us and any of our directors and director nominees or their affiliated entities.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Family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directors or director nominees.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roles of our Board Chairperson and our principal executive officer are held by two different individuals, as we seek to maintain an appropriate balance between management and our Board. In accordance with our Corporate Governance Guidelines, our Board may select a chairperson of the Board in the manner and on the criteria that the Board deems appropriate. Our Board currently has an independent Board Chairperson, Marc Elia, who has the authority, among other things, to preside over meetings of the Board and meetings of the stockholders, to develop and approve an appropriate Board meeting schedule and meeting agendas, and to convene, moderate and develop the agendas for meetings of the independent members of our Board. Accordingly, our Board Chairperson has substantial ability to shape the work of our Board. The Company believes that separation of the positions of Board Chairperson and principal executive officer reinforces the independence of our Board in its oversight of the business and affairs of the Company. In addition, the Company believes that having an independent Board Chairperson creates an environment that is conducive to objective evaluation and oversight of management’s performance, increasing management accountability and improving the ability of our Board to monitor whether management’s actions are in the best interests of the Company and its stockholders. As a result, the Company believes that having an independent Board Chairperson can enhance the effectiveness of our Board as a whole.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One of our Board’s key functions is informed oversight of the Company’s risk management process. Our Board does not have a standing risk management committee, but rather administers this oversight function directly through our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if any. Audit Committee responsibilities also include oversight of management risks relating to data privacy, technology and information security, including cyber security and back-up of information systems, and the steps the Company has taken to monitor and control such exposures. Furthermore, the Audit Committee also is responsible for overseeing and reviewing with management the Company’s major legal compliance risk exposures and the steps management has taken to monitor or mitigate such exposures, including the Company’s procedures and any related policies with respect to risk assessment and risk management. Our Nominating and Corporate Governance Committee reviews and assesses our Corporate Governance Guidelines and Code of Business Ethics and Conduct. Our Compensation Committee assesses and monitors whether any of our compensation policies and programs has the potential to encourage excessive risk-taking. Both our Board as a whole and the various standing committees receive periodic reports from management regarding material enterprise risks, as well as incidental reports as matters may arise.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and Annual Meeting Attendance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held six meetings during 2025, and each director attended at least 75% of (i) the number of Board meetings held during the period for which he or she was a director and (ii) the total number of committee meetings held during the period for which he or she served on each such committee.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Five of the Company’s then-serving directors attended the 2025 Annual Meeting of Stockholders (the “2025 Annual Meeting”). It is our policy to invite directors to attend the annual general meetings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three standing committees: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committee has adopted a written committee charter, which are available on the Company’s website at </w:t>
      </w:r>
      <w:r>
        <w:rPr>
          <w:rFonts w:ascii="Times New Roman" w:cs="Times New Roman" w:eastAsia="Times New Roman" w:hAnsi="Times New Roman"/>
          <w:sz w:val="18"/>
          <w:szCs w:val="18"/>
          <w:i w:val="1"/>
          <w:iCs w:val="1"/>
          <w:color w:val="auto"/>
        </w:rPr>
        <w:t>https://investors.invivyd.com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current composition of each of our Board’s committees and the number of meetings held during the last fiscal year for each committee is set forth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5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Tamsin Berry</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spacing w:after="0"/>
              <w:rPr>
                <w:sz w:val="9"/>
                <w:szCs w:val="9"/>
                <w:color w:val="auto"/>
              </w:rPr>
            </w:pPr>
          </w:p>
        </w:tc>
        <w:tc>
          <w:tcPr>
            <w:tcW w:w="5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B. Bolno, M.D.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Elia</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spacing w:after="0"/>
              <w:rPr>
                <w:sz w:val="9"/>
                <w:szCs w:val="9"/>
                <w:color w:val="auto"/>
              </w:rPr>
            </w:pPr>
          </w:p>
        </w:tc>
        <w:tc>
          <w:tcPr>
            <w:tcW w:w="5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 McLaughlin</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spacing w:after="0"/>
              <w:rPr>
                <w:sz w:val="9"/>
                <w:szCs w:val="9"/>
                <w:color w:val="auto"/>
              </w:rPr>
            </w:pPr>
          </w:p>
        </w:tc>
        <w:tc>
          <w:tcPr>
            <w:tcW w:w="5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Royan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fiscal year 2025</w:t>
            </w:r>
          </w:p>
        </w:tc>
        <w:tc>
          <w:tcPr>
            <w:tcW w:w="15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5</w:t>
            </w:r>
          </w:p>
        </w:tc>
        <w:tc>
          <w:tcPr>
            <w:tcW w:w="15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6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3"/>
        </w:trPr>
        <w:tc>
          <w:tcPr>
            <w:tcW w:w="6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Member</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Committee Chairperson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-2536825</wp:posOffset>
            </wp:positionV>
            <wp:extent cx="41148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480" cy="27432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-2228215</wp:posOffset>
            </wp:positionV>
            <wp:extent cx="38544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5445" cy="21463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-2013585</wp:posOffset>
            </wp:positionV>
            <wp:extent cx="41148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480" cy="27432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-2005330</wp:posOffset>
            </wp:positionV>
            <wp:extent cx="386080" cy="514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080" cy="5143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-1490980</wp:posOffset>
            </wp:positionV>
            <wp:extent cx="26543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-1490980</wp:posOffset>
            </wp:positionV>
            <wp:extent cx="266065"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06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385445"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5445" cy="51435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at the expense of the Company, as it deems necessary or appropriate to carry out its responsibilities. Our Board has determined that each existing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oversee the Company’s corporate accounting and financial reporting processes and the annual audit of its financial statements. For this purpose, the Audit Committee performs several functions. The principal duties and responsibilities of our Audit Committee include, among other things: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and assesses the independence and qualifications of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engagement of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retain or terminate the existing independent auditors or to appoint and engage new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retention of the independent auditors to perform any proposed permissible non-audit services;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rotation of partners of the independent auditors on the Company’s audit engagement team as required by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with management and the independent auditors regarding the effectiveness of internal control over financial reporting;</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annual audited financial statements and quarterly financial statements with management and the independent auditors, including a review of the Company’s disclosures under “Management’s Discussion and Analysis of Financial Condition and Results of Operations,” and to recommend whether such financial statements should be included in our Annual Reports on Form 10-K and our Quarterly Reports on 10-Q, as applicable;</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auditors the Company’s guidelines and policies with respect to financial risk management and financial risk assessment and the Company’s risks relating to data privacy, technology and information security, including cyber security and back-up of information systems, and the steps the Company has taken to monitor and control such exposures;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disapprove all related persons transactions on an ongoing basis.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Board has determined that Mr. McLaughlin qualifies as an “audit committee financial expert,” as defined in applicable SEC rules. Our Board made a qualitative assessment of the level of knowledge and experience of Mr. McLaughlin based on a number of factors. In its assessment of Mr. McLaughlin, the Board considered his formal education and his experience as chief financial officer and member of the audit committee of the boards of directors of other public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F. McLaughlin,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Tamsin Berry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Elia</w:t>
      </w:r>
    </w:p>
    <w:p>
      <w:pPr>
        <w:spacing w:after="0" w:line="205" w:lineRule="exact"/>
        <w:rPr>
          <w:sz w:val="20"/>
          <w:szCs w:val="20"/>
          <w:color w:val="auto"/>
        </w:rPr>
      </w:pPr>
    </w:p>
    <w:p>
      <w:pPr>
        <w:ind w:firstLine="8"/>
        <w:spacing w:after="0" w:line="267" w:lineRule="auto"/>
        <w:tabs>
          <w:tab w:leader="none" w:pos="13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 except to the extent we specifically incorporate such report by reference therein.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act on behalf of our Board to oversee the Company’s compensation policies, plans and programs, to review and determine (or recommend to our Board for approval) the compensation to be paid to the Company’s executive officers and directors, and to assist our Board in its oversight of the Company’s strategies relating to culture and human capital leadership, including:</w:t>
      </w:r>
    </w:p>
    <w:p>
      <w:pPr>
        <w:spacing w:after="0" w:line="68" w:lineRule="exact"/>
        <w:rPr>
          <w:sz w:val="20"/>
          <w:szCs w:val="20"/>
          <w:color w:val="auto"/>
        </w:rPr>
      </w:pPr>
    </w:p>
    <w:p>
      <w:pPr>
        <w:jc w:val="both"/>
        <w:ind w:left="1020" w:right="36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our Board for approval) of the Company’s annual corporate goals and objectives relevant to the compensation of the Company’s executive officers, and evaluation of the Company’s performance against such corporate goals and objectives;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(or review and recommendation to our Board for approval) of the compensation and other terms of employment or service, including severance and change-in-control arrangements, of the Company’s executive officers;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right="3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plans and any other similar plans and programs that the Compensation Committee may evaluate and approve from time to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recommendation to our Board of the type and amount of compensation to be paid or awarded to non-employee directors.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developed through collaboration of the Chairperson of the Compensation Committee, the Chief Executive Officer (if appointed), the Chief Human Resources Officer, and the compensation consultant engaged by the Compensation Committee, if any.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Compensation Committee meets regularly in executive session. The Chief Executive Officer (if appointed) does not participate in, and may not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the Company as deemed necessary or appropriate by any member of the Compensation Committee to discharge his or her responsibilities as a member of the Compensation Committee.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the six factors prescribed by the SEC and Nasdaq that bear upon the adviser’s independence; however, there is no requirement that any adviser be independent.</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Compensation Committee has engaged Alpine Rewards, LLC (“Alpine Rewards”) as its independent compensation consultant since October 2022. Most recently, in July 2025, after taking into consideration the six factors prescribed by the SEC and Nasdaq referenced above, as well as the proposed scope, terms and fees of Alpine Rewards, the Compensation Committee determined that it was advisable and in the best interests of the Compensation Committee to continue to engage Alpine Rewards as a compensation consultant to the Compensation Committee given its focus in the life sciences sector and its comprehensive expertise in executive compensation and employee rewards. In its role as independent compensation consultant, Alpine Rewards has been engaged to consider the Company’s compensation strategy and practices and to assist in refining the Company’s compensation strategy and practices, as applicable, to enable an executive compensation program that supports the Company’s near-term and long-term strategic goals. The engagement with Alpine Rewards provides for services including consideration of the role of compensation in achieving the Company’s business objectives in order to frame the overall compensation philosophy; evaluation of the Company’s executive compensation peer group and analyses of competitive performance and compensation levels for that group; evaluation of the Company’s existing executive compensation program and its competitiveness based on the Compensation Committee approved peer group; review of the Company’s overall equity strategy and practices and recommendations based on market practices data and the Company’s compensation strategy and philosophy; review of and recommendations regarding Board compensation practices; and guidance on industry trends and compensation governance. Alpine Rewards ultimately developed recommendations that were presented to the Compensation Committee for its consideration. Compensation decisions or recommendations to the Board, as appropriate, were made by the Compensation Committee following an active dialogue with Alpine Rewards, taking into consideration Alpine Rewards’ recommendations.</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recommendation of the Compensation Committee, our Board has delegated authority under the Company’s 2021 Equity Incentive Plan and the Company’s 2026 Inducement Plan to our principal executive officer to grant options to employees who are not executive officers, subject to limitations approved by the Board.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our Board. In particular, the principal executive officer may not grant options to acquire more than an aggregate fixed number of shares per year, and individually in accordance with minimum and maximum limits for each employee’s classification set forth in the Company’s non-executive employee equity grant guidelines, which were recommended by the Compensation Committee and approved by our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Generally, at one or more meetings held during the first quarter of the new year or the last quarter of the preceding year, the Compensation Committee approves, or recommends to the Board for approval, most of the significant decisions related to executive compensation, including with respect to base salaries and target bonus percentages, bonus awards based on evaluation of performance during the preceding year, annual equity awards, and the Company’s annual corporate goals and objectives relevant to the compensation of the Company’s executive officers. During the first quarter of the new year, the Compensation Committee also reviews and makes recommendations to the Board regarding the Company’s Non-Employee Director Compensation Policy. Furthermore, at various meetings throughout the rest of the year, the Compensation Committee considers ad hoc matters related to executive compensation, such as compensation for new executive hires, as applicable, as well as high-level philosophy and strategy related to executive and director compensation. Our Chief Human Resources Officer assists the Compensation Committee by preparing information and materials for matters under consideration by the Compensation Committee, including executive compensation. As part of its deliberations regarding executive and director compensation,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primary purpose of our Nominating and Corporate Governance Committee is to oversee aspects of the Company’s corporate governance functions on behalf of our Board, identify, review and evaluate candidates to serve as directors of the Company (consistent with criteria approved by our Board), review and evaluate incumbent directors, recommend to our Board for selection candidates for election to our Board, make recommendations to our Board regarding the membership of the committees of our Board, assess the performance of our Board and consider our Board’s leadership structure, facilitate communication among director candidates, Company management, and our Board, and develop a set of corporate governance guidelines and principles for the Company.</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Consistent with the criteria for director qualifications set by our Board and our Corporate Governance Guidelines,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our Board, the operating requirements of the Company and the long-term interests of stockholders. The Nominating and Corporate Governance Committee, in accordance with our Corporate Governance Guidelines, considers a range of diverse perspectives, including, but not limited to, experience, education, background, and other factors that it deems appropriate, given the current needs of our Board and the Company, to maintain a balance of knowledge, experience and capability on the Board. As presently constituted, our Board represents a deliberate mix of members who have a deep understanding of the Company’s business, as well as members who have different skill sets and points of view on substantive matters pertaining to our business.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our Board. In the case of incumbent directors,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our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any nominees for recommendation to our Board by majority vote. One of our non-management directors initially recommended Paul B. Bolno, M.D., as a potential candidate to serve on our Board.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our Board may do so by following the procedures set forth in the section entitled “Deadline for Submission of Stockholder Proposals for 2027 Annual Meeting” below.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our Bylaws. Any such submission must be accompanied by the written consent of the proposed nominee to be named as a nominee and to serve as a director if elected.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has adopted a formal process by which stockholders may communicate with our Board or any of its directors. Stockholders who wish to communicate with our Board may do so by sending written communications addressed to the Corporate Secretary at the following address: Invivyd, Inc., 209 Church Street, New Haven, Connecticut 06510. Each communication must set forth the name and address of the stockholder on whose behalf the communication is sent, and the number and class of shares of the Company that are owned beneficially by such stockholder as of the date of the communication. The Corporate Secretary will review each communication and will forward such communication to our Board or to any individual director to whom the communication is addressed unless the communication contains advertisements or solicitations or is unduly hostile, threatening or similarly inappropriate.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Prevention Policy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Insider Trading Prevention Policy and related procedures govern the purchase, sale and other dispositions of our securities by our employees, officers and directors, as well as our contractors and consultants who are advised that they are subject to such policy. In addition, with regard to the Company’s trading in its own securities, it is our policy to comply with applicable insider trading laws, rules and regulations, and the listing standards applicable to us. We believe our Insider Trading Prevention Policy and related procedures are reasonably designed to promote compliance with insider trading laws, rules and regulations, and the listing standards applicable to us. Our Insider Trading Prevention Policy is filed as an exhibit to our Annual Report on Form 10-K for the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Insider Trading Prevention Policy prohibits our directors and employees, including our executive officers, from engaging in any hedging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Incentive Compensation Recovery Policy provides that, in the event of certain accounting restatements, we will be required to recover erroneously received incentive-based compensation from our current and former executive officers. In the event of such an accounting restatement, we will be required to recover the amount of incentive compensation received by a covered executive that exceeds the amount that otherwise would have been received if that incentive compensation had been determined based on the restated amounts, without regard to any taxes paid. Our Incentive Compensation Recovery Policy is filed as an exhibit to our Annual Report on Form 10-K for the year ended December 31,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0" w:type="dxa"/>
            <w:vAlign w:val="bottom"/>
          </w:tcPr>
          <w:p>
            <w:pPr>
              <w:spacing w:after="0"/>
              <w:rPr>
                <w:sz w:val="1"/>
                <w:szCs w:val="1"/>
                <w:color w:val="auto"/>
              </w:rPr>
            </w:pP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current executive officers, and their respective ages, are as follows: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4"/>
                <w:szCs w:val="24"/>
                <w:color w:val="auto"/>
              </w:rPr>
            </w:pPr>
          </w:p>
        </w:tc>
        <w:tc>
          <w:tcPr>
            <w:tcW w:w="76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Allen, Ph.D.</w:t>
            </w:r>
          </w:p>
        </w:tc>
        <w:tc>
          <w:tcPr>
            <w:tcW w:w="120" w:type="dxa"/>
            <w:vAlign w:val="bottom"/>
            <w:vMerge w:val="continue"/>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vMerge w:val="continue"/>
          </w:tcPr>
          <w:p>
            <w:pPr>
              <w:spacing w:after="0"/>
              <w:rPr>
                <w:sz w:val="16"/>
                <w:szCs w:val="16"/>
                <w:color w:val="auto"/>
              </w:rPr>
            </w:pPr>
          </w:p>
        </w:tc>
        <w:tc>
          <w:tcPr>
            <w:tcW w:w="7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Scientific Officer</w:t>
            </w:r>
          </w:p>
        </w:tc>
        <w:tc>
          <w:tcPr>
            <w:tcW w:w="0" w:type="dxa"/>
            <w:vAlign w:val="bottom"/>
          </w:tcPr>
          <w:p>
            <w:pPr>
              <w:spacing w:after="0"/>
              <w:rPr>
                <w:sz w:val="1"/>
                <w:szCs w:val="1"/>
                <w:color w:val="auto"/>
              </w:rPr>
            </w:pPr>
          </w:p>
        </w:tc>
      </w:tr>
      <w:tr>
        <w:trPr>
          <w:trHeight w:val="196"/>
        </w:trPr>
        <w:tc>
          <w:tcPr>
            <w:tcW w:w="2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Jill Andersen, J.D.</w:t>
            </w:r>
          </w:p>
        </w:tc>
        <w:tc>
          <w:tcPr>
            <w:tcW w:w="9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77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Chief Legal Officer and Corporate Secretary</w:t>
            </w:r>
          </w:p>
        </w:tc>
        <w:tc>
          <w:tcPr>
            <w:tcW w:w="0" w:type="dxa"/>
            <w:vAlign w:val="bottom"/>
          </w:tcPr>
          <w:p>
            <w:pPr>
              <w:spacing w:after="0"/>
              <w:rPr>
                <w:sz w:val="1"/>
                <w:szCs w:val="1"/>
                <w:color w:val="auto"/>
              </w:rPr>
            </w:pPr>
          </w:p>
        </w:tc>
      </w:tr>
      <w:tr>
        <w:trPr>
          <w:trHeight w:val="236"/>
        </w:trPr>
        <w:tc>
          <w:tcPr>
            <w:tcW w:w="26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William Duke, Jr., M.B.A.</w:t>
            </w:r>
            <w:r>
              <w:rPr>
                <w:rFonts w:ascii="Times New Roman" w:cs="Times New Roman" w:eastAsia="Times New Roman" w:hAnsi="Times New Roman"/>
                <w:sz w:val="24"/>
                <w:szCs w:val="24"/>
                <w:color w:val="auto"/>
                <w:vertAlign w:val="superscript"/>
              </w:rPr>
              <w:t>(1)</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Julie Green, M.B.A.</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Timothy Lee</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hanging="232"/>
        <w:spacing w:after="0"/>
        <w:tabs>
          <w:tab w:leader="none" w:pos="24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Duke, our Chief Financial Officer, serves as our principal executive officer, principal financial officer and principal accounting officer.</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Allen, Ph.D. </w:t>
      </w:r>
      <w:r>
        <w:rPr>
          <w:rFonts w:ascii="Times New Roman" w:cs="Times New Roman" w:eastAsia="Times New Roman" w:hAnsi="Times New Roman"/>
          <w:sz w:val="18"/>
          <w:szCs w:val="18"/>
          <w:color w:val="auto"/>
        </w:rPr>
        <w:t>has served as our Chief Scientific Officer since April 2023. He brings over 30 years of experience across the infectious disease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recently as the Chief Scientific Officer of SmartPharm Therapeutics, a subsidiary of Sorrento Therapeutics, from 2020 to 2023. During that time, he led efforts to develop gene-encoded monoclonal antibodies for COVID-19 that could be quickly adapted to respond to emerging variants of concern. He also served concurrently as Senior Vice President, Antiviral and Oncolytic Immunotherapy Development, at Sorrento Therapeutics. Prior to this, Dr. Allen served as Head of Oncolytic Immunotherapy at Sorrento Therapeutics from 2018 to 2020, and he previously held multiple senior scientific roles across the pharmaceutical and biotechnology industries including at SIGA Technologies and the Oregon Translational Research and Development Institute. Dr. Allen holds a Ph.D. in Microbiology from Columbia University, an M.S. in Applied Biology from Georgia Institute of Technology, and a B.S. in Biology from Rhodes College. He has published extensively in the field of virology and completed his postdoctoral training in virology at Washington University in St. Louis and Emory University.</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Jill Andersen, J.D. </w:t>
      </w:r>
      <w:r>
        <w:rPr>
          <w:rFonts w:ascii="Times New Roman" w:cs="Times New Roman" w:eastAsia="Times New Roman" w:hAnsi="Times New Roman"/>
          <w:sz w:val="18"/>
          <w:szCs w:val="18"/>
          <w:color w:val="auto"/>
        </w:rPr>
        <w:t>has served as our Chief Legal Officer and Corporate Secretary since November 2021. Prior to joining Invivyd, Ms. Andersen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Corporate Secretary and Chief Compliance Officer of Oyster Point Pharma, Inc. from June 2020 to October 2021. Before joining Oyster Point, Ms. Andersen served as Vice President and Head of Legal, Inflammation &amp; Immunology Franchise, U.S. Market Access and Contracts at Celgene Corporation from September 2016 to November 2019 until the acquisition by Bristol-Myers Squibb Company where she served as Vice President, Legal from November 2019 to May 2020. Prior to Celgene, Ms. Andersen held senior legal leadership roles within the Novartis companies, including Vice President and General Counsel, Legal &amp; Intellectual Property Global Assets at Novartis Services, Inc. from March 2015 to September 2016, U.S. General Counsel and Compliance Officer at Novartis Consumer Health from February 2014 to March 2015, and roles of increasing responsibility at Novartis Pharmaceuticals Corporation from 2007 to March 2015. Before joining the pharmaceuticals industry, Ms. Andersen served as an Assistant United States Attorney for the District of New Jersey from 2003 to 2007. Ms. Andersen received a B.S. in Finance from Boston College and a J.D. from Wake Forest University School of Law.</w:t>
      </w:r>
    </w:p>
    <w:p>
      <w:pPr>
        <w:spacing w:after="0" w:line="18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b w:val="1"/>
          <w:bCs w:val="1"/>
          <w:color w:val="231F20"/>
        </w:rPr>
        <w:t xml:space="preserve">William Duke, Jr., M.B.A. </w:t>
      </w:r>
      <w:r>
        <w:rPr>
          <w:rFonts w:ascii="Times New Roman" w:cs="Times New Roman" w:eastAsia="Times New Roman" w:hAnsi="Times New Roman"/>
          <w:sz w:val="17"/>
          <w:szCs w:val="17"/>
          <w:color w:val="231F20"/>
        </w:rPr>
        <w:t>has served as our Chief Financial Officer (including as our principal financial officer and principal accounting officer) since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September 2023, and as our principal executive officer since May 2024. He brings more than 25 years of finance, accounting, and operations experience, including over a decade of senior leadership experience in the biotechnology industry. Prior to joining Invivyd, Mr. Duke served as the Chief Financial Officer of Apexigen, Inc. from June 2022 to August 2023 where he was responsible for all areas of finance and accounting and helped guide the company through its sale to Pyxis Oncology, Inc. Before Apexigen, he was Chief Financial Officer of Kaleido Biosciences, Inc. from November 2019 to April 2022, where he led the successful completion of multiple financings. Prior to Kaleido Biosciences, he was Chief Financial Officer of Pulmatrix, Inc. from June 2015 to November 2019, where he helped negotiate the company’s first product partnership and led the successful completion of several public offerings. Prior to that, he held senior financial leadership roles at Valeritas, Inc. and Genzyme Corporation, where he helped in the sale of the company to Sanofi. Mr. Duke is a certified public accountant and holds a B.S. in Business Administration from Stonehill College and an M.B.A. from Bentley College.</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Julie Green, M.B.A. </w:t>
      </w:r>
      <w:r>
        <w:rPr>
          <w:rFonts w:ascii="Times New Roman" w:cs="Times New Roman" w:eastAsia="Times New Roman" w:hAnsi="Times New Roman"/>
          <w:sz w:val="18"/>
          <w:szCs w:val="18"/>
          <w:color w:val="231F20"/>
        </w:rPr>
        <w:t>has served as our Chief Human Resources Officer since January 2024. She joined Invivyd in January 2022 and served as our Senior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Vice President of Human Resources prior to her promotion to Chief Human Resources Officer. Ms. Green also served as our Head of Communications from October 2024 to September 2025. Ms. Green brings more than 25 years of experience in human resources matters. Prior to joining Invivyd, Ms. Green was Vice President of Human Resources at Flexion Therapeutics from 2018 to 2022. From 2012 to 2018, she started and led her own human resources consulting firm offering strategic advice and human resources solutions to a variety of organizations, specializing in the life science space. Ms. Green holds an M.B.A. from Babson College and a B.S. in Psychology from Union College.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231F20"/>
        </w:rPr>
        <w:t xml:space="preserve">Timothy Lee </w:t>
      </w:r>
      <w:r>
        <w:rPr>
          <w:rFonts w:ascii="Times New Roman" w:cs="Times New Roman" w:eastAsia="Times New Roman" w:hAnsi="Times New Roman"/>
          <w:sz w:val="18"/>
          <w:szCs w:val="18"/>
          <w:color w:val="231F20"/>
        </w:rPr>
        <w:t>has served as our Chief Commercial Officer since June 2024. He brings more than 20 years of progressive experience in the biotechnology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and pharmaceutical industries. Prior to joining Invivyd, Mr. Lee was Head, Vice President Sales, Commercial Development and Global Commercial Training at Amylyx Pharmaceuticals, Inc. from February 2020 to June 2024. During that time, he built launch capabilities and commercial structure that led to the successful commercial launch of Relyvrio for People Living with ALS. From October 2017 to February 2020, Mr. Lee focused on the rare disease portfolio and overall commercialization strategy at Biohaven Pharmaceuticals. Earlier in his career, Mr. Lee held roles of increasing responsibility in marketing and sales at Alexion Pharmaceuticals, Novartis Pharmaceuticals, and Pfizer. Mr. Lee holds a B.S. in Marketing from Saint Joseph’s University.</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20, 2026 by: (i) each current director and director nominee;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282,803,863 shares of common stock outstanding on March 20, 2026.</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of March 20, 2026 and restricted stock units (“RSUs”) that will vest within 60 days of March 20, 2026. The information does not necessarily indicate beneficial ownership for any other purpose.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Common stock subject to stock options and warrants currently exercisable or exercisable within 60 days of March 20, 2026 and common stock underlying RSUs that will vest within 60 days of March 20, 2026 are deemed to be outstanding for the purpose of computing the percentage ownership of the person holding these securities and the percentage ownership of any group of which the holder is a member but are not deemed outstanding for the purpose of computing the percentage of any other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noted otherwise, the address of all listed directors and executive officers is c/o Invivyd, Inc., 209 Church Street, New Haven, Connecticut 06510.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360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17"/>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60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jc w:val="right"/>
              <w:ind w:right="211"/>
              <w:spacing w:after="0" w:line="118" w:lineRule="exact"/>
              <w:rPr>
                <w:sz w:val="20"/>
                <w:szCs w:val="20"/>
                <w:color w:val="auto"/>
              </w:rPr>
            </w:pPr>
            <w:r>
              <w:rPr>
                <w:rFonts w:ascii="Times New Roman" w:cs="Times New Roman" w:eastAsia="Times New Roman" w:hAnsi="Times New Roman"/>
                <w:sz w:val="13"/>
                <w:szCs w:val="13"/>
                <w:b w:val="1"/>
                <w:bCs w:val="1"/>
                <w:color w:val="auto"/>
              </w:rPr>
              <w:t>Percent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820" w:type="dxa"/>
            <w:vAlign w:val="bottom"/>
            <w:gridSpan w:val="2"/>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RA Capital Management, L.P.</w:t>
            </w:r>
            <w:r>
              <w:rPr>
                <w:rFonts w:ascii="Times New Roman" w:cs="Times New Roman" w:eastAsia="Times New Roman" w:hAnsi="Times New Roman"/>
                <w:sz w:val="24"/>
                <w:szCs w:val="24"/>
                <w:color w:val="auto"/>
                <w:vertAlign w:val="superscript"/>
              </w:rPr>
              <w:t>(2)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29,487,732</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BVF Inc.</w:t>
            </w:r>
            <w:r>
              <w:rPr>
                <w:rFonts w:ascii="Times New Roman" w:cs="Times New Roman" w:eastAsia="Times New Roman" w:hAnsi="Times New Roman"/>
                <w:sz w:val="24"/>
                <w:szCs w:val="24"/>
                <w:color w:val="auto"/>
                <w:vertAlign w:val="superscript"/>
              </w:rPr>
              <w:t>(3)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25,525,000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Janus Henderson Group plc</w:t>
            </w:r>
            <w:r>
              <w:rPr>
                <w:rFonts w:ascii="Times New Roman" w:cs="Times New Roman" w:eastAsia="Times New Roman" w:hAnsi="Times New Roman"/>
                <w:sz w:val="24"/>
                <w:szCs w:val="24"/>
                <w:color w:val="auto"/>
                <w:vertAlign w:val="superscript"/>
              </w:rPr>
              <w:t>(4)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25,383,077</w:t>
            </w:r>
          </w:p>
        </w:tc>
        <w:tc>
          <w:tcPr>
            <w:tcW w:w="10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Perceptive Advisors LLC</w:t>
            </w:r>
            <w:r>
              <w:rPr>
                <w:rFonts w:ascii="Times New Roman" w:cs="Times New Roman" w:eastAsia="Times New Roman" w:hAnsi="Times New Roman"/>
                <w:sz w:val="24"/>
                <w:szCs w:val="24"/>
                <w:color w:val="auto"/>
                <w:vertAlign w:val="superscript"/>
              </w:rPr>
              <w:t>(5)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21,785,166</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Adimab, LLC</w:t>
            </w:r>
            <w:r>
              <w:rPr>
                <w:rFonts w:ascii="Times New Roman" w:cs="Times New Roman" w:eastAsia="Times New Roman" w:hAnsi="Times New Roman"/>
                <w:sz w:val="24"/>
                <w:szCs w:val="24"/>
                <w:color w:val="auto"/>
                <w:vertAlign w:val="superscript"/>
              </w:rPr>
              <w:t>(6)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20,262,170</w:t>
            </w:r>
          </w:p>
        </w:tc>
        <w:tc>
          <w:tcPr>
            <w:tcW w:w="10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Maverick Capital, Ltd.</w:t>
            </w:r>
            <w:r>
              <w:rPr>
                <w:rFonts w:ascii="Times New Roman" w:cs="Times New Roman" w:eastAsia="Times New Roman" w:hAnsi="Times New Roman"/>
                <w:sz w:val="24"/>
                <w:szCs w:val="24"/>
                <w:color w:val="auto"/>
                <w:vertAlign w:val="superscript"/>
              </w:rPr>
              <w:t>(7)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18,970,913</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Point72 Asset Management, L.P.</w:t>
            </w:r>
            <w:r>
              <w:rPr>
                <w:rFonts w:ascii="Times New Roman" w:cs="Times New Roman" w:eastAsia="Times New Roman" w:hAnsi="Times New Roman"/>
                <w:sz w:val="24"/>
                <w:szCs w:val="24"/>
                <w:color w:val="auto"/>
                <w:vertAlign w:val="superscript"/>
              </w:rPr>
              <w:t>(8)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16,653,036</w:t>
            </w:r>
          </w:p>
        </w:tc>
        <w:tc>
          <w:tcPr>
            <w:tcW w:w="10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and Named Executive Officers</w:t>
            </w: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Tamsin Berry</w:t>
            </w:r>
            <w:r>
              <w:rPr>
                <w:rFonts w:ascii="Times New Roman" w:cs="Times New Roman" w:eastAsia="Times New Roman" w:hAnsi="Times New Roman"/>
                <w:sz w:val="24"/>
                <w:szCs w:val="24"/>
                <w:color w:val="auto"/>
                <w:vertAlign w:val="superscript"/>
              </w:rPr>
              <w:t>(9)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Paul B. Bolno, M.D.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Marc Elia</w:t>
            </w:r>
            <w:r>
              <w:rPr>
                <w:rFonts w:ascii="Times New Roman" w:cs="Times New Roman" w:eastAsia="Times New Roman" w:hAnsi="Times New Roman"/>
                <w:sz w:val="24"/>
                <w:szCs w:val="24"/>
                <w:color w:val="auto"/>
                <w:vertAlign w:val="superscript"/>
              </w:rPr>
              <w:t>(10)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9,548,250</w:t>
            </w:r>
          </w:p>
        </w:tc>
        <w:tc>
          <w:tcPr>
            <w:tcW w:w="10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4"/>
                <w:szCs w:val="24"/>
                <w:color w:val="auto"/>
                <w:vertAlign w:val="superscript"/>
              </w:rPr>
              <w:t>(11)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7,058,590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Kevin F. McLaughlin</w:t>
            </w:r>
            <w:r>
              <w:rPr>
                <w:rFonts w:ascii="Times New Roman" w:cs="Times New Roman" w:eastAsia="Times New Roman" w:hAnsi="Times New Roman"/>
                <w:sz w:val="24"/>
                <w:szCs w:val="24"/>
                <w:color w:val="auto"/>
                <w:vertAlign w:val="superscript"/>
              </w:rPr>
              <w:t>(12)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162,664</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Ajay Royan</w:t>
            </w:r>
            <w:r>
              <w:rPr>
                <w:rFonts w:ascii="Times New Roman" w:cs="Times New Roman" w:eastAsia="Times New Roman" w:hAnsi="Times New Roman"/>
                <w:sz w:val="24"/>
                <w:szCs w:val="24"/>
                <w:color w:val="auto"/>
                <w:vertAlign w:val="superscript"/>
              </w:rPr>
              <w:t>(13)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11,285,906</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Jill Andersen, J.D.</w:t>
            </w:r>
            <w:r>
              <w:rPr>
                <w:rFonts w:ascii="Times New Roman" w:cs="Times New Roman" w:eastAsia="Times New Roman" w:hAnsi="Times New Roman"/>
                <w:sz w:val="24"/>
                <w:szCs w:val="24"/>
                <w:color w:val="auto"/>
                <w:vertAlign w:val="superscript"/>
              </w:rPr>
              <w:t>(14)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2,714,737</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William Duke, Jr., M.B.A.</w:t>
            </w:r>
            <w:r>
              <w:rPr>
                <w:rFonts w:ascii="Times New Roman" w:cs="Times New Roman" w:eastAsia="Times New Roman" w:hAnsi="Times New Roman"/>
                <w:sz w:val="24"/>
                <w:szCs w:val="24"/>
                <w:color w:val="auto"/>
                <w:vertAlign w:val="superscript"/>
              </w:rPr>
              <w:t>(15)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1,216,744</w:t>
            </w:r>
          </w:p>
        </w:tc>
        <w:tc>
          <w:tcPr>
            <w:tcW w:w="100" w:type="dxa"/>
            <w:vAlign w:val="bottom"/>
            <w:shd w:val="clear" w:color="auto" w:fill="CCEEFF"/>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Timothy Lee</w:t>
            </w:r>
            <w:r>
              <w:rPr>
                <w:rFonts w:ascii="Times New Roman" w:cs="Times New Roman" w:eastAsia="Times New Roman" w:hAnsi="Times New Roman"/>
                <w:sz w:val="24"/>
                <w:szCs w:val="24"/>
                <w:color w:val="auto"/>
                <w:vertAlign w:val="superscript"/>
              </w:rPr>
              <w:t>(16)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857,300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directors and current executive officers as a group (11 persons)</w:t>
            </w:r>
            <w:r>
              <w:rPr>
                <w:rFonts w:ascii="Times New Roman" w:cs="Times New Roman" w:eastAsia="Times New Roman" w:hAnsi="Times New Roman"/>
                <w:sz w:val="24"/>
                <w:szCs w:val="24"/>
                <w:color w:val="auto"/>
                <w:vertAlign w:val="superscript"/>
              </w:rPr>
              <w:t>(17)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35,563,760</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25" w:lineRule="exact"/>
        <w:rPr>
          <w:rFonts w:ascii="Times New Roman" w:cs="Times New Roman" w:eastAsia="Times New Roman" w:hAnsi="Times New Roman"/>
          <w:sz w:val="18"/>
          <w:szCs w:val="18"/>
          <w:color w:val="auto"/>
        </w:rPr>
      </w:pPr>
    </w:p>
    <w:p>
      <w:pPr>
        <w:jc w:val="both"/>
        <w:ind w:left="520" w:right="200" w:hanging="512"/>
        <w:spacing w:after="0" w:line="255"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the named executive officers, other officers, directors and principal stockholders, Schedules 13D and 13G filed with the SEC, Forms 4 filed with the SEC,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spacing w:after="0" w:line="2" w:lineRule="exact"/>
        <w:rPr>
          <w:rFonts w:ascii="Times New Roman" w:cs="Times New Roman" w:eastAsia="Times New Roman" w:hAnsi="Times New Roman"/>
          <w:sz w:val="18"/>
          <w:szCs w:val="18"/>
          <w:color w:val="auto"/>
        </w:rPr>
      </w:pPr>
    </w:p>
    <w:p>
      <w:pPr>
        <w:ind w:left="520" w:right="100" w:hanging="512"/>
        <w:spacing w:after="0" w:line="252" w:lineRule="auto"/>
        <w:tabs>
          <w:tab w:leader="none" w:pos="5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17, 2026 by entities and persons affiliated with RA Capital Management, L.P. (“RA Capital Management”). RA Capital Management’s aggregate holdings consist of 17,119,096 shares of common stock held by RA Capital Healthcare Fund, L.P. (“RA Capital Healthcare”) and pre-funded warrants exercisable for up to 21,342,442 shares of common stock held by RA Capital Healthcare (the “RA Capital Pre-Funded Warrants”). The RA Capital Pre-Funded Warrants contain a provision that precludes the exercise of the RA Capital Pre-Funded Warrants to the extent that, following exercise, RA Capital Healthcare, together with its affiliates and other attribution parties, would own more than 9.99% of the Company’s common stock outstanding. As of March 20, 2026, RA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8"/>
          <w:szCs w:val="18"/>
          <w:color w:val="auto"/>
        </w:rPr>
        <w:t>Capital Healthcare was prohibited from exercising a portion of the RA Capital Pre-Funded Warrants to the extent that such exercise would result in beneficial ownership of more than 29,487,732 shares of common stock. RA Capital Healthcare Fund GP, LLC (“RA Capital Healthcare GP”) is the general partner of RA Capital Healthcare. RA Capital Management GP, LLC (“RA Capital Management GP”), of which Dr. Peter Kolchinsky and Rajeev Shah are controlling persons, is the general partner of RA Capital Management. RA Capital Management serves as investment adviser for RA Capital Healthcare and may be deemed a beneficial owner, for purposes of Section 13(d) of the Exchange Act, of any securities of the Company held by RA Capital Healthcare. RA Capital Healthcare has delegated to RA Capital Management the sole power to vote and the sole power to dispose of all securities held in RA Capital Healthcare’s portfolio, including the shares of the Company’s common stock beneficially owned by RA Capital Healthcare. Because RA Capital Healthcare has divested voting and investment power over the Company’s securities it holds and may not revoke that delegation on less than 61 days’ notice, RA Capital Healthcare disclaims beneficial ownership of the securities it holds for purposes of Section 13(d) of the Exchange Act. As managers of RA Capital Management, Dr. Kolchinsky and Mr. Shah may be deemed beneficial owners, for purposes of Section 13(d) of the Exchange Act, of any of the Company’s securities beneficially owned by RA Capital Management. RA Capital Management, Dr. Kolchinsky and Mr. Shah disclaim beneficial ownership of the securities held by RA Capital Healthcare other than for the purpose of determining their obligations under Section 13(d) of the Exchange Act. The principal business address of each of RA Capital Management, RA Capital Healthcare, Dr. Kolchinsky and Mr. Shah is 200 Berkeley Street, 18th Floor, Boston, MA 02116.</w:t>
      </w:r>
    </w:p>
    <w:p>
      <w:pPr>
        <w:spacing w:after="0" w:line="12" w:lineRule="exact"/>
        <w:rPr>
          <w:sz w:val="20"/>
          <w:szCs w:val="20"/>
          <w:color w:val="auto"/>
        </w:rPr>
      </w:pPr>
    </w:p>
    <w:p>
      <w:pPr>
        <w:ind w:left="520" w:hanging="512"/>
        <w:spacing w:after="0" w:line="250"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17, 2026 by entities and persons affiliated with BVF Inc. As of the close of business on December 31, 2025, certain entities and persons affiliated with BVF Inc. held certain pre-funded warrants (the “BVF Pre-Funded Warrants”) exercisable for an aggregate of 6,000,000 shares of common stock. A holder of BVF Pre-Funded Warrants will not be entitled to exercise any portion of any BVF Pre-Funded Warrant if, upon giving effect to such exercise, the aggregate number of shares of common stock beneficially owned by such holder, together with its affiliates, would exceed 9.99% of the number of the Company’s common stock outstanding immediately after giving effect to the exercise. The ownership reported herein consists of 13,619,218 shares of common stock beneficially owned by Biotechnology Value Fund, L.P. (“BVF”), including 3,207,466 shares of common stock underlying the BVF Pre-Funded Warrants held by BVF, 9,954,397 shares of common stock beneficially owned by Biotechnology Value Fund II, L.P. (“BVF II”), including 2,342,296 shares of common stock underlying the BVF Pre-Funded Warrants held by BVF II, and 1,563,852 shares of common stock beneficially owned by Biotechnology Value Trading Fund OS LP (“BVF Trading Fund OS”), including 362,082 shares of common stock underlying the BVF Pre-Funded Warrants held by BVF Trading Fund OS. Entities affiliated with BVF Inc. include BVF, BVF I GP LLC (“BVF GP”), BVF II, BVF II GP LLC (“BVF II GP”), BVF Trading Fund OS, BVF Partners OS Ltd. (“BVF Partners OS”), BVF GP Holdings LLC (“BVF GP Holdings”), and BVF Partners L.P. (“BVF Partners”). BVF GP, as the general partner of BVF, may be deemed to beneficially own the 13,619,218 shares of common stock beneficially owned by BVF. BVF II GP, as the general partner of BVF II, may be deemed to beneficially own the 9,954,397 shares of common stock beneficially owned by BVF II. BVF Partners OS, as the general partner of BVF Trading Fund OS, may be deemed to beneficially own the 1,563,852 shares of common stock beneficially owned by BVF Trading Fund OS. BVF GP Holdings, as the sole member of each of BVF GP and BVF II GP, may be deemed to beneficially own the 23,573,615 shares of common stock beneficially owned in the aggregate by BVF and BVF II. BVF Partners, as the investment manager of BVF, BVF II and BVF Trading Fund OS, and as the sole member of BVF Partners OS, may be deemed to beneficially own the 25,525,000 shares of common stock beneficially owned in the aggregate by BVF, BVF II and BVF Trading Fund OS and held in a certain BVF Partners managed account (the “BVF Partners Managed Account”), including 387,533 shares of common stock held in the BVF Partners Managed Account, which includes 88,156 shares of common stock underlying the BVF Pre-Funded Warrants held in the BVF Partners Managed Account. BVF Inc., as the general partner of BVF Partners, may be deemed to beneficially own the 25,525,000 shares of common stock beneficially owned by BVF Partners. Mark N. Lampert, as a director and officer of BVF Inc., may be deemed to beneficially own the 25,525,000 shares of common stock beneficially owned by BVF Inc. BVF GP Holdings, BVF Partners, BVF Inc. and Mr. Lampert share voting and dispositive power over the shares of common stock beneficially owned by BVF and BVF II. BVF Partners, BVF Inc. and Mr. Lampert share voting and dispositive power over the shares of common stock beneficially owned by BVF Trading Fund OS and held in the BVF Partners Managed Account. BVF GP disclaims beneficial ownership of the shares of common stock beneficially owned by BVF. BVF II GP disclaims beneficial ownership of the shares of common stock beneficially owned by BVF II. BVF Partners OS disclaims beneficial ownership of the shares of common stock beneficially owned by BVF Trading Fund OS. BVF GP Holdings disclaims beneficial ownership of the shares of common stock beneficially owned by BVF and BVF II. Each of BVF Partners, BVF Inc. and Mr. Lampert disclaims beneficial ownership of the shares of common stock beneficially owned by BVF, BVF II and BVF Trading Fund OS and held in the BVF Partners Managed Account. The principal business address of BVF, BVF II, BVF GP, BVF II GP, BVF GP Holdings, BVF Partners, BVF Inc. and Mr. Lampert is 44 Montgomery St., 40th Floor, San Francisco, CA 94104, and the principal business address of BVF Trading Fund OS and BVF Partners OS is PO Box 309 Ugland House, Grand Cayman, KY1-1104, Cayman Islands.</w:t>
      </w:r>
    </w:p>
    <w:p>
      <w:pPr>
        <w:spacing w:after="0" w:line="12" w:lineRule="exact"/>
        <w:rPr>
          <w:rFonts w:ascii="Times New Roman" w:cs="Times New Roman" w:eastAsia="Times New Roman" w:hAnsi="Times New Roman"/>
          <w:sz w:val="18"/>
          <w:szCs w:val="18"/>
          <w:color w:val="auto"/>
        </w:rPr>
      </w:pPr>
    </w:p>
    <w:p>
      <w:pPr>
        <w:ind w:left="520" w:right="440" w:hanging="512"/>
        <w:spacing w:after="0" w:line="260"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November 14, 2025 by entities affiliated with Janus Henderson Group plc (“Janus Henderson Group”). Consists of 25,383,077 shares of common stock beneficially owned 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right="40"/>
        <w:spacing w:after="0" w:line="254" w:lineRule="auto"/>
        <w:rPr>
          <w:sz w:val="20"/>
          <w:szCs w:val="20"/>
          <w:color w:val="auto"/>
        </w:rPr>
      </w:pPr>
      <w:r>
        <w:rPr>
          <w:rFonts w:ascii="Times New Roman" w:cs="Times New Roman" w:eastAsia="Times New Roman" w:hAnsi="Times New Roman"/>
          <w:sz w:val="18"/>
          <w:szCs w:val="18"/>
          <w:color w:val="auto"/>
        </w:rPr>
        <w:t>Janus Henderson Group, of which 21,576,145 shares of common stock are beneficially owned by Janus Henderson Biotech Innovation Master Fund Ltd. (“Janus Henderson Biotech”). Janus Henderson Group reported having shared voting and dispositive power over the 25,383,077 shares of common stock beneficially owned by Janus Henderson Group, and Janus Henderson Biotech reported having shared voting and dispositive power over the 21,576,145 shares of common stock beneficially owned by Janus Henderson Biotech. The principal business address of Janus Henderson Group is 201 Bishopsgate, EC2M 3AE, United Kingdom.</w:t>
      </w:r>
    </w:p>
    <w:p>
      <w:pPr>
        <w:spacing w:after="0" w:line="3" w:lineRule="exact"/>
        <w:rPr>
          <w:sz w:val="20"/>
          <w:szCs w:val="20"/>
          <w:color w:val="auto"/>
        </w:rPr>
      </w:pPr>
    </w:p>
    <w:p>
      <w:pPr>
        <w:ind w:left="520" w:right="8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November 25, 2025 by entities and persons affiliated with Perceptive Advisors LLC (“Perceptive Advisors”). All shares are held of record by Perceptive Life Sciences Master Fund, Ltd. (“Perceptive Master Fund”). Perceptive Advisors serves as the investment advisor to Perceptive Master Fund. Joseph Edelman is the managing member of Perceptive Advisors. Perceptive Advisors and Mr. Edelman may be deemed to beneficially own the shares held by Perceptive Master Fund, and Perceptive Master Fund, Perceptive Advisors and Mr. Edelman have shared voting and dispositive power over the shares held by Perceptive Master Fund. The principal business address of Perceptive Advisors, Perceptive Master Fund and Mr. Edelman is 51 Astor Place, 10th Floor, New York, NY 10003.</w:t>
      </w:r>
    </w:p>
    <w:p>
      <w:pPr>
        <w:spacing w:after="0" w:line="2" w:lineRule="exact"/>
        <w:rPr>
          <w:rFonts w:ascii="Times New Roman" w:cs="Times New Roman" w:eastAsia="Times New Roman" w:hAnsi="Times New Roman"/>
          <w:sz w:val="18"/>
          <w:szCs w:val="18"/>
          <w:color w:val="auto"/>
        </w:rPr>
      </w:pPr>
    </w:p>
    <w:p>
      <w:pPr>
        <w:ind w:left="520" w:hanging="512"/>
        <w:spacing w:after="0" w:line="265" w:lineRule="auto"/>
        <w:tabs>
          <w:tab w:leader="none" w:pos="5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obtained from a Schedule 13D/A filed on December 29, 2025 by Adimab, LLC (“Adimab”). Terrance McGuire, a current member of our Board, is a member of the Board of Directors of Adimab (the “Adimab Board”); and Ajay Royan, a current member of our Board, is a member of the Adimab Board. Accordingly, these individuals disclaim beneficial ownership with respect to the shares held by Adimab except to the extent of any pecuniary interest therein. The principal business address of Adimab is c/o Philip Chase, 7 Lucent Drive, Lebanon, NH 03766.</w:t>
      </w:r>
    </w:p>
    <w:p>
      <w:pPr>
        <w:ind w:left="52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13, 2026 by entities and persons affiliated with Maverick Capital, Ltd. (“Maverick Capital”). Maverick Capital the investment advisor of (i) Maverick Fund USA, Ltd, a Texas limited partnership, which holds 4,082,359 shares, (ii) Maverick Fund II, Ltd., a Cayman exempt corporation, which holds 4,025,885 shares, (iii) Maverick Long Enhanced Fund, Ltd, a Cayman exempt corporation, which holds 4,697,604 shares, (iv) Maverick HP, L.P., a Delaware limited partnership, which holds 4,283,015 shares, and (v) Maverick Long Fund, Ltd., a Cayman exempt corporation, which holds 1,882,050 shares. Maverick Capital is an investment adviser registered under Section 203 of the Investment Advisers Act of 1940 and, as such, may be deemed to have beneficial ownership of the shares reported herein through the investment discretion it exercises over its clients’ accounts. Maverick Capital Management, LLC (“Maverick Capital Management”) is the general partner of Maverick Capital. Lee S. Ainslie III is the manager of Maverick Capital Management. Maverick Capital, Maverick Capital Management, and Mr. Ainslie each reported shared voting and dispositive power of the 18,970,913 shares. The principal business address of Maverick Capital and Maverick Capital Management is 1900 N. Pearl Street, 20th Floor, Dallas, TX 75201, and the principal business address of Mr. Ainslie is 360 South Rosemary Ave., Suite 1440, West Palm Beach, FL 33401.</w:t>
      </w:r>
    </w:p>
    <w:p>
      <w:pPr>
        <w:spacing w:after="0" w:line="4"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17, 2026 by entities and persons affiliated with Point72 Asset Management, L.P. (“Point72 HoldCo”). Consists of 16,653,036 shares of common stock held by Point72 Associates, LLC (“Point72 Associates”). Pursuant to an investment management agreement, Point72 HoldCo, Point72 Capital Advisors, Inc. (“Point72 Capital”), the general partner of Point72 HoldCo, and Steven A. Cohen, who controls each of Point72 HoldCo and Point72 Capital, have shared voting and dispositive power over the 16,653,036 shares of common stock held by Point72 Associates. The principal business address of Point72 HoldCo, Point72 Capital and Mr. Cohen is 72 Cummings Point Road, Stamford, CT 06902.</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300,000 shares of common stock currently exercisable or exercisable within 60 days of March 20, 2026.</w:t>
      </w:r>
    </w:p>
    <w:p>
      <w:pPr>
        <w:spacing w:after="0" w:line="9"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300,000 shares of common stock underlying options held by Marc Elia, the Chairperson of our Board, currently exercisable or exercisable within 60 days of March 20, 2026 and (ii) 9,248,250 shares of our common stock held by certain funds and accounts to which M28 Capital Management LP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Mr. Elia is the Chief Investment Officer of M28 Capital and Managing Member of M28 Capital Management GP LLC, the general partner of M28 Capital, and exercises investment discretion with respect to these securities. The principal business address of M28 Capital and Mr. Elia is 700 Canal Street, 2nd Floor, Stamford, CT 06902.</w:t>
      </w:r>
    </w:p>
    <w:p>
      <w:pPr>
        <w:spacing w:after="0" w:line="2" w:lineRule="exact"/>
        <w:rPr>
          <w:rFonts w:ascii="Times New Roman" w:cs="Times New Roman" w:eastAsia="Times New Roman" w:hAnsi="Times New Roman"/>
          <w:sz w:val="18"/>
          <w:szCs w:val="18"/>
          <w:color w:val="auto"/>
        </w:rPr>
      </w:pPr>
    </w:p>
    <w:p>
      <w:pPr>
        <w:ind w:left="520" w:hanging="512"/>
        <w:spacing w:after="0" w:line="25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260,593 shares of our common stock underlying options held by Terrance McGuire, a member of our Board, currently exercisable or exercisable within 60 days of March 20, 2026, (ii) 3,120,194 shares of our common stock held of record by Polaris Venture Partners V, L.P. (“Polaris V”), (iii) 60,814 shares of our common stock held of record by Polaris Venture Partners Entrepreneurs’ Fund V, L.P. (“Polaris EF V”), (iv) 21,374 shares of our common stock held of record by Polaris Venture Partners Founders’ Fund V, L.P. (“Polaris FF V”), (v) 31,198 shares of our common stock held of record by Polaris Venture Partners Special Founders’ Fund V, L.P. (“Polaris SFF V”), (vi) 3,066,757 shares of our common stock held of record by Polaris Partners IX, L.P. (“Polaris IX”) and (vii)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each of Polaris V, Polaris EF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right="40"/>
        <w:spacing w:after="0" w:line="270" w:lineRule="auto"/>
        <w:rPr>
          <w:sz w:val="20"/>
          <w:szCs w:val="20"/>
          <w:color w:val="auto"/>
        </w:rPr>
      </w:pPr>
      <w:r>
        <w:rPr>
          <w:rFonts w:ascii="Times New Roman" w:cs="Times New Roman" w:eastAsia="Times New Roman" w:hAnsi="Times New Roman"/>
          <w:sz w:val="17"/>
          <w:szCs w:val="17"/>
          <w:color w:val="auto"/>
        </w:rPr>
        <w:t>V, Polaris FF V and Polaris SFF V. Mr. McGuire and Jonathan Flint are the managing members of PVMC V and may be deemed to have shared voting, investment and dispositive power with respect to the securities held by each of Polaris V, Polaris EF V, Polaris FF V and Polaris SFF V. Polaris Partners GP IX, L.L.C. (“PPGP IX”) is the general partner of Polaris IX and may be deemed to have shared voting, investment and dispositive power with respect to the securities held by Polaris IX. Mr. McGuire, an interest holder in PPGP IX, and David Barrett, Brian Chee, Amir Nashat and Amy Schulman, the managing members of PPGP IX,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Mr. McGuire, an interest holder in PHCT GP, and Mr. Barrett, Mr. Chee, Mr. Nashat and Ms. Schulman, the managing members of PHCT GP, may be deemed to have shared voting, investment and dispositive power with respect to the securities held by Polaris HCT. The principal business address of each of the entities and persons referenced in this footnote is c/o Polaris Partners, One Marina Park Drive, 8th Floor, Boston, MA 02210.</w:t>
      </w:r>
    </w:p>
    <w:p>
      <w:pPr>
        <w:spacing w:after="0" w:line="6" w:lineRule="exact"/>
        <w:rPr>
          <w:sz w:val="20"/>
          <w:szCs w:val="20"/>
          <w:color w:val="auto"/>
        </w:rPr>
      </w:pPr>
    </w:p>
    <w:p>
      <w:pPr>
        <w:ind w:left="520" w:right="30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50,000 shares of common stock and (ii) options to purchase 112,664 shares of common stock currently exercisable or exercisable within 60 days of March 20, 2026.</w:t>
      </w:r>
    </w:p>
    <w:p>
      <w:pPr>
        <w:ind w:left="52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44,326 shares of common stock underlying options held by Ajay Royan, a member of our Board, currently exercisable or exercisable within 60 days of March 20, 2026 and (ii) 11,241,580 shares of common stock held by Mithril II LP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Mr. Royan is the sole managing member of Mithril II UGP. Mr. Royan and Peter Thiel are the members of the investment committee established by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111 Congress Avenue, Suite 500, Austin, TX 78701.</w:t>
      </w:r>
    </w:p>
    <w:p>
      <w:pPr>
        <w:spacing w:after="0" w:line="3" w:lineRule="exact"/>
        <w:rPr>
          <w:rFonts w:ascii="Times New Roman" w:cs="Times New Roman" w:eastAsia="Times New Roman" w:hAnsi="Times New Roman"/>
          <w:sz w:val="18"/>
          <w:szCs w:val="18"/>
          <w:color w:val="auto"/>
        </w:rPr>
      </w:pPr>
    </w:p>
    <w:p>
      <w:pPr>
        <w:ind w:left="520" w:right="8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182,236 shares of common stock and (ii) options to purchase 2,532,501 shares of common stock currently exercisable or exercisable within 60 days of March 20, 2026.</w:t>
      </w:r>
    </w:p>
    <w:p>
      <w:pPr>
        <w:ind w:left="520" w:right="8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107,717 shares of common stock and (ii) options to purchase 1,109,027 shares of common stock currently exercisable or exercisable within 60 days of March 20, 2026.</w:t>
      </w:r>
    </w:p>
    <w:p>
      <w:pPr>
        <w:ind w:left="520" w:right="22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117,717 shares of common stock and (ii) options to purchase 739,583 shares of common stock currently exercisable or exercisable within 60 days of March 20, 2026.</w:t>
      </w:r>
    </w:p>
    <w:p>
      <w:pPr>
        <w:ind w:left="520" w:right="700" w:hanging="512"/>
        <w:spacing w:after="0" w:line="26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27,967,701 shares of common stock and (ii) options to purchase 7,596,059 shares of common stock currently exercisable or exercisable within 60 days of March 20, 2026.</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fiscal year ended December 31, 2025 consist of:</w:t>
      </w:r>
    </w:p>
    <w:p>
      <w:pPr>
        <w:spacing w:after="0" w:line="124" w:lineRule="exact"/>
        <w:rPr>
          <w:sz w:val="20"/>
          <w:szCs w:val="20"/>
          <w:color w:val="auto"/>
        </w:rPr>
      </w:pPr>
    </w:p>
    <w:p>
      <w:pPr>
        <w:ind w:left="1020" w:hanging="503"/>
        <w:spacing w:after="0"/>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Duke, Jr., M.B.A., our Chief Financial Officer;</w:t>
      </w:r>
      <w:r>
        <w:rPr>
          <w:rFonts w:ascii="Times New Roman" w:cs="Times New Roman" w:eastAsia="Times New Roman" w:hAnsi="Times New Roman"/>
          <w:sz w:val="24"/>
          <w:szCs w:val="24"/>
          <w:color w:val="auto"/>
          <w:vertAlign w:val="superscript"/>
        </w:rPr>
        <w:t>(1)</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Jill Andersen, J.D., our Chief Legal Officer and Corporate Secretary;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Lee, our Chief Commercial Officer.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Mr. Duke, our Chief Financial Officer, serves as our principal executive officer, principal financial officer and principal accounting officer.</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or paid to, or earned by, our named executive officers with respect to the years ended December 31, 2025 and December 31, 2024. Ms. Andersen was not a named executive officer for the year ended December 31, 2024; accordingly, compensation for such year is not included in the following table for Ms. Andersen.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31"/>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880" w:type="dxa"/>
            <w:vAlign w:val="bottom"/>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12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1100" w:type="dxa"/>
            <w:vAlign w:val="bottom"/>
            <w:gridSpan w:val="2"/>
          </w:tcPr>
          <w:p>
            <w:pPr>
              <w:ind w:left="34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26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(3)</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(4)</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William Duke, Jr., M.B.A.</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256,080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905,445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2,141,222</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144,000</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635,543</w:t>
            </w:r>
          </w:p>
        </w:tc>
        <w:tc>
          <w:tcPr>
            <w:tcW w:w="100" w:type="dxa"/>
            <w:vAlign w:val="bottom"/>
            <w:shd w:val="clear" w:color="auto" w:fill="CFF0FC"/>
          </w:tcPr>
          <w:p>
            <w:pPr>
              <w:spacing w:after="0"/>
              <w:rPr>
                <w:sz w:val="17"/>
                <w:szCs w:val="17"/>
                <w:color w:val="auto"/>
              </w:rPr>
            </w:pP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Jill Andersen, J.D.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905,445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2,486,155</w:t>
            </w:r>
          </w:p>
        </w:tc>
        <w:tc>
          <w:tcPr>
            <w:tcW w:w="100" w:type="dxa"/>
            <w:vAlign w:val="bottom"/>
          </w:tcPr>
          <w:p>
            <w:pPr>
              <w:spacing w:after="0"/>
              <w:rPr>
                <w:sz w:val="16"/>
                <w:szCs w:val="16"/>
                <w:color w:val="auto"/>
              </w:rPr>
            </w:pPr>
          </w:p>
        </w:tc>
      </w:tr>
      <w:tr>
        <w:trPr>
          <w:trHeight w:val="215"/>
        </w:trPr>
        <w:tc>
          <w:tcPr>
            <w:tcW w:w="3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Legal Officer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Timothy Lee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240,240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905,445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11,626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2,095,311</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240,423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126,000</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643,380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1,017,649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7" w:lineRule="exact"/>
        <w:rPr>
          <w:sz w:val="20"/>
          <w:szCs w:val="20"/>
          <w:color w:val="auto"/>
        </w:rPr>
      </w:pPr>
    </w:p>
    <w:p>
      <w:pPr>
        <w:ind w:left="520" w:right="18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Table—Bonus Compensation” below for a description of the material terms of the program pursuant to which this compensation was awarded.</w:t>
      </w:r>
    </w:p>
    <w:p>
      <w:pPr>
        <w:jc w:val="both"/>
        <w:ind w:left="520" w:right="20" w:hanging="512"/>
        <w:spacing w:after="0" w:line="26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time-vesting RSUs granted to our named executive officers. The grant date fair value was calculated by multiplying the number of RSUs subject to the award by the closing price of a share of common stock on the date of grant (or, if no closing price was reported on that date, the closing price on the immediately preceding date on which a closing price was reported), in accordance with Financial Accounting Standard Board Accounting Standards Codification Topic 718.</w:t>
      </w:r>
    </w:p>
    <w:p>
      <w:pPr>
        <w:spacing w:after="0" w:line="4" w:lineRule="exact"/>
        <w:rPr>
          <w:rFonts w:ascii="Times New Roman" w:cs="Times New Roman" w:eastAsia="Times New Roman" w:hAnsi="Times New Roman"/>
          <w:sz w:val="18"/>
          <w:szCs w:val="18"/>
          <w:color w:val="auto"/>
        </w:rPr>
      </w:pPr>
    </w:p>
    <w:p>
      <w:pPr>
        <w:ind w:left="520" w:right="160" w:hanging="512"/>
        <w:spacing w:after="0" w:line="253"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2025.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employer contributions to 401(k) plan accounts and (ii) life insurance premiums.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has historically determined, or made recommendations to our Board to determine, our executives’ compensation, including the compensation of our named executive officers. Our Compensation Committee typically reviews and discusses management’s proposed compensation with the Chief Executive Officer (if appointed) for all executives other than the Chief Executive Officer (if appointed). The Compensation Committee also reviews and discusses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recommendations of the Compensation Committee’s compensation consultant, including analyses of executive compensation paid at other companies identified by the consultant. Based on those discussions and its discretion, the Compensation Committee then approves, or recommends to our Board for approval, the compensation of each executive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reviews and approves, or recommends to our Board for approval, the annual base salaries of our named executive officers.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annual base salaries for each of our named executive officers for 2025:</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Duke, Jr., M.B.A.</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Lee</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January 2026, after evaluation of market positioning, each executive officer’s performance, and the scope of each executive officer’s role, upon the recommendation of the Compensation Committee, our Board approved the following annual base salaries for each of our named executive officers for 2026:</w:t>
      </w:r>
    </w:p>
    <w:p>
      <w:pPr>
        <w:spacing w:after="0" w:line="15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2026 Base</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Duke, Jr., M.B.A.</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Jill Andersen, J.D.</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Lee</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Compensation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Compensation Committee develops a performance-based bonus program annually. For each of 2024 and 2025, the Compensation Committee determined that each named executive officer’s performance bonus should be based principally on the Company’s achievement of its corporate goals and, in 2025, each named executive officer’s individual contribution to achievement of such corporate goals. Under the annual performance bonus program, each named executive officer was eligible to be considered for an annual performance bonus based on the percentage attainment of the annual corporate goals that were approved by the Board and, in 2025, also based on an individual bonus multiplier approved by the Board. Neither the 2024 nor 2025 corporate goals were weighted; accordingly, there was a degree of holistic and qualitative judgment in the Board’s final determination of the Company’s achievement against corporate goals in each year in order to provide the Board with the flexibility to determine the importance of such goals based on a variety of factors, such as actual results, changing business conditions throughout the year and operating opportunities and challenges that were not reasonably foreseeable at the time the goals were established.</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named executive officer has a target bonus opportunity calculated as a percentage of his or her annual base salary. For 2024, each of Mr. Duke’s and Mr. Lee’s target bonus percentage was 40%. As mentioned above, Ms. Andersen was not a named executive officer for 2024; accordingly, her bonus compensation for 2024 is not discussed here. For 2025, each named executive officer’s target bonus percentage was 40%. In January 2026, we entered into amendments to each named executive officer’s employment agreement to amend each named executive officer’s target bonus percentage to 45% beginning in 2026.</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January 2025, the Board, after receiving input from the Compensation Committee, determined that the percentage attainment of the 2024 corporate goals was 75%, and approved individual 2024 performance bonus payouts for each of Mr. Duke and Mr. Lee in the amounts of $144,000 and $126,000, respectively, which amounts are included in the column of the “Summary Compensation Table” above entitled “Bonus” for 2024.</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January 2026, the Board, after receiving input from the Compensation Committee, determined that (i) the percentage attainment of the 2025 corporate goals was 120% and (ii) each named executive officer’s individual bonus multiplier was 110%, and approved individual 2025 performance bonus payouts for each of Mr. Duke, Ms. Andersen and Mr. Lee in the amounts of $256,080, $264,000 and $240,240, respectively, which amounts are included in the column of the “Summary Compensation Table” above entitled “Bonus” for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Vesting of equity awards is generally tied to each executive officer’s continuous service with us and serves as an additional retention measure. Initial new hire stock option grants typically vest with respect to one fourth (1/4) of the shares subject to the option award on the first anniversary of the grant date, with the remainder vesting in equal monthly installments over thirty-six months, subject to continuous service through each vesting date. Annual stock option grants typically vest in equal monthly installments over a three-year period measured one month following the grant date, subject to continuous service through each vesting date. From time to time, the Board or the Compensation Committee may construct alternate vesting schedules as it determines are appropriate.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granted all equity awards to our executive officers pursuant to our 2021 Equity Incentive Plan since its adoption; equity awards granted prior to the adoption of the 2021 Equity Incentive Plan were made pursuant to our 2020 Equity Incentive Plan. In January 2026, the Board adopted the 2026 Inducement Plan for new hire awards to certain individuals who satisfy the standards for inducement grants under Nasdaq Listing Rule 5635(c)(4) and the related guidance thereunder. Each of the 2021 Equity Incentive Plan and the 2026 Inducement Plan provides for the grant of stock options, stock appreciation rights, restricted stock awards, RSUs, performance awards and other stock-based awards. Each of the 2021 Equity Incentive Plan and the 2026 Inducement Plan is administered by the Board or, at the discretion of the Board, by a committee of the Board. The Board may also delegate to one or more officers of the Company the power to grant awards to employees and certain officers of the Company. The exercise prices, vesting and other restrictions are determined at the discretion of the Board, its committee or any such officer if so delegated; provided, however, that the exercise price of any stock option or stock appreciation right granted pursuant to the 2021 Equity Incentive Plan or the 2026 Inducement Plan may not be less than 100% of the fair market value of the Company’s common stock on the date of grant, in accordance with the terms of each equity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Incentive Awards Granted in 2025</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year, the Compensation Committee considers the structure and size of equity grants to our executive officers taking into consideration benchmarking data, as well as relevant Company and individual factors. For 2025, after evaluation of market positioning, each executive officer’s performance, and the scope of each executive officer’s role, upon the recommendation of the Compensation Committee, our Board approved granting a mix of options and RSUs to incentivize and retain our executive officers.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15, 2025, Mr. Duke was granted (i) 300,000 RSUs that vest over an eighteen-month period, with one-third of the RSUs vesting every six months following the grant date, and (ii) an option to purchase up to 950,000 shares of common stock that vests over a three-year period, with 1/36th of the shares subject to the option vesting in substantially equal monthly installments measured from one month following the grant date, in each case subject to Mr. Duke’s continuous service as of each such vesting date.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15, 2025, Ms. Andersen was granted (i) 500,000 RSUs that vest over an eighteen-month period, with one-third of the RSUs vesting every six months following the grant date, and (ii) an option to purchase up to 950,000 shares of common stock that vests over a three-year period, with 1/36th of the shares subject to the option vesting in substantially equal monthly installments measured from one month following the grant date, in each case subject to Ms. Andersen’s continuous service as of each such vesting date.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15, 2025, Mr. Lee was granted (i) 300,000 RSUs that vest over an eighteen-month period, with one-third of the RSUs vesting every six months following the grant date, and (ii) an option to purchase up to 950,000 shares of common stock that vests over a three-year period, with 1/36th of the shares subject to the option vesting in substantially equal monthly installments measured from one month following the grant date, in each case subject to Mr. Lee’s continuous service as of each such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maintain any formal written policies on the timing of awards of stock options, stock appreciation rights, or similar instruments with option-like features in relation to the disclosure of material nonpublic information. Our employees, including our executive officers, are generally awarded an initial new hire stock option grant in connection with commencement of employment, which awards are typically made to executive officers on the first day of employment and to non-officer employees on the first of each month. Annual equity grants to our employees, including our executive officers, are typically made during the first quarter of the new year, with grant dates for executive officers generally tied to the date of Board or Compensation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Committee approval and grant dates for non-officer employees determined in accordance with the delegation of authority described above under “Compensation Committee Processes and Procedures.” Additional equity grants may occur periodically to executive officers or other employees as incentive with respect to achieving certain corporate goals, reward for exceptional performance or compensation for additional job responsibilities. We do not have a practice to grant stock options, stock appreciation rights or similar instruments with option-like features in anticipation of the release of material non-public information, and we have not timed the disclosure of material non-public information for the purpose of affecting the value of executive compensation. During fiscal 2025, no named executive officer was granted any stock options, stock appreciation rights or similar instruments with option-like features during the period beginning four business days before, and ending one business day after, the filing of a quarterly report on Form 10-Q or an annual report on Form 10-K, or the filing or furnishing of a current report on Form 8-K that disclosed material nonpublic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Borders>
              <w:top w:val="single" w:sz="8" w:color="auto"/>
            </w:tcBorders>
            <w:gridSpan w:val="2"/>
          </w:tcPr>
          <w:p>
            <w:pPr>
              <w:jc w:val="center"/>
              <w:ind w:left="118"/>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0" w:type="dxa"/>
            <w:vAlign w:val="bottom"/>
            <w:gridSpan w:val="3"/>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6"/>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20" w:type="dxa"/>
            <w:vAlign w:val="bottom"/>
          </w:tcPr>
          <w:p>
            <w:pPr>
              <w:spacing w:after="0"/>
              <w:rPr>
                <w:sz w:val="12"/>
                <w:szCs w:val="12"/>
                <w:color w:val="auto"/>
              </w:rPr>
            </w:pPr>
          </w:p>
        </w:tc>
        <w:tc>
          <w:tcPr>
            <w:tcW w:w="9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Duke, Jr., M.B.A.</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421,875</w:t>
            </w:r>
          </w:p>
        </w:tc>
        <w:tc>
          <w:tcPr>
            <w:tcW w:w="3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8/31/2033</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3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12/17/2033</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263,888</w:t>
            </w:r>
          </w:p>
        </w:tc>
        <w:tc>
          <w:tcPr>
            <w:tcW w:w="3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686,112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Jill Andersen, J.D.</w:t>
            </w: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514,863</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30.65</w:t>
            </w:r>
          </w:p>
        </w:tc>
        <w:tc>
          <w:tcPr>
            <w:tcW w:w="1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10/31/2031</w:t>
            </w:r>
          </w:p>
        </w:tc>
        <w:tc>
          <w:tcPr>
            <w:tcW w:w="20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563,020</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1/29/2032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134,895</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11/2/2032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12/13/2032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169,270</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11/16/2033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266,666</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12/17/2033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263,888</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Lee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6/4/2034</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263,888</w:t>
            </w:r>
          </w:p>
        </w:tc>
        <w:tc>
          <w:tcPr>
            <w:tcW w:w="3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686,112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this table were granted under our 2021 Equity Incentive Plan.</w:t>
      </w:r>
    </w:p>
    <w:p>
      <w:pPr>
        <w:spacing w:after="0" w:line="27"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RSUs listed in this table were granted under our 2021 Equity Incentive Plan and vest over an eighteen-month period, with one third (1/3) of the RSUs vesting every six months following the grant date, subject to the named executive officer’s continued service through each vesting date.</w:t>
      </w:r>
    </w:p>
    <w:p>
      <w:pPr>
        <w:ind w:left="520" w:right="8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 per share exercise price equal to or above the fair market value of our common stock on the date of grant.</w:t>
      </w:r>
    </w:p>
    <w:p>
      <w:pPr>
        <w:ind w:left="520" w:right="18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have been calculated by multiplying the number of RSUs subject to the applicable award by $2.47, which was the closing price of our common stock on December 31, 2025.</w:t>
      </w:r>
    </w:p>
    <w:p>
      <w:pPr>
        <w:ind w:left="520" w:right="46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(1/4) of the shares subject to this option award vest on the first anniversary of the date of grant, with the remainder vesting in equal monthly installments over thirty-six months, subject to the named executive officer’s continued service through each vesting date.</w:t>
      </w:r>
    </w:p>
    <w:p>
      <w:pPr>
        <w:ind w:left="520" w:right="50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monthly installments over a three-year period measured one month following the date of grant, subject to the named executive officer’s continued service through each vesting date.</w:t>
      </w: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fully vested and exercisable.</w:t>
      </w:r>
    </w:p>
    <w:p>
      <w:pPr>
        <w:spacing w:after="0" w:line="9" w:lineRule="exact"/>
        <w:rPr>
          <w:rFonts w:ascii="Times New Roman" w:cs="Times New Roman" w:eastAsia="Times New Roman" w:hAnsi="Times New Roman"/>
          <w:sz w:val="18"/>
          <w:szCs w:val="18"/>
          <w:color w:val="auto"/>
        </w:rPr>
      </w:pPr>
    </w:p>
    <w:p>
      <w:pPr>
        <w:ind w:left="520" w:right="40" w:hanging="512"/>
        <w:spacing w:after="0" w:line="26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vests in equal monthly installments over a four-year period measured one month following the date of grant, subject to the named executive officer’s continued service through each vesting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2025 other than our 401(k) plan described below. During 2025,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Internal Revenue Code of 1986, as amended,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William Duke, Jr., M.B.A., Jill Andersen, J.D. and Timothy Lee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entered into employment agreements with Mr. Duke, Ms. Andersen and Mr. Lee in connection with the commencement of their employment with us effective September 1, 2023, September 24, 2021 and June 5, 2024, respectively. We subsequently entered into amendments to each named executive officer’s employment agreement, effective January 31, 2026, to amend each named executive officer’s target annual bonus percentage.</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employment agreement, as amended, includes an initial annual base salary and annual target bonus percentage. The employment agreements do not provide for an automatic increase in annual base salary; rather, the Board or the Compensation Committee reviews each executive’s base salary on an annual basis and may adjust such base salary from time to time. The annual bonus is determined by the Compensation Committee (or by the Board upon recommendation of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Key substantive differences are limited to (i) the definition of Good Reason, which, (A) for Mr. Duke and Ms. Andersen, is further triggered by (1) a material reduction in the authority, duties or responsibilities of the Chief Executive Officer to whom he or she is required to report, and (2) a Change of Control following which there is a material reduction in the budget over which he or she retains authority, and (B) for Ms. Andersen and Mr. Lee, is further triggered by a relocation of their respective place of employment to any location that is greater than 20 miles from their respective home office; (ii) the treatment of certain equity awards for Mr. Duke and Mr. Lee upon a change in control of the Company; and (iii) a one-time sign on bonus for Mr. Duke. Severance terms are detailed further below under “Potential Payments Upon Termination or Change in Control.” We do not maintain any other offer letters or employment agreements with our named executive officers.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Duke, Ms. Andersen and Mr. Lee are entitled to certain severance and change in control benefits pursuant to the employment agreements described above and certain agreements governing their equity awards. In the event that an executive’s employment ends upon death or a disability, they are entitled to accrued obligations and, if applicable, payment of their annual bonus for the preceding calendar year if their employment terminates after the completion of the preceding calendar year but prior to the date of payment of the bonus (the “Earned Bonus”).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event that employment terminates, other than during the period commencing three months prior to or ending 12 months following a “change in control” (the “Change in Control Period”), by us without “cause” or by Mr. Duke, Ms. Andersen or Mr. Lee for “good reason” (as defined in our equity plan and the respective employment agreement), and subject to the delivery to us of a separation agreement that includes a general release of claims, Mr. Duke, Ms. Andersen or Mr. Lee, as the case may be, is entitled to (i) cash severance equal to 9 months of his or her then-current base salary, as well as the Earned Bonus, if applicable, and 9 months continuation of benefits and (ii) delayed forfeiture of unvested time-based equity awards until at least three months after the date of termination.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that Mr. Duke’s, Ms. Andersen’s or Mr. Lee’s employment is terminated by us without “cause” or by Mr. Duke, Ms. Andersen or Mr. Lee for “good reason,” in either case, during the Change in Control Period, and subject to the delivery to us of a separation agreement that includes a general release of claims, Mr. Duke, Ms. Andersen and Mr. Lee will each be entitled to (i) cash severance equal to 12 months of his or her then-current base salary (or his or her base salary immediately prior to the change in control, if higher), as well as the Earned Bonus, if any, his or her respective target bonus for the year of termination (or his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her target bonus in effect immediately prior to the change in control, if higher), and 12 months continuation of benefits and (ii) immediate acceleration and full vesting of any time-based equity awards, exercisable or nonforfeitable as if employment continued until the later of the date of termination or the effective date of the separation agreement.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in the event that Mr. Duke, Ms. Andersen or Mr. Lee is terminated for any reason other than “cause,” disability or death, the post-termination exercise period of any vested options held by them as of the date of their respective termination will be 12 months after termination.</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our non-employee directors who served for all or a portion of the year:</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(2)(3)</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Christine Akinc</w:t>
            </w:r>
            <w:r>
              <w:rPr>
                <w:rFonts w:ascii="Times New Roman" w:cs="Times New Roman" w:eastAsia="Times New Roman" w:hAnsi="Times New Roman"/>
                <w:sz w:val="24"/>
                <w:szCs w:val="24"/>
                <w:color w:val="auto"/>
                <w:vertAlign w:val="superscript"/>
              </w:rPr>
              <w:t>(4)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Tamsin Berry</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Paul B. Bolno, M.D.</w:t>
            </w:r>
            <w:r>
              <w:rPr>
                <w:rFonts w:ascii="Times New Roman" w:cs="Times New Roman" w:eastAsia="Times New Roman" w:hAnsi="Times New Roman"/>
                <w:sz w:val="24"/>
                <w:szCs w:val="24"/>
                <w:color w:val="auto"/>
                <w:vertAlign w:val="superscript"/>
              </w:rPr>
              <w:t>(5)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Marc Elia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Srishti Gupta, M.D.</w:t>
            </w:r>
            <w:r>
              <w:rPr>
                <w:rFonts w:ascii="Times New Roman" w:cs="Times New Roman" w:eastAsia="Times New Roman" w:hAnsi="Times New Roman"/>
                <w:sz w:val="24"/>
                <w:szCs w:val="24"/>
                <w:color w:val="auto"/>
                <w:vertAlign w:val="superscript"/>
              </w:rPr>
              <w:t>(6)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Kevin F. McLaughlin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61,154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Ajay Royan</w:t>
            </w:r>
            <w:r>
              <w:rPr>
                <w:rFonts w:ascii="Times New Roman" w:cs="Times New Roman" w:eastAsia="Times New Roman" w:hAnsi="Times New Roman"/>
                <w:sz w:val="24"/>
                <w:szCs w:val="24"/>
                <w:color w:val="auto"/>
                <w:vertAlign w:val="superscript"/>
              </w:rPr>
              <w:t>(7)</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31,111</w:t>
            </w:r>
          </w:p>
        </w:tc>
        <w:tc>
          <w:tcPr>
            <w:tcW w:w="2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8</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79,051</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110,162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5840" w:type="dxa"/>
            <w:vAlign w:val="bottom"/>
            <w:vMerge w:val="continue"/>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vMerge w:val="continue"/>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-433070</wp:posOffset>
            </wp:positionV>
            <wp:extent cx="64122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951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5" w:lineRule="exact"/>
        <w:rPr>
          <w:sz w:val="20"/>
          <w:szCs w:val="20"/>
          <w:color w:val="auto"/>
        </w:rPr>
      </w:pPr>
    </w:p>
    <w:p>
      <w:pPr>
        <w:ind w:left="520" w:right="180" w:hanging="512"/>
        <w:spacing w:after="0" w:line="257"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fees earned or paid in cash pursuant to the Non-Employee Director Compensation Policy, and an additional cash retainer of $5,000 per month payable to Ms. Akinc while serving on the executive committee of the Board (the “Executive Committee”). The Executive Committee was dissolved by the Board in January 2025.</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2025, as computed in accordance with Financial Accounting Standard Board Accounting Standards Codification Topic 718 for stock-based compensation transactions. Assumptions used in the calculation of these amounts are included in note 11 to our audited financial statements included in our Annual Report on Form 10-K for the year ended December 31, 2025.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2" w:lineRule="exact"/>
        <w:rPr>
          <w:rFonts w:ascii="Times New Roman" w:cs="Times New Roman" w:eastAsia="Times New Roman" w:hAnsi="Times New Roman"/>
          <w:sz w:val="18"/>
          <w:szCs w:val="18"/>
          <w:color w:val="auto"/>
        </w:rPr>
      </w:pPr>
    </w:p>
    <w:p>
      <w:pPr>
        <w:ind w:left="520" w:right="60" w:hanging="512"/>
        <w:spacing w:after="0" w:line="26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following current and former non-employee directors held options to purchase the following number of shares of our common stock. None of our non-employee directors held any stock awards as of December 31, 2025.</w:t>
      </w:r>
    </w:p>
    <w:p>
      <w:pPr>
        <w:spacing w:after="0" w:line="6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Akinc</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225,422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Tamsin Berry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Bolno, M.D.</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Marc Elia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Srishti Gupta, M.D.</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260,593</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F. McLaughlin</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Ajay Royan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108,219</w:t>
            </w:r>
          </w:p>
        </w:tc>
      </w:tr>
    </w:tbl>
    <w:p>
      <w:pPr>
        <w:spacing w:after="0" w:line="8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Akinc resigned from our Board on September 22, 2025.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Bolno was appointed to our Board on September 22,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Gupta’s term expired at the 2025 Annual Meeting.</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Royan was appointed to our Board on March 22,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earned by Mr. Royan for his service on our Board during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has adopted a Non-Employee Director Compensation Policy pursuant to which each of our directors who is not an employee or consultant of our company is eligible to receive compensation for service on our Board and committees of our Board.</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Policy, each eligible director receives an annual cash retainer in the amount of $40,000 for serving on our Board. In addition, the Chairperson of our Board receives an annual cash retainer in the amount of $30,000 (in addition to the annual cash retainer given to all eligible directors). The chairperson of the Audit Committee is entitled to receive an additional annual cash retainer in the amount of $15,000, the chairperson of the Compensation Committee is entitled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receive an additional annual cash retainer in the amount of $10,000 and the chairperson of the Nominating and Corporate Governance Committee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 All such annual retainers are payable in equal quarterly installments, payable in arrears on the last day of each fiscal quarter in which the service occurred. If an eligible director joins our Board or a committee of our Board at a time other than effective as of the first day of a fiscal quarter, the annual retainers described above are pro-rated based on days served in the applicable fiscal quarter, with the pro-rated amount paid on the last day of the first fiscal quarter in which such eligible director provides the service and regular full quarterly payments thereafter.</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is entitled to receive a non-statutory stock option to purchase 100,000 shares of our common stock, with one-third of the shares vesting on the first anniversary of the grant date and 1/36th of the shares subject to the initial grant vesting in equal monthly installments thereafter, such that the option is fully vested on the third anniversary of the grant date, subject to continued service as a director through the vesting dates.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50,000 shares of our common stock, with the shares vesting on the earlier of the first anniversary of the date of grant or the date of the next annual meeting of our stockholders, subject to continued service as a director though the applicable vesting date. If an eligible director joins our Board upon or after the date of the last preceding annual stockholders meeting, such eligible director’s annual grant will be pro-rated based on days served since joining our Board.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the Board designated the Executive Committee, led by Marc Elia, the Chairperson of the Board, with Christine Akinc and Sara Cotter, former members of the Board, serving as members of the Executive Committee, to provide oversight and strategic guidance on the business and affairs of the Company. Each member of the Executive Committee was entitled to an additional cash retainer of $5,000 per month, payable in accordance with the terms of the Non-Employee Director Compensation Policy. Mr. Elia waived his right to compensation as a member of the Executive Committee. In January 2025, the Board dissolved the Executive Committee.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2025.</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Number of securities to</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issuance under equity</w:t>
            </w:r>
          </w:p>
        </w:tc>
      </w:tr>
      <w:tr>
        <w:trPr>
          <w:trHeight w:val="14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be issued upon exercise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compensation plans</w:t>
            </w:r>
          </w:p>
        </w:tc>
      </w:tr>
      <w:tr>
        <w:trPr>
          <w:trHeight w:val="14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3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warrants and rights</w:t>
            </w:r>
          </w:p>
        </w:tc>
        <w:tc>
          <w:tcPr>
            <w:tcW w:w="216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75"/>
        </w:trPr>
        <w:tc>
          <w:tcPr>
            <w:tcW w:w="3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5"/>
                <w:szCs w:val="15"/>
                <w:color w:val="auto"/>
              </w:rPr>
            </w:pPr>
          </w:p>
        </w:tc>
        <w:tc>
          <w:tcPr>
            <w:tcW w:w="2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3"/>
                <w:szCs w:val="13"/>
                <w:b w:val="1"/>
                <w:bCs w:val="1"/>
                <w:color w:val="auto"/>
                <w:w w:val="86"/>
              </w:rPr>
              <w:t>(b)</w:t>
            </w:r>
            <w:r>
              <w:rPr>
                <w:rFonts w:ascii="Times New Roman" w:cs="Times New Roman" w:eastAsia="Times New Roman" w:hAnsi="Times New Roman"/>
                <w:sz w:val="18"/>
                <w:szCs w:val="18"/>
                <w:b w:val="1"/>
                <w:bCs w:val="1"/>
                <w:color w:val="auto"/>
                <w:w w:val="86"/>
                <w:vertAlign w:val="superscript"/>
              </w:rPr>
              <w:t>(1)</w:t>
            </w: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91"/>
        </w:trPr>
        <w:tc>
          <w:tcPr>
            <w:tcW w:w="334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shd w:val="clear" w:color="auto" w:fill="CFF0FC"/>
          </w:tcPr>
          <w:p>
            <w:pPr>
              <w:spacing w:after="0"/>
              <w:rPr>
                <w:sz w:val="16"/>
                <w:szCs w:val="16"/>
                <w:color w:val="auto"/>
              </w:rPr>
            </w:pPr>
          </w:p>
        </w:tc>
        <w:tc>
          <w:tcPr>
            <w:tcW w:w="1980" w:type="dxa"/>
            <w:vAlign w:val="bottom"/>
            <w:tcBorders>
              <w:top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80" w:type="dxa"/>
            <w:vAlign w:val="bottom"/>
            <w:tcBorders>
              <w:top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r>
      <w:tr>
        <w:trPr>
          <w:trHeight w:val="234"/>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480" w:type="dxa"/>
            <w:vAlign w:val="bottom"/>
            <w:gridSpan w:val="3"/>
            <w:shd w:val="clear" w:color="auto" w:fill="CFF0FC"/>
          </w:tcPr>
          <w:p>
            <w:pPr>
              <w:jc w:val="right"/>
              <w:ind w:right="140"/>
              <w:spacing w:after="0" w:line="234" w:lineRule="exact"/>
              <w:rPr>
                <w:sz w:val="20"/>
                <w:szCs w:val="20"/>
                <w:color w:val="auto"/>
              </w:rPr>
            </w:pPr>
            <w:r>
              <w:rPr>
                <w:rFonts w:ascii="Times New Roman" w:cs="Times New Roman" w:eastAsia="Times New Roman" w:hAnsi="Times New Roman"/>
                <w:sz w:val="18"/>
                <w:szCs w:val="18"/>
                <w:color w:val="auto"/>
              </w:rPr>
              <w:t xml:space="preserve">22,890,941 </w:t>
            </w:r>
            <w:r>
              <w:rPr>
                <w:rFonts w:ascii="Times New Roman" w:cs="Times New Roman" w:eastAsia="Times New Roman" w:hAnsi="Times New Roman"/>
                <w:sz w:val="24"/>
                <w:szCs w:val="24"/>
                <w:color w:val="auto"/>
                <w:vertAlign w:val="superscript"/>
              </w:rPr>
              <w:t>(2)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160" w:type="dxa"/>
            <w:vAlign w:val="bottom"/>
            <w:gridSpan w:val="2"/>
            <w:shd w:val="clear" w:color="auto" w:fill="CFF0FC"/>
          </w:tcPr>
          <w:p>
            <w:pPr>
              <w:jc w:val="right"/>
              <w:ind w:right="140"/>
              <w:spacing w:after="0" w:line="234" w:lineRule="exact"/>
              <w:rPr>
                <w:sz w:val="20"/>
                <w:szCs w:val="20"/>
                <w:color w:val="auto"/>
              </w:rPr>
            </w:pPr>
            <w:r>
              <w:rPr>
                <w:rFonts w:ascii="Times New Roman" w:cs="Times New Roman" w:eastAsia="Times New Roman" w:hAnsi="Times New Roman"/>
                <w:sz w:val="18"/>
                <w:szCs w:val="18"/>
                <w:color w:val="auto"/>
              </w:rPr>
              <w:t xml:space="preserve">13,230,894 </w:t>
            </w:r>
            <w:r>
              <w:rPr>
                <w:rFonts w:ascii="Times New Roman" w:cs="Times New Roman" w:eastAsia="Times New Roman" w:hAnsi="Times New Roman"/>
                <w:sz w:val="24"/>
                <w:szCs w:val="24"/>
                <w:color w:val="auto"/>
                <w:vertAlign w:val="superscript"/>
              </w:rPr>
              <w:t>(3)</w:t>
            </w:r>
          </w:p>
        </w:tc>
      </w:tr>
      <w:tr>
        <w:trPr>
          <w:trHeight w:val="178"/>
        </w:trPr>
        <w:tc>
          <w:tcPr>
            <w:tcW w:w="3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1"/>
        </w:trPr>
        <w:tc>
          <w:tcPr>
            <w:tcW w:w="3340" w:type="dxa"/>
            <w:vAlign w:val="bottom"/>
          </w:tcPr>
          <w:p>
            <w:pPr>
              <w:ind w:left="140"/>
              <w:spacing w:after="0" w:line="241" w:lineRule="exact"/>
              <w:rPr>
                <w:sz w:val="20"/>
                <w:szCs w:val="20"/>
                <w:color w:val="auto"/>
              </w:rPr>
            </w:pPr>
            <w:r>
              <w:rPr>
                <w:rFonts w:ascii="Times New Roman" w:cs="Times New Roman" w:eastAsia="Times New Roman" w:hAnsi="Times New Roman"/>
                <w:sz w:val="18"/>
                <w:szCs w:val="18"/>
                <w:color w:val="auto"/>
              </w:rPr>
              <w:t>approved by security holders</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22,890,941</w:t>
            </w:r>
          </w:p>
        </w:tc>
        <w:tc>
          <w:tcPr>
            <w:tcW w:w="3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1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13,230,894</w:t>
            </w:r>
          </w:p>
        </w:tc>
      </w:tr>
    </w:tbl>
    <w:p>
      <w:pPr>
        <w:spacing w:after="0" w:line="103"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excludes RSUs, which have no exercise price.</w:t>
      </w:r>
    </w:p>
    <w:p>
      <w:pPr>
        <w:spacing w:after="0" w:line="27"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an aggregate of 21,351,941 shares underlying options granted pursuant to our 2020 Equity Incentive Plan and 2021 Equity Incentive Plan and (ii) 1,539,000 shares underlying unvested RSUs granted pursuant to our 2021 Equity Incentive Plan.</w:t>
      </w:r>
    </w:p>
    <w:p>
      <w:pPr>
        <w:ind w:left="520" w:hanging="512"/>
        <w:spacing w:after="0" w:line="265" w:lineRule="auto"/>
        <w:tabs>
          <w:tab w:leader="none" w:pos="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12,718,956 shares of common stock reserved for future issuance under our 2021 Equity Incentive Plan and 511,938 shares of common stock reserved for future issuance under our 2021 Employee Stock Purchase Plan. The number of shares of our common stock reserved for issuance under our 2021 Equity Incentive Plan automatically increases on the first day of each calendar year pursuant to the evergreen provision thereof, beginning on January 1, 2022 and continuing through January 1, 2031, in an amount equal to 5.0% of the total number of shares of our common stock outstanding on December 31 of the preceding calendar year or a lesser number of shares determined by our Board. Pursuant to this evergreen provision, on January 1, 2026, we added 14,099,351 shares of common stock that are available for issuance under the 2021 Equity Incentive Plan, which is not reflected in the table above. The number of shares reserved under the 2021 Employee Stock Purchase Plan automatically increases on the first day of each calendar year pursuant to the evergreen provision thereof, beginning on January 1, 2022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Pursuant to this evergreen provision, on January 1, 2026, we added 2,685,546 shares of common stock that are available for issuance under the 2021 Employee Stock Purchase Plan, which is not reflected in the table above.</w:t>
      </w:r>
    </w:p>
    <w:p>
      <w:pPr>
        <w:spacing w:after="0" w:line="1" w:lineRule="exact"/>
        <w:rPr>
          <w:rFonts w:ascii="Times New Roman" w:cs="Times New Roman" w:eastAsia="Times New Roman" w:hAnsi="Times New Roman"/>
          <w:sz w:val="17"/>
          <w:szCs w:val="17"/>
          <w:color w:val="auto"/>
        </w:rPr>
      </w:pPr>
    </w:p>
    <w:p>
      <w:pPr>
        <w:jc w:val="both"/>
        <w:ind w:left="520" w:right="100" w:hanging="512"/>
        <w:spacing w:after="0" w:line="255"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Board adopted the 2026 Inducement Plan for new hire awards to certain individuals who satisfy the standards for inducement grants under Nasdaq Listing Rule 5635(c)(4) and the related guidance thereunder. Under the 2026 Inducement Plan, the Company is authorized to issue up to 8,000,000 shares pursuant to inducement grants, which are not reflected in the table above.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60" w:firstLine="2607"/>
        <w:spacing w:after="0" w:line="440" w:lineRule="auto"/>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 Related Person Transactions Policy and Procedures</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Board has a written Related Person Transactions Policy that sets forth our procedures for the identification, review, consideration and approval or ratification of related person transactions. A related person is any executive officer, director, nominee to become a director, or beneficial owner of more than 5% of any class of our voting securities, including any immediate family members and any entity owned or controlled by such persons.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w:t>
      </w:r>
    </w:p>
    <w:p>
      <w:pPr>
        <w:spacing w:after="0" w:line="187"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other independent body of our Board, will take into account the facts and circumstances available to and deemed relevant by the Audit Committee, including, but not limited to:</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terms available to or from, as the case may be, unrelated third parties or to or from employees generally.</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voting securities or an affiliate or immediate family member thereof,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PHP</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Clive Meanwell, M.D., a former member on our Board, and Tamsin Berry, a current member on our Board, are Managing Partner and Limited Partner of Population Health Partners, L.P. (“PHP”),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15, 2022, in connection with entering into a Master Services Agreement with PHP and a related work order thereunder, we issued a warrant to purchase shares of our common stock to PHP (the “PHP Warrant”). The exercise price of the PHP Warrant is $3.48 per share of our common stock, which was equal to the Nasdaq official closing price (as defined in the PHP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Warrant) of a share of our common stock on the trading day immediately prior to November 15, 2022. The PHP Warrant is exercisable for up to an aggregate of 6,824,712 shares of common stock, and vests in three separate tranches as follows:</w:t>
      </w:r>
    </w:p>
    <w:p>
      <w:pPr>
        <w:spacing w:after="0" w:line="54" w:lineRule="exact"/>
        <w:rPr>
          <w:sz w:val="20"/>
          <w:szCs w:val="20"/>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common stock underlying the PHP Warrant vests if our market capitalization (as defined in the PHP Warrant) equals or exceeds $758,517,511 by November 15, 2028;</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common stock underlying the PHP Warrant vests if our market capitalization equals or exceeds $1,137,776,266 by November 15, 2029;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common stock underlying the PHP Warrant vests if our market capitalization equals or exceeds $1,517,035,022 by November 15, 2030.</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We also granted PHP certain “piggyback” registration rights requiring us to register any shares of our common stock underlying the PHP Warrant for resale with the SEC, subject to our existing obligations under the amended and restated investors’ rights agreement, which registration rights PHP exercised in January 2024 (see “</w:t>
      </w:r>
      <w:r>
        <w:rPr>
          <w:rFonts w:ascii="Times New Roman" w:cs="Times New Roman" w:eastAsia="Times New Roman" w:hAnsi="Times New Roman"/>
          <w:sz w:val="18"/>
          <w:szCs w:val="18"/>
          <w:i w:val="1"/>
          <w:iCs w:val="1"/>
          <w:color w:val="auto"/>
        </w:rPr>
        <w:t>Investors’ Rights Agreement</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Notwithstanding the foregoing, PHP may not exercise any portion of the PHP Warrant to the extent that, after giving effect to such issuance, PHP would beneficially own in excess of 4.99% of the number of shares of our common stock outstanding immediately after giving effect to the issuance of shares of common stock issuable upon exercise of the PHP Warrant (the “Beneficial Ownership Limitation”). PHP has the right to increase or decrease the Beneficial Ownership Limitation, provided that it in no event exceeds 19.99% of the number of shares of our common stock outstanding immediately after giving effect to the issuance of shares of common stock issuable upon exercise of the PHP Warrant, upon not less than 61 days’ prior notice to us.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 As of December 31, 2025, no portion of the PHP Warrant had vested.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Adimab</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Adimab is the beneficial owner of 7.16% of our common stock as of March 20, 2026. Terrance McGuire, who is deemed to be a beneficial owner of 2.49% of our common stock as of March 20, 2026, is a member of our Board and the board of directors of Adimab. Ajay Royan, who is deemed to be a beneficial owner of 3.99% of our common stock as of March 20, 2026, is a member of our Board and the board of directors of Adimab.</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Assignment and License Agreement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(the “Adimab Assignment Agreement”) with Adimab with respect to discovery and optimization of coronavirus-specific antibodies, including COVID-19 and SARS. Under the Adimab Assignment Agreement, Adimab assigned to us its rights, title and interest in and to certain of its coronavirus 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to Adimab 5,000,000 shares of our Series A preferred stock, then having a fair value of $40.0 million. Concurrently, Adimab relinquished to us 21,250,000 shares of our common stock, then having a fair value of $85,000.</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Under the Adimab Assignment Agreement, we are obligated to pay Adimab quarterly for its services performed under the agreement at a specified full-time equivalent rate. Additionally,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second Product under the agreement that achieves such specified milestones. The maximum aggregate amount of milestone payments payable under the agreement for any and all Products is $24.6 million.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milestone payments were triggered under the Adimab Assignment Agreement during the years ended December 31, 2025 and 2024. While reserving all rights under the Adimab Assignment Agreement and the applicable law, during the years ended December 31, 2025 and 2024, we made aggregate royalty payments to Adimab of $2.0 million and $0.5 million, respectively.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January 1, 2024 through December 31, 2025, we paid Adimab $2.5 million in connection with the Adimab Assignment Agreement. As of December 31, 2025, $0.7 million was accrued under the Adimab Assignment Agreement.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Adimab Collaboration Agreement, we agreed to pay Adimab a quarterly fee of $1.3 million, which could be cancelled at our option at any time. For so long as we were paying such quarterly fee (or earlier if (i) we experienced a change of control after the third anniversary of the Adimab Collaboration Agreement or (ii) Adimab owned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Effective January 2024, we became obligated to pay Adimab a quarterly fee of $0.6 million.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each agreed upon research program that is commenced under the Adimab Collaboration Agreement,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From January 1, 2024 through December 31, 2025, we paid Adimab $5.7 million in connection with the Adimab Collaboration Agreement. As of December 31, 2025, no payments were due to Adimab by us in connection with the Adimab Collaboration Agreement.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 Transfer Agreement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In September 2022, we paid $3.0 million to Adimab in connection with the upfront consideration payable for the rights assigned pursuant to the Adimab Platform Transfer Agreement.</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obligated to pay Adimab an annual fee of single digit millions (the “Annual Fee”)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also obligated to pay Adimab up to $9.5 million upon the achievement of specified development and regulatory milestones for each product under the Adimab Platform Transfer Agreement that achieves such milestones.</w:t>
      </w:r>
    </w:p>
    <w:p>
      <w:pPr>
        <w:spacing w:after="0" w:line="1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January 1, 2024 through December 31, 2025, we paid an aggregate of $4.0 million to Adimab in connection with the Annual Fee on the second and third anniversary of the Adimab Platform Transfer Agreement Effective Date. As of December 31, 2025, no amounts were due to Adimab by us in connection with the Adimab Platform Transfer Agreement.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DNA Sequencing Services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and January 2025, we entered into a Services Agreement with Adimab for Adimab to perform DNA sequencing on yeast samples provided by the Company, and the delivery of the resulting data and information to the Company (the “Adimab DNA Sequencing Services Agreement”). In exchange for the services performed, we will pay Adimab a fee for each yeast-derived DNA template sample present in the well within the sequencer plate.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From January 1, 2024 through December 31, 2025, we paid less than $0.1 million to Adimab in connection with the Adimab DNA Sequencing Services Agreement. As of December 31, 2025, less than $0.1 million was due to Adimab by us in connection with the Adimab DNA Sequencing Services Agreement.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LCMS Services Agreement</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November 2023, as amended in December 2025, we entered into a Services Agreement with Adimab for Adimab to provide molecular weight determination services and deliver to us the resulting data and information (the “Adimab LCMS Services Agreement”). In exchange for the services performed, we will pay Adimab a fee for each sample tested.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January 1, 2024 through December 31, 2025, no payments were made to Adimab in connection with the Adimab LCMS Services Agreement. As of December 31, 2025, less than $0.1 million was due to Adimab by us in connection with the Adimab LCMS Services Agreement.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2021, we entered into an amended and restated investors’ rights agreement (the “Investors’ Rights Agreement”) with the holders of our preferred stock prior to our initial public offering in August 2021. The registration rights granted under the Investors’ Rights Agreement continue with respect to each holder until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the Investors’ Rights Agreement provide those holders with demand, piggyback and Form S-3 registration rights with respect to the shares of common stock currently held by them.</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2024, we received a demand request from the requisite holders under the Investors’ Rights Agreement to register on Form S-3 then registrable securities under the agreement. Upon such request, all holders of then registrable securities under the Investors’ Rights Agreement became entitled to participate in the registration subject to the terms of the Investors’ Rights Agreement. In February 2024, we filed a registration statement on Form S-3, which became effective in April 2024, to register an aggregate of up to 37,745,998 shares of our common stock held by holders with registration rights, including 30,921,286 issued and outstanding shares of our common stock held by holders of registrable securities under the Investors’ Rights Agreement and 6,824,712 shares of common stock issuable upon exercise of the PHP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executive officers and key employees so that they will be free from undue concern about personal liability in connection with their service to the Company. Under the Company’s Bylaws, the Company is required to indemnify its directors, and is permitted to indemnify its executive officers, employees and other agents, to the extent not prohibited under Delaware or other applicable law. The Company has also entered into indemnification agreements with each of its directors and executive officers which require the Company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the Company or any of its affiliates, provided such person acted in good faith and in a manner such person reasonably believed to be in, or not opposed to, the best interests of the Company. The indemnification agreements also set forth certain procedures that will apply in the event of a claim for indemnification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DEADLINE FOR SUBMISSION OF STOCKHOLDER PROPOSALS FOR 2027 ANNUAL MEETING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wish to propose a matter for consideration at the 2027 Annual Meeting, then the proposal must be received at our registered office at Invivyd, Inc., 209 Church Street, New Haven, Connecticut 06510, Attn: Corporate Secretary and in compliance with the requirements set forth below.</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order for a stockholder proposal to be eligible under Rule 14a-8 of the Exchange Act for presentation at the 2027 Annual Meeting, such proposal must be received, along with proof of ownership of our common stock, no later than December 7, 2026, the date that is one hundred twenty (120) calendar days prior to the first anniversary of the date this Proxy Statement was first released to stockholders. This date will change if the date of the 2027 Annual Meeting is thirty (30) calendar days earlier or later than May 19, 2027.</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for nominations for election to our Board and other matters that stockholders wish to present for action at an annual meeting other than those to be included in our proxy statement. In general, notice must be received not later than the close of business on the ninetieth (90th) day nor earlier than the close of business on the one hundred twentieth (120th) day prior to the first anniversary of the 2026 Annual Meeting. Therefore, to be presented at the 2027 Annual Meeting, we must receive such a proposal no earlier than the close of business on January 19, 2027 and no later than the close of business on February 18, 2027. However, if the date of the 2027 Annual Meeting is advanced more than thirty (30) days prior to or delayed by more than thirty (30) days after the anniversary of the 2026 Annual Meeting, notice by the stockholder to be timely must be so received not earlier than the close of business on the one hundred twentieth (120th) day prior to the 2027 Annual Meeting and not later than the close of business on the later of the ninetieth (90th) day prior to the 2027 Annual Meeting or the tenth (10th) day following the day on which public announcement of the date of the 2027 Annual Meeting is first made. Stockholders are advised to review our Bylaws which also specify requirements as to the form and content of a stockholder’s notice.</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advanced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March 22, 2027, the date that is the first business day following the sixtieth (60th) calendar day prior to the first anniversary of the 2026 Annual Meeting. This date will change if the date of the 2027 Annual Meeting is thirty (30) calendar days earlier or later than May 19, 2027.</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of record who have the same address and last name will receive only one copy of the Notice and, if applicable, a printed version of this Proxy Statement and our Annual Report, unless we are notified that one or more of these stockholders wishes to receive individual copies. This procedure reduces our printing costs and postage fees.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or if you hold our stock in more than one account, and in either case you wish to receive only a single copy of the Notice for your household, please contact our Corporate Secretary at Invivyd, Inc., 209 Church Street, New Haven, Connecticut 06510, or via telephone at (781)-819-0080. If you participate in householding and wish to receive a separate copy of the Notice, or if you do not wish to continue to participate in householding and prefer to receive separate copies of the Notice in the future, please contact our Corporate Secretary as indicated above.</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please contact your broker, bank or nominee directly if you have questions, require additional copies of our materials or wish to receive a single copy of such materials in the future for all beneficial owners of shares of our common stock sharing an address.</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Even if you plan to attend the Annual Meeting, we urge you to submit your proxy or voting instructions as soon as possible.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17015" cy="386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0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0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 on Form 10-K for the fiscal year ended December 31, 2025 is available without charge upon written request to: Corporate Secretary, Invivyd, Inc., 209 Church Street, New Haven, Connecticut 06510.</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9308465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705485</wp:posOffset>
            </wp:positionV>
            <wp:extent cx="5957570" cy="7706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57570" cy="77063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9162415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568325</wp:posOffset>
            </wp:positionV>
            <wp:extent cx="5957570" cy="7706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57570" cy="77063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upperLetter"/>
      <w:start w:val="1"/>
    </w:lvl>
    <w:lvl w:ilvl="1">
      <w:lvlJc w:val="left"/>
      <w:lvlText w:val="•"/>
      <w:numFmt w:val="bullet"/>
      <w:start w:val="1"/>
    </w:lvl>
  </w:abstractNum>
  <w:abstractNum w:abstractNumId="5">
    <w:nsid w:val="71F32454"/>
    <w:multiLevelType w:val="hybridMultilevel"/>
    <w:lvl w:ilvl="0">
      <w:lvlJc w:val="left"/>
      <w:lvlText w:val="%1:"/>
      <w:numFmt w:val="upperLetter"/>
      <w:start w:val="1"/>
    </w:lvl>
  </w:abstractNum>
  <w:abstractNum w:abstractNumId="6">
    <w:nsid w:val="2CA88611"/>
    <w:multiLevelType w:val="hybridMultilevel"/>
    <w:lvl w:ilvl="0">
      <w:lvlJc w:val="left"/>
      <w:lvlText w:val="%1:"/>
      <w:numFmt w:val="upperLetter"/>
      <w:start w:val="1"/>
    </w:lvl>
    <w:lvl w:ilvl="1">
      <w:lvlJc w:val="left"/>
      <w:lvlText w:val="•"/>
      <w:numFmt w:val="bullet"/>
      <w:start w:val="1"/>
    </w:lvl>
  </w:abstractNum>
  <w:abstractNum w:abstractNumId="7">
    <w:nsid w:val="836C40E"/>
    <w:multiLevelType w:val="hybridMultilevel"/>
    <w:lvl w:ilvl="0">
      <w:lvlJc w:val="left"/>
      <w:lvlText w:val="%1:"/>
      <w:numFmt w:val="upperLetter"/>
      <w:start w:val="17"/>
    </w:lvl>
  </w:abstractNum>
  <w:abstractNum w:abstractNumId="8">
    <w:nsid w:val="2901D82"/>
    <w:multiLevelType w:val="hybridMultilevel"/>
    <w:lvl w:ilvl="0">
      <w:lvlJc w:val="left"/>
      <w:lvlText w:val="%1:"/>
      <w:numFmt w:val="upperLetter"/>
      <w:start w:val="1"/>
    </w:lvl>
  </w:abstractNum>
  <w:abstractNum w:abstractNumId="9">
    <w:nsid w:val="3A95F874"/>
    <w:multiLevelType w:val="hybridMultilevel"/>
    <w:lvl w:ilvl="0">
      <w:lvlJc w:val="left"/>
      <w:lvlText w:val="%1:"/>
      <w:numFmt w:val="upperLetter"/>
      <w:start w:val="1"/>
    </w:lvl>
  </w:abstractNum>
  <w:abstractNum w:abstractNumId="10">
    <w:nsid w:val="8138641"/>
    <w:multiLevelType w:val="hybridMultilevel"/>
    <w:lvl w:ilvl="0">
      <w:lvlJc w:val="left"/>
      <w:lvlText w:val="%1:"/>
      <w:numFmt w:val="upperLetter"/>
      <w:start w:val="1"/>
    </w:lvl>
  </w:abstractNum>
  <w:abstractNum w:abstractNumId="11">
    <w:nsid w:val="1E7FF521"/>
    <w:multiLevelType w:val="hybridMultilevel"/>
    <w:lvl w:ilvl="0">
      <w:lvlJc w:val="left"/>
      <w:lvlText w:val="%1:"/>
      <w:numFmt w:val="upperLetter"/>
      <w:start w:val="1"/>
    </w:lvl>
  </w:abstractNum>
  <w:abstractNum w:abstractNumId="12">
    <w:nsid w:val="7C3DBD3D"/>
    <w:multiLevelType w:val="hybridMultilevel"/>
    <w:lvl w:ilvl="0">
      <w:lvlJc w:val="left"/>
      <w:lvlText w:val="%1:"/>
      <w:numFmt w:val="upperLetter"/>
      <w:start w:val="1"/>
    </w:lvl>
  </w:abstractNum>
  <w:abstractNum w:abstractNumId="13">
    <w:nsid w:val="737B8DDC"/>
    <w:multiLevelType w:val="hybridMultilevel"/>
    <w:lvl w:ilvl="0">
      <w:lvlJc w:val="left"/>
      <w:lvlText w:val="%1:"/>
      <w:numFmt w:val="upperLetter"/>
      <w:start w:val="1"/>
    </w:lvl>
  </w:abstractNum>
  <w:abstractNum w:abstractNumId="14">
    <w:nsid w:val="6CEAF087"/>
    <w:multiLevelType w:val="hybridMultilevel"/>
    <w:lvl w:ilvl="0">
      <w:lvlJc w:val="left"/>
      <w:lvlText w:val="%1:"/>
      <w:numFmt w:val="upperLetter"/>
      <w:start w:val="1"/>
    </w:lvl>
  </w:abstractNum>
  <w:abstractNum w:abstractNumId="15">
    <w:nsid w:val="22221A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1:"/>
      <w:numFmt w:val="upperLetter"/>
      <w:start w:val="1"/>
    </w:lvl>
  </w:abstractNum>
  <w:abstractNum w:abstractNumId="19">
    <w:nsid w:val="419AC241"/>
    <w:multiLevelType w:val="hybridMultilevel"/>
    <w:lvl w:ilvl="0">
      <w:lvlJc w:val="left"/>
      <w:lvlText w:val="%1:"/>
      <w:numFmt w:val="upperLetter"/>
      <w:start w:val="1"/>
    </w:lvl>
  </w:abstractNum>
  <w:abstractNum w:abstractNumId="20">
    <w:nsid w:val="5577F8E1"/>
    <w:multiLevelType w:val="hybridMultilevel"/>
    <w:lvl w:ilvl="0">
      <w:lvlJc w:val="left"/>
      <w:lvlText w:val="(%1)"/>
      <w:numFmt w:val="lowerLetter"/>
      <w:start w:val="25"/>
    </w:lvl>
  </w:abstractNum>
  <w:abstractNum w:abstractNumId="21">
    <w:nsid w:val="440BADFC"/>
    <w:multiLevelType w:val="hybridMultilevel"/>
    <w:lvl w:ilvl="0">
      <w:lvlJc w:val="left"/>
      <w:lvlText w:val="%1:"/>
      <w:numFmt w:val="upperLetter"/>
      <w:start w:val="1"/>
    </w:lvl>
  </w:abstractNum>
  <w:abstractNum w:abstractNumId="22">
    <w:nsid w:val="5072367"/>
    <w:multiLevelType w:val="hybridMultilevel"/>
    <w:lvl w:ilvl="0">
      <w:lvlJc w:val="left"/>
      <w:lvlText w:val="%1:"/>
      <w:numFmt w:val="upperLetter"/>
      <w:start w:val="1"/>
    </w:lvl>
  </w:abstractNum>
  <w:abstractNum w:abstractNumId="23">
    <w:nsid w:val="3804823E"/>
    <w:multiLevelType w:val="hybridMultilevel"/>
    <w:lvl w:ilvl="0">
      <w:lvlJc w:val="left"/>
      <w:lvlText w:val="%1:"/>
      <w:numFmt w:val="upperLetter"/>
      <w:start w:val="1"/>
    </w:lvl>
  </w:abstractNum>
  <w:abstractNum w:abstractNumId="24">
    <w:nsid w:val="77465F01"/>
    <w:multiLevelType w:val="hybridMultilevel"/>
    <w:lvl w:ilvl="0">
      <w:lvlJc w:val="left"/>
      <w:lvlText w:val="%1:"/>
      <w:numFmt w:val="upperLetter"/>
      <w:start w:val="1"/>
    </w:lvl>
  </w:abstractNum>
  <w:abstractNum w:abstractNumId="25">
    <w:nsid w:val="7724C67E"/>
    <w:multiLevelType w:val="hybridMultilevel"/>
    <w:lvl w:ilvl="0">
      <w:lvlJc w:val="left"/>
      <w:lvlText w:val="%1:"/>
      <w:numFmt w:val="upperLetter"/>
      <w:start w:val="1"/>
    </w:lvl>
  </w:abstractNum>
  <w:abstractNum w:abstractNumId="26">
    <w:nsid w:val="5C482A97"/>
    <w:multiLevelType w:val="hybridMultilevel"/>
    <w:lvl w:ilvl="0">
      <w:lvlJc w:val="left"/>
      <w:lvlText w:val="%1:"/>
      <w:numFmt w:val="upperLetter"/>
      <w:start w:val="1"/>
    </w:lvl>
  </w:abstractNum>
  <w:abstractNum w:abstractNumId="27">
    <w:nsid w:val="2463B9EA"/>
    <w:multiLevelType w:val="hybridMultilevel"/>
    <w:lvl w:ilvl="0">
      <w:lvlJc w:val="left"/>
      <w:lvlText w:val="%1:"/>
      <w:numFmt w:val="upperLetter"/>
      <w:start w:val="1"/>
    </w:lvl>
  </w:abstractNum>
  <w:abstractNum w:abstractNumId="28">
    <w:nsid w:val="5E884ADC"/>
    <w:multiLevelType w:val="hybridMultilevel"/>
    <w:lvl w:ilvl="0">
      <w:lvlJc w:val="left"/>
      <w:lvlText w:val="%1:"/>
      <w:numFmt w:val="upperLetter"/>
      <w:start w:val="1"/>
    </w:lvl>
  </w:abstractNum>
  <w:abstractNum w:abstractNumId="29">
    <w:nsid w:val="51EAD36B"/>
    <w:multiLevelType w:val="hybridMultilevel"/>
    <w:lvl w:ilvl="0">
      <w:lvlJc w:val="left"/>
      <w:lvlText w:val="%1:"/>
      <w:numFmt w:val="upperLetter"/>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lvl w:ilvl="1">
      <w:lvlJc w:val="left"/>
      <w:lvlText w:val="(%2)"/>
      <w:numFmt w:val="decimal"/>
      <w:start w:val="1"/>
    </w:lvl>
  </w:abstractNum>
  <w:abstractNum w:abstractNumId="38">
    <w:nsid w:val="725A06FB"/>
    <w:multiLevelType w:val="hybridMultilevel"/>
    <w:lvl w:ilvl="0">
      <w:lvlJc w:val="left"/>
      <w:lvlText w:val="(%1)"/>
      <w:numFmt w:val="decimal"/>
      <w:start w:val="3"/>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1)"/>
      <w:numFmt w:val="decimal"/>
      <w:start w:val="12"/>
    </w:lvl>
  </w:abstractNum>
  <w:abstractNum w:abstractNumId="41">
    <w:nsid w:val="7A6D8D3C"/>
    <w:multiLevelType w:val="hybridMultilevel"/>
    <w:lvl w:ilvl="0">
      <w:lvlJc w:val="left"/>
      <w:lvlText w:val="(%1)"/>
      <w:numFmt w:val="decimal"/>
    </w:lvl>
    <w:lvl w:ilvl="1">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4"/>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2026-04-06T15:30:16Z</dcterms:created>
  <dcterms:modified xsi:type="dcterms:W3CDTF">2026-04-06T15:30:16Z</dcterms:modified>
</cp:coreProperties>
</file>