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94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945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Henderson Jane</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20" w:type="dxa"/>
            <w:vAlign w:val="bottom"/>
            <w:tcBorders>
              <w:top w:val="single" w:sz="8" w:color="0000EE"/>
              <w:bottom w:val="single" w:sz="8" w:color="9A9A9A"/>
            </w:tcBorders>
          </w:tcPr>
          <w:p>
            <w:pPr>
              <w:spacing w:after="0"/>
              <w:rPr>
                <w:sz w:val="17"/>
                <w:szCs w:val="17"/>
                <w:color w:val="auto"/>
              </w:rPr>
            </w:pPr>
          </w:p>
        </w:tc>
        <w:tc>
          <w:tcPr>
            <w:tcW w:w="12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08/05/2021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Adagio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ADGI</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2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457"/>
        <w:spacing w:after="0" w:line="269" w:lineRule="auto"/>
        <w:rPr>
          <w:sz w:val="20"/>
          <w:szCs w:val="20"/>
          <w:color w:val="auto"/>
        </w:rPr>
      </w:pPr>
      <w:r>
        <w:rPr>
          <w:rFonts w:ascii="Arial" w:cs="Arial" w:eastAsia="Arial" w:hAnsi="Arial"/>
          <w:sz w:val="20"/>
          <w:szCs w:val="20"/>
          <w:color w:val="0000FF"/>
        </w:rPr>
        <w:t>C/O ADAGIO THERAPEUTICS,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303 WYMAN STREET, SUITE 300</w:t>
      </w:r>
    </w:p>
    <w:p>
      <w:pPr>
        <w:spacing w:after="0" w:line="35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r>
      <w:tr>
        <w:trPr>
          <w:trHeight w:val="269"/>
        </w:trPr>
        <w:tc>
          <w:tcPr>
            <w:tcW w:w="1760" w:type="dxa"/>
            <w:vAlign w:val="bottom"/>
          </w:tcPr>
          <w:p>
            <w:pPr>
              <w:ind w:left="40"/>
              <w:spacing w:after="0"/>
              <w:rPr>
                <w:sz w:val="20"/>
                <w:szCs w:val="20"/>
                <w:color w:val="auto"/>
              </w:rPr>
            </w:pPr>
            <w:r>
              <w:rPr>
                <w:rFonts w:ascii="Arial" w:cs="Arial" w:eastAsia="Arial" w:hAnsi="Arial"/>
                <w:sz w:val="20"/>
                <w:szCs w:val="20"/>
                <w:color w:val="0000FF"/>
              </w:rPr>
              <w:t>WALTHAM MA</w:t>
            </w:r>
          </w:p>
        </w:tc>
        <w:tc>
          <w:tcPr>
            <w:tcW w:w="840" w:type="dxa"/>
            <w:vAlign w:val="bottom"/>
          </w:tcPr>
          <w:p>
            <w:pPr>
              <w:jc w:val="right"/>
              <w:spacing w:after="0"/>
              <w:rPr>
                <w:sz w:val="20"/>
                <w:szCs w:val="20"/>
                <w:color w:val="auto"/>
              </w:rPr>
            </w:pPr>
            <w:r>
              <w:rPr>
                <w:rFonts w:ascii="Arial" w:cs="Arial" w:eastAsia="Arial" w:hAnsi="Arial"/>
                <w:sz w:val="20"/>
                <w:szCs w:val="20"/>
                <w:color w:val="0000FF"/>
              </w:rPr>
              <w:t>02451</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43"/>
        <w:spacing w:after="0"/>
        <w:rPr>
          <w:sz w:val="20"/>
          <w:szCs w:val="20"/>
          <w:color w:val="auto"/>
        </w:rPr>
      </w:pPr>
      <w:r>
        <w:rPr>
          <w:rFonts w:ascii="Arial" w:cs="Arial" w:eastAsia="Arial" w:hAnsi="Arial"/>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94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9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9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0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6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0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80" w:type="dxa"/>
            <w:vAlign w:val="bottom"/>
            <w:vMerge w:val="continue"/>
          </w:tcPr>
          <w:p>
            <w:pPr>
              <w:spacing w:after="0"/>
              <w:rPr>
                <w:sz w:val="17"/>
                <w:szCs w:val="17"/>
                <w:color w:val="auto"/>
              </w:rPr>
            </w:pPr>
          </w:p>
        </w:tc>
        <w:tc>
          <w:tcPr>
            <w:tcW w:w="10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9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94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980" w:type="dxa"/>
            <w:vAlign w:val="bottom"/>
          </w:tcPr>
          <w:p>
            <w:pPr>
              <w:ind w:left="420"/>
              <w:spacing w:after="0"/>
              <w:rPr>
                <w:sz w:val="20"/>
                <w:szCs w:val="20"/>
                <w:color w:val="auto"/>
              </w:rPr>
            </w:pPr>
            <w:r>
              <w:rPr>
                <w:rFonts w:ascii="Arial" w:cs="Arial" w:eastAsia="Arial" w:hAnsi="Arial"/>
                <w:sz w:val="13"/>
                <w:szCs w:val="13"/>
                <w:color w:val="008000"/>
              </w:rPr>
              <w:t>(1)</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01/12/2031</w:t>
            </w:r>
          </w:p>
        </w:tc>
        <w:tc>
          <w:tcPr>
            <w:tcW w:w="1680" w:type="dxa"/>
            <w:vAlign w:val="bottom"/>
          </w:tcPr>
          <w:p>
            <w:pPr>
              <w:ind w:left="280"/>
              <w:spacing w:after="0"/>
              <w:rPr>
                <w:sz w:val="20"/>
                <w:szCs w:val="20"/>
                <w:color w:val="auto"/>
              </w:rPr>
            </w:pPr>
            <w:r>
              <w:rPr>
                <w:rFonts w:ascii="Arial" w:cs="Arial" w:eastAsia="Arial" w:hAnsi="Arial"/>
                <w:sz w:val="20"/>
                <w:szCs w:val="20"/>
                <w:color w:val="0000FF"/>
              </w:rPr>
              <w:t>Common Stock</w:t>
            </w:r>
          </w:p>
        </w:tc>
        <w:tc>
          <w:tcPr>
            <w:tcW w:w="1040" w:type="dxa"/>
            <w:vAlign w:val="bottom"/>
          </w:tcPr>
          <w:p>
            <w:pPr>
              <w:jc w:val="right"/>
              <w:spacing w:after="0"/>
              <w:rPr>
                <w:sz w:val="20"/>
                <w:szCs w:val="20"/>
                <w:color w:val="auto"/>
              </w:rPr>
            </w:pPr>
            <w:r>
              <w:rPr>
                <w:rFonts w:ascii="Arial" w:cs="Arial" w:eastAsia="Arial" w:hAnsi="Arial"/>
                <w:sz w:val="20"/>
                <w:szCs w:val="20"/>
                <w:color w:val="0000FF"/>
              </w:rPr>
              <w:t>1,204,840</w:t>
            </w:r>
          </w:p>
        </w:tc>
        <w:tc>
          <w:tcPr>
            <w:tcW w:w="980" w:type="dxa"/>
            <w:vAlign w:val="bottom"/>
          </w:tcPr>
          <w:p>
            <w:pPr>
              <w:jc w:val="right"/>
              <w:ind w:right="239"/>
              <w:spacing w:after="0"/>
              <w:rPr>
                <w:sz w:val="20"/>
                <w:szCs w:val="20"/>
                <w:color w:val="auto"/>
              </w:rPr>
            </w:pPr>
            <w:r>
              <w:rPr>
                <w:rFonts w:ascii="Arial" w:cs="Arial" w:eastAsia="Arial" w:hAnsi="Arial"/>
                <w:sz w:val="20"/>
                <w:szCs w:val="20"/>
                <w:color w:val="0000FF"/>
              </w:rPr>
              <w:t>4.61</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9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94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980" w:type="dxa"/>
            <w:vAlign w:val="bottom"/>
          </w:tcPr>
          <w:p>
            <w:pPr>
              <w:ind w:left="420"/>
              <w:spacing w:after="0"/>
              <w:rPr>
                <w:sz w:val="20"/>
                <w:szCs w:val="20"/>
                <w:color w:val="auto"/>
              </w:rPr>
            </w:pPr>
            <w:r>
              <w:rPr>
                <w:rFonts w:ascii="Arial" w:cs="Arial" w:eastAsia="Arial" w:hAnsi="Arial"/>
                <w:sz w:val="13"/>
                <w:szCs w:val="13"/>
                <w:color w:val="008000"/>
              </w:rPr>
              <w:t>(2)</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05/06/2031</w:t>
            </w:r>
          </w:p>
        </w:tc>
        <w:tc>
          <w:tcPr>
            <w:tcW w:w="1680" w:type="dxa"/>
            <w:vAlign w:val="bottom"/>
          </w:tcPr>
          <w:p>
            <w:pPr>
              <w:ind w:left="280"/>
              <w:spacing w:after="0"/>
              <w:rPr>
                <w:sz w:val="20"/>
                <w:szCs w:val="20"/>
                <w:color w:val="auto"/>
              </w:rPr>
            </w:pPr>
            <w:r>
              <w:rPr>
                <w:rFonts w:ascii="Arial" w:cs="Arial" w:eastAsia="Arial" w:hAnsi="Arial"/>
                <w:sz w:val="20"/>
                <w:szCs w:val="20"/>
                <w:color w:val="0000FF"/>
              </w:rPr>
              <w:t>Common Stock</w:t>
            </w:r>
          </w:p>
        </w:tc>
        <w:tc>
          <w:tcPr>
            <w:tcW w:w="1040" w:type="dxa"/>
            <w:vAlign w:val="bottom"/>
          </w:tcPr>
          <w:p>
            <w:pPr>
              <w:jc w:val="right"/>
              <w:ind w:right="56"/>
              <w:spacing w:after="0"/>
              <w:rPr>
                <w:sz w:val="20"/>
                <w:szCs w:val="20"/>
                <w:color w:val="auto"/>
              </w:rPr>
            </w:pPr>
            <w:r>
              <w:rPr>
                <w:rFonts w:ascii="Arial" w:cs="Arial" w:eastAsia="Arial" w:hAnsi="Arial"/>
                <w:sz w:val="20"/>
                <w:szCs w:val="20"/>
                <w:color w:val="0000FF"/>
              </w:rPr>
              <w:t>341,935</w:t>
            </w:r>
          </w:p>
        </w:tc>
        <w:tc>
          <w:tcPr>
            <w:tcW w:w="980" w:type="dxa"/>
            <w:vAlign w:val="bottom"/>
          </w:tcPr>
          <w:p>
            <w:pPr>
              <w:jc w:val="right"/>
              <w:ind w:right="179"/>
              <w:spacing w:after="0"/>
              <w:rPr>
                <w:sz w:val="20"/>
                <w:szCs w:val="20"/>
                <w:color w:val="auto"/>
              </w:rPr>
            </w:pPr>
            <w:r>
              <w:rPr>
                <w:rFonts w:ascii="Arial" w:cs="Arial" w:eastAsia="Arial" w:hAnsi="Arial"/>
                <w:sz w:val="20"/>
                <w:szCs w:val="20"/>
                <w:color w:val="0000FF"/>
              </w:rPr>
              <w:t>10.14</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9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4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40" w:right="14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One quarter (1/4) of the options shall vest on December 21, 2021, and thereafter, the remainder of the options shall vest in 36 equal monthly installments on the 21st day of each month, subject to the Reporting Person's continuous service on each vesting date.</w:t>
      </w:r>
    </w:p>
    <w:p>
      <w:pPr>
        <w:spacing w:after="0" w:line="26" w:lineRule="exact"/>
        <w:rPr>
          <w:rFonts w:ascii="Arial" w:cs="Arial" w:eastAsia="Arial" w:hAnsi="Arial"/>
          <w:sz w:val="15"/>
          <w:szCs w:val="15"/>
          <w:color w:val="008000"/>
        </w:rPr>
      </w:pPr>
    </w:p>
    <w:p>
      <w:pPr>
        <w:ind w:left="40" w:right="16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One quarter (1/4) of the options shall vest on May 7, 2022, and thereafter, the remainder of the options shall vest in 36 equal monthly installments on the 7th day of each month, subject to the Reporting Person's continuous service on each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List - 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9"/>
              </w:rPr>
              <w:t>/s/ Dorothy Vinsky,</w:t>
            </w:r>
          </w:p>
        </w:tc>
        <w:tc>
          <w:tcPr>
            <w:tcW w:w="6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08/05/2021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(For Executing Form ID and Forms 3, 4 and 5)</w:t>
      </w:r>
    </w:p>
    <w:p>
      <w:pPr>
        <w:spacing w:after="0" w:line="224" w:lineRule="exact"/>
        <w:rPr>
          <w:sz w:val="20"/>
          <w:szCs w:val="20"/>
          <w:color w:val="auto"/>
        </w:rPr>
      </w:pPr>
    </w:p>
    <w:p>
      <w:pPr>
        <w:ind w:left="820"/>
        <w:spacing w:after="0"/>
        <w:rPr>
          <w:sz w:val="20"/>
          <w:szCs w:val="20"/>
          <w:color w:val="auto"/>
        </w:rPr>
      </w:pPr>
      <w:r>
        <w:rPr>
          <w:rFonts w:ascii="Courier New" w:cs="Courier New" w:eastAsia="Courier New" w:hAnsi="Courier New"/>
          <w:sz w:val="20"/>
          <w:szCs w:val="20"/>
          <w:color w:val="auto"/>
        </w:rPr>
        <w:t>Know all by these presents, that the undersigned hereby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constitutes and appoints Tillman U. Gerngross, Ph.D. of Adagio Therapeutics,</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Inc. (the</w:t>
      </w:r>
    </w:p>
    <w:p>
      <w:pPr>
        <w:spacing w:after="0" w:line="5" w:lineRule="exact"/>
        <w:rPr>
          <w:sz w:val="20"/>
          <w:szCs w:val="20"/>
          <w:color w:val="auto"/>
        </w:rPr>
      </w:pPr>
    </w:p>
    <w:p>
      <w:pPr>
        <w:ind w:right="2719"/>
        <w:spacing w:after="0" w:line="271" w:lineRule="auto"/>
        <w:rPr>
          <w:sz w:val="20"/>
          <w:szCs w:val="20"/>
          <w:color w:val="auto"/>
        </w:rPr>
      </w:pPr>
      <w:r>
        <w:rPr>
          <w:rFonts w:ascii="Courier New" w:cs="Courier New" w:eastAsia="Courier New" w:hAnsi="Courier New"/>
          <w:sz w:val="18"/>
          <w:szCs w:val="18"/>
          <w:color w:val="auto"/>
        </w:rPr>
        <w:t>"Company") and Divakar Gupta, Courtney Tygesson, Ryan Sansom, Erika Kaneko, David Brinton, Barry Kuang, Sarah Howard and Dorothy Vinsky of Cooley LLP, signing individually, the undersigned's true and lawful attorneys-in fact and agents to:</w:t>
      </w:r>
    </w:p>
    <w:p>
      <w:pPr>
        <w:spacing w:after="0" w:line="205" w:lineRule="exact"/>
        <w:rPr>
          <w:sz w:val="20"/>
          <w:szCs w:val="20"/>
          <w:color w:val="auto"/>
        </w:rPr>
      </w:pPr>
    </w:p>
    <w:p>
      <w:pPr>
        <w:ind w:right="2379" w:firstLine="936"/>
        <w:spacing w:after="0" w:line="237" w:lineRule="auto"/>
        <w:tabs>
          <w:tab w:leader="none" w:pos="1873"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Securities and Exchange Commission (the "SEC"), a Form ID and Forms 3, 4 and 5 (including amendments thereto and joint filing agreements in connection therewith) in accordance with Section 16 of the Securities Exchange Act of 1934, as amended (the "Exchange Act"), and the rules thereunder, in the undersigned's capacity as an officer, director or beneficial owner of more than 10% of a registered class of securities of the Company;</w:t>
      </w:r>
    </w:p>
    <w:p>
      <w:pPr>
        <w:spacing w:after="0" w:line="237" w:lineRule="exact"/>
        <w:rPr>
          <w:sz w:val="20"/>
          <w:szCs w:val="20"/>
          <w:color w:val="auto"/>
        </w:rPr>
      </w:pPr>
    </w:p>
    <w:p>
      <w:pPr>
        <w:ind w:right="2379" w:firstLine="936"/>
        <w:spacing w:after="0" w:line="237" w:lineRule="auto"/>
        <w:tabs>
          <w:tab w:leader="none" w:pos="1873" w:val="left"/>
        </w:tabs>
        <w:numPr>
          <w:ilvl w:val="1"/>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prepare and execute any such Form ID and Forms 3, 4 or 5 (including amendments thereto and joint filing agreements in connection therewith) and file such forms with the SEC and any stock exchange, self-regulatory association or any similar authority; and</w:t>
      </w:r>
    </w:p>
    <w:p>
      <w:pPr>
        <w:spacing w:after="0" w:line="234" w:lineRule="exact"/>
        <w:rPr>
          <w:rFonts w:ascii="Courier New" w:cs="Courier New" w:eastAsia="Courier New" w:hAnsi="Courier New"/>
          <w:sz w:val="20"/>
          <w:szCs w:val="20"/>
          <w:color w:val="auto"/>
        </w:rPr>
      </w:pPr>
    </w:p>
    <w:p>
      <w:pPr>
        <w:ind w:right="2599" w:firstLine="819"/>
        <w:spacing w:after="0" w:line="237" w:lineRule="auto"/>
        <w:tabs>
          <w:tab w:leader="none" w:pos="1873" w:val="left"/>
        </w:tabs>
        <w:numPr>
          <w:ilvl w:val="0"/>
          <w:numId w:val="8"/>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37" w:lineRule="exact"/>
        <w:rPr>
          <w:sz w:val="20"/>
          <w:szCs w:val="20"/>
          <w:color w:val="auto"/>
        </w:rPr>
      </w:pPr>
    </w:p>
    <w:p>
      <w:pPr>
        <w:ind w:right="2479" w:firstLine="819"/>
        <w:spacing w:after="0" w:line="266"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 or such attorney-in-fact's substitute or substitutes, shall lawfully do or cause to be done by virtue of this power of attorney and the rights and powers herein granted .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00" w:lineRule="exact"/>
        <w:rPr>
          <w:sz w:val="20"/>
          <w:szCs w:val="20"/>
          <w:color w:val="auto"/>
        </w:rPr>
      </w:pPr>
    </w:p>
    <w:p>
      <w:pPr>
        <w:spacing w:after="0" w:line="238" w:lineRule="exact"/>
        <w:rPr>
          <w:sz w:val="20"/>
          <w:szCs w:val="20"/>
          <w:color w:val="auto"/>
        </w:rPr>
      </w:pPr>
    </w:p>
    <w:p>
      <w:pPr>
        <w:ind w:right="2719" w:firstLine="819"/>
        <w:spacing w:after="0" w:line="238" w:lineRule="auto"/>
        <w:rPr>
          <w:sz w:val="20"/>
          <w:szCs w:val="20"/>
          <w:color w:val="auto"/>
        </w:rPr>
      </w:pPr>
      <w:r>
        <w:rPr>
          <w:rFonts w:ascii="Courier New" w:cs="Courier New" w:eastAsia="Courier New" w:hAnsi="Courier New"/>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or employed by or a partner at Cooley LLP or another law firm representing the Company, as applicable.</w:t>
      </w:r>
    </w:p>
    <w:p>
      <w:pPr>
        <w:spacing w:after="0" w:line="230" w:lineRule="exact"/>
        <w:rPr>
          <w:sz w:val="20"/>
          <w:szCs w:val="20"/>
          <w:color w:val="auto"/>
        </w:rPr>
      </w:pPr>
    </w:p>
    <w:p>
      <w:pPr>
        <w:ind w:right="2959" w:firstLine="819"/>
        <w:spacing w:after="0" w:line="284" w:lineRule="auto"/>
        <w:rPr>
          <w:sz w:val="20"/>
          <w:szCs w:val="20"/>
          <w:color w:val="auto"/>
        </w:rPr>
      </w:pPr>
      <w:r>
        <w:rPr>
          <w:rFonts w:ascii="Courier New" w:cs="Courier New" w:eastAsia="Courier New" w:hAnsi="Courier New"/>
          <w:sz w:val="18"/>
          <w:szCs w:val="18"/>
          <w:color w:val="auto"/>
        </w:rPr>
        <w:t>IN WTINESS WHEREOF, the undersigned has caused this Power of Attorney to be signed as of the date written below.</w:t>
      </w:r>
    </w:p>
    <w:p>
      <w:pPr>
        <w:sectPr>
          <w:pgSz w:w="11900" w:h="16838" w:orient="portrait"/>
          <w:cols w:equalWidth="0" w:num="1">
            <w:col w:w="9979"/>
          </w:cols>
          <w:pgMar w:left="480" w:top="136" w:right="1440" w:bottom="0" w:gutter="0" w:footer="0" w:header="0"/>
        </w:sectPr>
      </w:pP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July 15, 2021</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Jane Pritchett Henderson</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Jane Pritchett Henderson</w:t>
      </w:r>
    </w:p>
    <w:p>
      <w:pPr>
        <w:sectPr>
          <w:pgSz w:w="11900" w:h="16838" w:orient="portrait"/>
          <w:cols w:equalWidth="0" w:num="2">
            <w:col w:w="3020" w:space="720"/>
            <w:col w:w="6239"/>
          </w:cols>
          <w:pgMar w:left="480" w:top="136" w:right="1440"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4"/>
    </w:lvl>
  </w:abstractNum>
  <w:abstractNum w:abstractNumId="1">
    <w:nsid w:val="46E87CCD"/>
    <w:multiLevelType w:val="hybridMultilevel"/>
    <w:lvl w:ilvl="0">
      <w:lvlJc w:val="left"/>
      <w:lvlText w:val="%1."/>
      <w:numFmt w:val="decimal"/>
      <w:start w:val="5"/>
    </w:lvl>
  </w:abstractNum>
  <w:abstractNum w:abstractNumId="2">
    <w:nsid w:val="3D1B58BA"/>
    <w:multiLevelType w:val="hybridMultilevel"/>
    <w:lvl w:ilvl="0">
      <w:lvlJc w:val="left"/>
      <w:lvlText w:val="X"/>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lowerLetter"/>
      <w:start w:val="12"/>
    </w:lvl>
  </w:abstractNum>
  <w:abstractNum w:abstractNumId="6">
    <w:nsid w:val="79E2A9E3"/>
    <w:multiLevelType w:val="hybridMultilevel"/>
    <w:lvl w:ilvl="0">
      <w:lvlJc w:val="left"/>
      <w:lvlText w:val="%1"/>
      <w:numFmt w:val="decimal"/>
      <w:start w:val="1"/>
    </w:lvl>
    <w:lvl w:ilvl="1">
      <w:lvlJc w:val="left"/>
      <w:lvlText w:val="(%2)"/>
      <w:numFmt w:val="decimal"/>
      <w:start w:val="2"/>
    </w:lvl>
  </w:abstractNum>
  <w:abstractNum w:abstractNumId="7">
    <w:nsid w:val="7545E146"/>
    <w:multiLevelType w:val="hybridMultilevel"/>
    <w:lvl w:ilvl="0">
      <w:lvlJc w:val="left"/>
      <w:lvlText w:val="(%1)"/>
      <w:numFmt w:val="decimal"/>
      <w:start w:val="3"/>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422304" TargetMode="External"/><Relationship Id="rId11"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2021-08-05T20:24:46Z</dcterms:created>
  <dcterms:modified xsi:type="dcterms:W3CDTF">2021-08-05T20:24:46Z</dcterms:modified>
</cp:coreProperties>
</file>