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Philip Chase</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Adimab, LLC, 7 Lucent Drive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Lebanon, NH, 03766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(603) 643-7110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Adimab,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w:t>
            </w:r>
          </w:p>
        </w:tc>
        <w:tc>
          <w:tcPr>
            <w:tcW w:w="2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85"/>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00" w:type="dxa"/>
            <w:vAlign w:val="bottom"/>
            <w:vMerge w:val="continue"/>
          </w:tcPr>
          <w:p>
            <w:pPr>
              <w:spacing w:after="0"/>
              <w:rPr>
                <w:sz w:val="24"/>
                <w:szCs w:val="24"/>
                <w:color w:val="auto"/>
              </w:rPr>
            </w:pPr>
          </w:p>
        </w:tc>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20,262,170.00</w:t>
            </w:r>
          </w:p>
        </w:tc>
        <w:tc>
          <w:tcPr>
            <w:tcW w:w="0" w:type="dxa"/>
            <w:vAlign w:val="bottom"/>
          </w:tcPr>
          <w:p>
            <w:pPr>
              <w:spacing w:after="0"/>
              <w:rPr>
                <w:sz w:val="1"/>
                <w:szCs w:val="1"/>
                <w:color w:val="auto"/>
              </w:rPr>
            </w:pPr>
          </w:p>
        </w:tc>
      </w:tr>
      <w:tr>
        <w:trPr>
          <w:trHeight w:val="20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00" w:type="dxa"/>
            <w:vAlign w:val="bottom"/>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6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w:t>
            </w:r>
          </w:p>
        </w:tc>
        <w:tc>
          <w:tcPr>
            <w:tcW w:w="22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12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1"/>
                <w:szCs w:val="21"/>
                <w:color w:val="auto"/>
              </w:rPr>
            </w:pPr>
          </w:p>
        </w:tc>
        <w:tc>
          <w:tcPr>
            <w:tcW w:w="2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20,262,170.00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10</w:t>
            </w:r>
          </w:p>
        </w:tc>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202"/>
        </w:trPr>
        <w:tc>
          <w:tcPr>
            <w:tcW w:w="1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20,262,170.00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for Type of Reporting Person: </w:t>
      </w:r>
      <w:r>
        <w:rPr>
          <w:rFonts w:ascii="Times New Roman" w:cs="Times New Roman" w:eastAsia="Times New Roman" w:hAnsi="Times New Roman"/>
          <w:sz w:val="21"/>
          <w:szCs w:val="21"/>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209 Church Street, New Haven, CONNECTICUT , 06510.</w:t>
      </w:r>
    </w:p>
    <w:p>
      <w:pPr>
        <w:spacing w:after="0" w:line="20" w:lineRule="exact"/>
        <w:rPr>
          <w:sz w:val="20"/>
          <w:szCs w:val="20"/>
          <w:color w:val="auto"/>
        </w:rPr>
      </w:pPr>
    </w:p>
    <w:p>
      <w:pPr>
        <w:jc w:val="right"/>
        <w:ind w:left="40"/>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("Amendment No. 5") amends and supplements the Schedule 13D originally filed by</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Adimab, LLC (the "Reporting Person") with the Securities and Exchange Commission (the "Commission") on March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30, 2022, as amended and supplemented by Amendment No. 1 thereto, filed with the Commission on April 26, 2022, Amendment No. 2 thereto, filed with the Commission on June 24, 2022, Amendment No. 3 thereto, filed with the Commission on January 22, 2024, and Amendment No. 4 thereto, filed with the Commission on November 19, 2025 (the "Original 13D," and together with this amendment, the "Schedule 13D").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No. 5 have the meanings ascribed to them in the Original 13D. This Amendment is being filed to report that the beneficial ownership of Common Stock by the Reporting Person has decreased by more than 1% as a</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result of the sales reported in Item 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838" w:orient="portrait"/>
          <w:cols w:equalWidth="0" w:num="1">
            <w:col w:w="11200"/>
          </w:cols>
          <w:pgMar w:left="320" w:top="126" w:right="379" w:bottom="0" w:gutter="0" w:footer="0" w:header="0"/>
        </w:sectPr>
      </w:pPr>
    </w:p>
    <w:bookmarkStart w:id="2" w:name="page3"/>
    <w:bookmarkEnd w:id="2"/>
    <w:p>
      <w:pPr>
        <w:ind w:left="912" w:hanging="912"/>
        <w:spacing w:after="0"/>
        <w:tabs>
          <w:tab w:leader="none" w:pos="91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 of the Schedule 13D is hereby amended and restated as follows: (a) Amount beneficially owned: 20,262,170;</w:t>
      </w:r>
    </w:p>
    <w:p>
      <w:pPr>
        <w:spacing w:after="0" w:line="26" w:lineRule="exact"/>
        <w:rPr>
          <w:rFonts w:ascii="Times New Roman" w:cs="Times New Roman" w:eastAsia="Times New Roman" w:hAnsi="Times New Roman"/>
          <w:sz w:val="21"/>
          <w:szCs w:val="21"/>
          <w:color w:val="auto"/>
        </w:rPr>
      </w:pPr>
    </w:p>
    <w:p>
      <w:pPr>
        <w:ind w:left="912" w:right="16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Percent of Class: 7.3%. The above percentage is based on 277,122,834 shares of Common Stock outstanding, which includes 233,122,834 shares of Common Stock outstanding as of October 30, 2025, as reported in the Issuer's Quarterly Report on Form 10-Q for the quarter ended September 30, 2025 and 44,000,000 shares of Common Stock issued on November 19, 2025, as reported in the Issuer's Current Report on Form 8-K filed on November 19, 2025.</w:t>
      </w:r>
    </w:p>
    <w:p>
      <w:pPr>
        <w:spacing w:after="0" w:line="15" w:lineRule="exact"/>
        <w:rPr>
          <w:rFonts w:ascii="Times New Roman" w:cs="Times New Roman" w:eastAsia="Times New Roman" w:hAnsi="Times New Roman"/>
          <w:sz w:val="21"/>
          <w:szCs w:val="21"/>
          <w:color w:val="auto"/>
        </w:rPr>
      </w:pPr>
    </w:p>
    <w:p>
      <w:pPr>
        <w:ind w:left="912" w:right="480" w:hanging="912"/>
        <w:spacing w:after="0" w:line="185" w:lineRule="auto"/>
        <w:tabs>
          <w:tab w:leader="none" w:pos="912"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(b) The Reporting Person has sole voting and sole dispositive power with respect to all of the shares of Common Stock that it beneficially owns.</w:t>
      </w:r>
    </w:p>
    <w:p>
      <w:pPr>
        <w:spacing w:after="0" w:line="17" w:lineRule="exact"/>
        <w:rPr>
          <w:rFonts w:ascii="Times New Roman" w:cs="Times New Roman" w:eastAsia="Times New Roman" w:hAnsi="Times New Roman"/>
          <w:sz w:val="39"/>
          <w:szCs w:val="39"/>
          <w:color w:val="auto"/>
          <w:vertAlign w:val="subscript"/>
        </w:rPr>
      </w:pPr>
    </w:p>
    <w:p>
      <w:pPr>
        <w:ind w:left="912" w:right="22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On December 23, 2025, the Reporting Person sold 192,320 shares of Common Stock at a weighted average price of $3.0028 per share in a series of open market transactions. These shares were sold in multiple transactions at prices</w:t>
      </w:r>
    </w:p>
    <w:p>
      <w:pPr>
        <w:ind w:left="912" w:right="60" w:hanging="912"/>
        <w:spacing w:after="0" w:line="235" w:lineRule="auto"/>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ranging from $3.00 to $3.005 per share. The Reporting Person undertakes to provide to the Staff of the Securities and Exchange Commission, upon request, full information regarding the number of shares sold at each separate price within this range.</w:t>
      </w:r>
    </w:p>
    <w:p>
      <w:pPr>
        <w:spacing w:after="0" w:line="15"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92"/>
        <w:spacing w:after="0"/>
        <w:rPr>
          <w:sz w:val="20"/>
          <w:szCs w:val="20"/>
          <w:color w:val="auto"/>
        </w:rPr>
      </w:pPr>
      <w:r>
        <w:rPr>
          <w:rFonts w:ascii="Times New Roman" w:cs="Times New Roman" w:eastAsia="Times New Roman" w:hAnsi="Times New Roman"/>
          <w:sz w:val="22"/>
          <w:szCs w:val="22"/>
          <w:color w:val="auto"/>
        </w:rPr>
        <w:t>Adimab, LLC</w:t>
      </w:r>
    </w:p>
    <w:p>
      <w:pPr>
        <w:spacing w:after="0" w:line="152" w:lineRule="exact"/>
        <w:rPr>
          <w:sz w:val="20"/>
          <w:szCs w:val="20"/>
          <w:color w:val="auto"/>
        </w:rPr>
      </w:pPr>
    </w:p>
    <w:p>
      <w:pPr>
        <w:ind w:left="4552"/>
        <w:spacing w:after="0"/>
        <w:tabs>
          <w:tab w:leader="none" w:pos="563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Philip Chase</w:t>
      </w:r>
    </w:p>
    <w:p>
      <w:pPr>
        <w:spacing w:after="0" w:line="44" w:lineRule="exact"/>
        <w:rPr>
          <w:sz w:val="20"/>
          <w:szCs w:val="20"/>
          <w:color w:val="auto"/>
        </w:rPr>
      </w:pPr>
    </w:p>
    <w:p>
      <w:pPr>
        <w:ind w:left="4552"/>
        <w:spacing w:after="0"/>
        <w:rPr>
          <w:sz w:val="20"/>
          <w:szCs w:val="20"/>
          <w:color w:val="auto"/>
        </w:rPr>
      </w:pPr>
      <w:r>
        <w:rPr>
          <w:rFonts w:ascii="Times New Roman" w:cs="Times New Roman" w:eastAsia="Times New Roman" w:hAnsi="Times New Roman"/>
          <w:sz w:val="22"/>
          <w:szCs w:val="22"/>
          <w:color w:val="auto"/>
        </w:rPr>
        <w:t>Name/Title: Philip Chase, Chief Executive Officer</w:t>
      </w:r>
    </w:p>
    <w:p>
      <w:pPr>
        <w:spacing w:after="0" w:line="44" w:lineRule="exact"/>
        <w:rPr>
          <w:sz w:val="20"/>
          <w:szCs w:val="20"/>
          <w:color w:val="auto"/>
        </w:rPr>
      </w:pPr>
    </w:p>
    <w:p>
      <w:pPr>
        <w:ind w:left="4552"/>
        <w:spacing w:after="0"/>
        <w:tabs>
          <w:tab w:leader="none" w:pos="563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12/29/2025</w:t>
      </w:r>
    </w:p>
    <w:sectPr>
      <w:pgSz w:w="11900" w:h="16838" w:orient="portrait"/>
      <w:cols w:equalWidth="0" w:num="1">
        <w:col w:w="11132"/>
      </w:cols>
      <w:pgMar w:left="368"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2025-12-29T15:28:42Z</dcterms:created>
  <dcterms:modified xsi:type="dcterms:W3CDTF">2025-12-29T15:28:42Z</dcterms:modified>
</cp:coreProperties>
</file>