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May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133350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Invivyd,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121285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001-40703</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85-1403134</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88" w:lineRule="exact"/>
        <w:rPr>
          <w:sz w:val="24"/>
          <w:szCs w:val="24"/>
          <w:color w:val="auto"/>
        </w:rPr>
      </w:pPr>
    </w:p>
    <w:tbl>
      <w:tblPr>
        <w:tblLayout w:type="fixed"/>
        <w:tblInd w:w="1720" w:type="dxa"/>
        <w:tblCellMar>
          <w:top w:w="0" w:type="dxa"/>
          <w:left w:w="0" w:type="dxa"/>
          <w:bottom w:w="0" w:type="dxa"/>
          <w:right w:w="0" w:type="dxa"/>
        </w:tblCellMar>
      </w:tblPr>
      <w:tr>
        <w:trPr>
          <w:trHeight w:val="15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6"/>
              </w:rPr>
              <w:t>1601 Trapelo Road, Suite 178</w:t>
            </w:r>
          </w:p>
        </w:tc>
        <w:tc>
          <w:tcPr>
            <w:tcW w:w="1860" w:type="dxa"/>
            <w:vAlign w:val="bottom"/>
          </w:tcPr>
          <w:p>
            <w:pPr>
              <w:spacing w:after="0"/>
              <w:rPr>
                <w:sz w:val="13"/>
                <w:szCs w:val="13"/>
                <w:color w:val="auto"/>
              </w:rPr>
            </w:pPr>
          </w:p>
        </w:tc>
      </w:tr>
      <w:tr>
        <w:trPr>
          <w:trHeight w:val="159"/>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7"/>
              </w:rPr>
              <w:t>Waltham, MA</w:t>
            </w:r>
          </w:p>
        </w:tc>
        <w:tc>
          <w:tcPr>
            <w:tcW w:w="186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02451</w:t>
            </w:r>
          </w:p>
        </w:tc>
      </w:tr>
      <w:tr>
        <w:trPr>
          <w:trHeight w:val="13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60" w:type="dxa"/>
            <w:vAlign w:val="bottom"/>
          </w:tcPr>
          <w:p>
            <w:pPr>
              <w:jc w:val="center"/>
              <w:ind w:left="134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(781) 819-0080</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110490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5"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00" w:lineRule="auto"/>
        <w:tabs>
          <w:tab w:leader="none" w:pos="94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4"/>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4"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IVVD</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ind w:left="68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37"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3"/>
          <w:szCs w:val="13"/>
          <w:b w:val="1"/>
          <w:bCs w:val="1"/>
          <w:color w:val="auto"/>
        </w:rPr>
        <w:t>Results of Operations and Financial Condition.</w:t>
      </w:r>
    </w:p>
    <w:p>
      <w:pPr>
        <w:spacing w:after="0" w:line="80" w:lineRule="exact"/>
        <w:rPr>
          <w:sz w:val="20"/>
          <w:szCs w:val="20"/>
          <w:color w:val="auto"/>
        </w:rPr>
      </w:pPr>
    </w:p>
    <w:p>
      <w:pPr>
        <w:jc w:val="both"/>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On May 15, 2025, Invivyd, Inc. (the “Company”) issued a press release announcing its financial results for the quarter ended March 31, 2025, and recent business highlights. A copy of the press release is furnished as Exhibit 99.1 to this Current Report on Form 8-K and is incorporated by reference into this Item 2.02.</w:t>
      </w:r>
    </w:p>
    <w:p>
      <w:pPr>
        <w:spacing w:after="0" w:line="130"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The information furnished pursuant to this Item 2.02, including Exhibit 99.1, shall not be deemed to be “filed” for purposes of Section 18 of the Securities Exchange Act of 1934, as amended (the “Exchange Act”), or otherwise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 except as expressly set forth by specific reference in such a filing.</w:t>
      </w:r>
    </w:p>
    <w:p>
      <w:pPr>
        <w:spacing w:after="0" w:line="237"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80"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On May 15, 2025, the Company posted an updated corporate presentation on its website at www.invivyd.com. A copy of the presentation is filed as Exhibit 99.2 to this Current Report on Form 8-K and is incorporated by reference into this Item 8.01.</w:t>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406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r>
      <w:tr>
        <w:trPr>
          <w:trHeight w:val="227"/>
        </w:trPr>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 Exhibits</w:t>
            </w: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58"/>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5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121"/>
        </w:trPr>
        <w:tc>
          <w:tcPr>
            <w:tcW w:w="360" w:type="dxa"/>
            <w:vAlign w:val="bottom"/>
          </w:tcPr>
          <w:p>
            <w:pPr>
              <w:spacing w:after="0" w:line="101" w:lineRule="exact"/>
              <w:rPr>
                <w:sz w:val="20"/>
                <w:szCs w:val="20"/>
                <w:color w:val="auto"/>
              </w:rPr>
            </w:pPr>
            <w:r>
              <w:rPr>
                <w:rFonts w:ascii="Times New Roman" w:cs="Times New Roman" w:eastAsia="Times New Roman" w:hAnsi="Times New Roman"/>
                <w:sz w:val="10"/>
                <w:szCs w:val="10"/>
                <w:b w:val="1"/>
                <w:bCs w:val="1"/>
                <w:color w:val="auto"/>
                <w:w w:val="85"/>
              </w:rPr>
              <w:t>   No. </w:t>
            </w:r>
          </w:p>
        </w:tc>
        <w:tc>
          <w:tcPr>
            <w:tcW w:w="360" w:type="dxa"/>
            <w:vAlign w:val="bottom"/>
          </w:tcPr>
          <w:p>
            <w:pPr>
              <w:spacing w:after="0"/>
              <w:rPr>
                <w:sz w:val="10"/>
                <w:szCs w:val="10"/>
                <w:color w:val="auto"/>
              </w:rPr>
            </w:pPr>
          </w:p>
        </w:tc>
        <w:tc>
          <w:tcPr>
            <w:tcW w:w="4060" w:type="dxa"/>
            <w:vAlign w:val="bottom"/>
            <w:gridSpan w:val="4"/>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8"/>
        </w:trPr>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99"/>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60" w:type="dxa"/>
            <w:vAlign w:val="bottom"/>
          </w:tcPr>
          <w:p>
            <w:pPr>
              <w:spacing w:after="0"/>
              <w:rPr>
                <w:sz w:val="17"/>
                <w:szCs w:val="17"/>
                <w:color w:val="auto"/>
              </w:rPr>
            </w:pPr>
          </w:p>
        </w:tc>
        <w:tc>
          <w:tcPr>
            <w:tcW w:w="17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6"/>
              </w:rPr>
              <w:t>Press Release, dated May 15, 2025</w:t>
            </w:r>
          </w:p>
        </w:tc>
        <w:tc>
          <w:tcPr>
            <w:tcW w:w="2280" w:type="dxa"/>
            <w:vAlign w:val="bottom"/>
            <w:gridSpan w:val="2"/>
          </w:tcPr>
          <w:p>
            <w:pPr>
              <w:spacing w:after="0"/>
              <w:rPr>
                <w:sz w:val="17"/>
                <w:szCs w:val="17"/>
                <w:color w:val="auto"/>
              </w:rPr>
            </w:pPr>
          </w:p>
        </w:tc>
      </w:t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6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3"/>
                <w:szCs w:val="13"/>
                <w:color w:val="0000EE"/>
              </w:rPr>
              <w:t>Corporate Presentation, dated May 15, 2025</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60" w:type="dxa"/>
            <w:vAlign w:val="bottom"/>
          </w:tcPr>
          <w:p>
            <w:pPr>
              <w:spacing w:after="0"/>
              <w:rPr>
                <w:sz w:val="20"/>
                <w:szCs w:val="20"/>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(embedded within the Inline XBRL document)</w:t>
            </w: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INVIVYD,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May 15,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Jill Andersen</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Legal Officer and Corporate Secretary</w:t>
      </w:r>
    </w:p>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1257935" cy="270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7935" cy="27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Invivyd Reports First Quarter 2025 Financial Results and Recent Business Highlights</w:t>
      </w:r>
    </w:p>
    <w:p>
      <w:pPr>
        <w:spacing w:after="0" w:line="87" w:lineRule="exact"/>
        <w:rPr>
          <w:sz w:val="20"/>
          <w:szCs w:val="20"/>
          <w:color w:val="auto"/>
        </w:rPr>
      </w:pPr>
    </w:p>
    <w:p>
      <w:pPr>
        <w:ind w:left="1320" w:right="719" w:hanging="303"/>
        <w:spacing w:after="0" w:line="214"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PEMGARDA</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xml:space="preserve"> (pemivibart) net product revenue of $11.3 million reported for Q1 2025, influenced by planned transition (Jan/Feb) from a contracted to an internalized sales force</w:t>
      </w:r>
    </w:p>
    <w:p>
      <w:pPr>
        <w:spacing w:after="0" w:line="70"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PEMGARDA revenue re-acceleration observed in Q2 2025 to date</w:t>
      </w:r>
    </w:p>
    <w:p>
      <w:pPr>
        <w:spacing w:after="0" w:line="87" w:lineRule="exact"/>
        <w:rPr>
          <w:rFonts w:ascii="Times New Roman" w:cs="Times New Roman" w:eastAsia="Times New Roman" w:hAnsi="Times New Roman"/>
          <w:sz w:val="13"/>
          <w:szCs w:val="13"/>
          <w:color w:val="auto"/>
        </w:rPr>
      </w:pPr>
    </w:p>
    <w:p>
      <w:pPr>
        <w:ind w:left="1320" w:right="85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Invivyd continues to target near-term profitability (1H 2025) with existing cash and cash equivalents, anticipated growth of net product revenue, and continued reduction of operating expenses</w:t>
      </w:r>
    </w:p>
    <w:p>
      <w:pPr>
        <w:spacing w:after="0" w:line="52" w:lineRule="exact"/>
        <w:rPr>
          <w:rFonts w:ascii="Times New Roman" w:cs="Times New Roman" w:eastAsia="Times New Roman" w:hAnsi="Times New Roman"/>
          <w:sz w:val="13"/>
          <w:szCs w:val="13"/>
          <w:color w:val="auto"/>
        </w:rPr>
      </w:pPr>
    </w:p>
    <w:p>
      <w:pPr>
        <w:ind w:left="1320" w:right="113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Since Emergency Use Authorization (EUA) of PEMGARDA in March 2024, no documented cases of anaphylaxis reported, across thousands of post-authorization doses</w:t>
      </w:r>
    </w:p>
    <w:p>
      <w:pPr>
        <w:spacing w:after="0" w:line="52"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VYD2311 Phase 1 clinical trial data read-out anticipated later in Q2 2025</w:t>
      </w:r>
    </w:p>
    <w:p>
      <w:pPr>
        <w:spacing w:after="0" w:line="156" w:lineRule="exact"/>
        <w:rPr>
          <w:sz w:val="20"/>
          <w:szCs w:val="20"/>
          <w:color w:val="auto"/>
        </w:rPr>
      </w:pPr>
    </w:p>
    <w:p>
      <w:pPr>
        <w:ind w:left="640" w:right="1079"/>
        <w:spacing w:after="0" w:line="267" w:lineRule="auto"/>
        <w:rPr>
          <w:sz w:val="20"/>
          <w:szCs w:val="20"/>
          <w:color w:val="auto"/>
        </w:rPr>
      </w:pPr>
      <w:r>
        <w:rPr>
          <w:rFonts w:ascii="Times New Roman" w:cs="Times New Roman" w:eastAsia="Times New Roman" w:hAnsi="Times New Roman"/>
          <w:sz w:val="13"/>
          <w:szCs w:val="13"/>
          <w:color w:val="auto"/>
        </w:rPr>
        <w:t>WALTHAM, Mass., May 15, 2025 – Invivyd, Inc. (Nasdaq: IVVD) today announced financial results for the quarter ended March 31, 2025, and provided recent business highlights.</w:t>
      </w:r>
    </w:p>
    <w:p>
      <w:pPr>
        <w:spacing w:after="0" w:line="122"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“To drive long-term topline growth, we made a strategic decision to internalize our sales force at the beginning of 2025,” said Bill Duke, Chief Financial Officer of Invivyd. “Although this shift created a short-term headwind, we’re now seeing positive momentum with a return to growth and early signs of acceleration in Q2 2025. Backed by a strong cash position and potential to access up to $30 million in non-dilutive funding through our term loan facility, we remain focused on disciplined financial execution and continue to target profitability by the end of the first half of 2025.”</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Recent Business Highlights</w:t>
      </w:r>
    </w:p>
    <w:p>
      <w:pPr>
        <w:spacing w:after="0" w:line="87" w:lineRule="exact"/>
        <w:rPr>
          <w:sz w:val="20"/>
          <w:szCs w:val="20"/>
          <w:color w:val="auto"/>
        </w:rPr>
      </w:pPr>
    </w:p>
    <w:p>
      <w:pPr>
        <w:ind w:left="1320" w:hanging="303"/>
        <w:spacing w:after="0"/>
        <w:tabs>
          <w:tab w:leader="none" w:pos="132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Commercial Execution</w:t>
      </w:r>
    </w:p>
    <w:p>
      <w:pPr>
        <w:spacing w:after="0" w:line="89" w:lineRule="exact"/>
        <w:rPr>
          <w:rFonts w:ascii="Times New Roman" w:cs="Times New Roman" w:eastAsia="Times New Roman" w:hAnsi="Times New Roman"/>
          <w:sz w:val="13"/>
          <w:szCs w:val="13"/>
          <w:b w:val="1"/>
          <w:bCs w:val="1"/>
          <w:color w:val="auto"/>
        </w:rPr>
      </w:pPr>
    </w:p>
    <w:p>
      <w:pPr>
        <w:ind w:left="1640" w:right="1059" w:hanging="235"/>
        <w:spacing w:after="0" w:line="212" w:lineRule="auto"/>
        <w:tabs>
          <w:tab w:leader="none" w:pos="164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uptake continues to grow among healthcare providers caring for immunocompromised patients, supported by Invivyd’s in-house sales force and expanded field presence across key specialties.</w:t>
      </w:r>
    </w:p>
    <w:p>
      <w:pPr>
        <w:sectPr>
          <w:pgSz w:w="11900" w:h="16838" w:orient="portrait"/>
          <w:cols w:equalWidth="0" w:num="1">
            <w:col w:w="9019"/>
          </w:cols>
          <w:pgMar w:left="1440" w:top="125" w:right="1440" w:bottom="1440" w:gutter="0" w:footer="0" w:header="0"/>
        </w:sectPr>
      </w:pPr>
    </w:p>
    <w:bookmarkStart w:id="4" w:name="page5"/>
    <w:bookmarkEnd w:id="4"/>
    <w:p>
      <w:pPr>
        <w:ind w:left="1320" w:hanging="303"/>
        <w:spacing w:after="0"/>
        <w:tabs>
          <w:tab w:leader="none" w:pos="132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Ongoing Variant Coverage and Safety Profile of PEMGARDA</w:t>
      </w:r>
    </w:p>
    <w:p>
      <w:pPr>
        <w:spacing w:after="0" w:line="89" w:lineRule="exact"/>
        <w:rPr>
          <w:rFonts w:ascii="Times New Roman" w:cs="Times New Roman" w:eastAsia="Times New Roman" w:hAnsi="Times New Roman"/>
          <w:sz w:val="13"/>
          <w:szCs w:val="13"/>
          <w:b w:val="1"/>
          <w:bCs w:val="1"/>
          <w:color w:val="auto"/>
        </w:rPr>
      </w:pPr>
    </w:p>
    <w:p>
      <w:pPr>
        <w:ind w:left="1640" w:right="759" w:hanging="235"/>
        <w:spacing w:after="0" w:line="251" w:lineRule="auto"/>
        <w:tabs>
          <w:tab w:leader="none" w:pos="164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vitro neutralization data show sustained neutralizing activity of PEMGARDA against currently dominant SARS-CoV-2 variants, including LP.8.1 and XEC, consistent with expectations based on the observed stability of PEMGARDA target epitope and prior variant surveillance. LP.8.1 and XEC represent more than 75% of SARS-CoV-2 variants circulating in the U.S., according to the Centers for Disease Control.</w:t>
      </w:r>
    </w:p>
    <w:p>
      <w:pPr>
        <w:spacing w:after="0" w:line="66" w:lineRule="exact"/>
        <w:rPr>
          <w:rFonts w:ascii="Times New Roman" w:cs="Times New Roman" w:eastAsia="Times New Roman" w:hAnsi="Times New Roman"/>
          <w:sz w:val="13"/>
          <w:szCs w:val="13"/>
          <w:color w:val="auto"/>
        </w:rPr>
      </w:pPr>
    </w:p>
    <w:p>
      <w:pPr>
        <w:ind w:left="1640" w:right="919" w:hanging="235"/>
        <w:spacing w:after="0" w:line="267" w:lineRule="auto"/>
        <w:tabs>
          <w:tab w:leader="none" w:pos="164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PEMGARDA safety profile remains consistent with the Fact Sheet for Healthcare Providers; no additional documented cases of anaphylaxis reported since emergency use authorization (EUA) in March 2024.</w:t>
      </w:r>
    </w:p>
    <w:p>
      <w:pPr>
        <w:spacing w:after="0" w:line="53"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Regulatory Developments</w:t>
      </w:r>
    </w:p>
    <w:p>
      <w:pPr>
        <w:spacing w:after="0" w:line="89" w:lineRule="exact"/>
        <w:rPr>
          <w:rFonts w:ascii="Times New Roman" w:cs="Times New Roman" w:eastAsia="Times New Roman" w:hAnsi="Times New Roman"/>
          <w:sz w:val="13"/>
          <w:szCs w:val="13"/>
          <w:b w:val="1"/>
          <w:bCs w:val="1"/>
          <w:color w:val="auto"/>
        </w:rPr>
      </w:pPr>
    </w:p>
    <w:p>
      <w:pPr>
        <w:ind w:left="1640" w:right="719" w:hanging="235"/>
        <w:spacing w:after="0" w:line="286" w:lineRule="auto"/>
        <w:tabs>
          <w:tab w:leader="none" w:pos="164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February 2025, the U.S. Food and Drug Administration (FDA) declined Invivyd’s request to expand the existing EUA of PEMGARDA to include treatment of mild-to-moderate COVID-19 for certain immunocompromised patients who have no alternative therapeutic options. The FDA declination letter provides reasoning that may provide a near-term pathway for VYD2311.</w:t>
      </w:r>
    </w:p>
    <w:p>
      <w:pPr>
        <w:spacing w:after="0" w:line="44" w:lineRule="exact"/>
        <w:rPr>
          <w:rFonts w:ascii="Times New Roman" w:cs="Times New Roman" w:eastAsia="Times New Roman" w:hAnsi="Times New Roman"/>
          <w:sz w:val="12"/>
          <w:szCs w:val="12"/>
          <w:color w:val="auto"/>
        </w:rPr>
      </w:pPr>
    </w:p>
    <w:p>
      <w:pPr>
        <w:ind w:left="1320" w:hanging="303"/>
        <w:spacing w:after="0"/>
        <w:tabs>
          <w:tab w:leader="none" w:pos="132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Pipeline Expansion</w:t>
      </w:r>
    </w:p>
    <w:p>
      <w:pPr>
        <w:spacing w:after="0" w:line="89" w:lineRule="exact"/>
        <w:rPr>
          <w:rFonts w:ascii="Times New Roman" w:cs="Times New Roman" w:eastAsia="Times New Roman" w:hAnsi="Times New Roman"/>
          <w:sz w:val="13"/>
          <w:szCs w:val="13"/>
          <w:b w:val="1"/>
          <w:bCs w:val="1"/>
          <w:color w:val="auto"/>
        </w:rPr>
      </w:pPr>
    </w:p>
    <w:p>
      <w:pPr>
        <w:ind w:left="1640" w:right="1119" w:hanging="235"/>
        <w:spacing w:after="0" w:line="267" w:lineRule="auto"/>
        <w:tabs>
          <w:tab w:leader="none" w:pos="164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Invivyd has initiated discovery efforts to assess pipeline expansion beyond SARS-CoV-2, including potential targets such as respiratory syncytial virus (RSV) and measles</w:t>
      </w:r>
    </w:p>
    <w:p>
      <w:pPr>
        <w:spacing w:after="0" w:line="55" w:lineRule="exact"/>
        <w:rPr>
          <w:rFonts w:ascii="Times New Roman" w:cs="Times New Roman" w:eastAsia="Times New Roman" w:hAnsi="Times New Roman"/>
          <w:sz w:val="13"/>
          <w:szCs w:val="13"/>
          <w:color w:val="auto"/>
        </w:rPr>
      </w:pPr>
    </w:p>
    <w:p>
      <w:pPr>
        <w:ind w:left="2100" w:right="799" w:hanging="382"/>
        <w:spacing w:after="0" w:line="267" w:lineRule="auto"/>
        <w:tabs>
          <w:tab w:leader="none" w:pos="210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evaluations are focused on high-value unmet needs in which a best- in class or first-and-best in class antibody may offer an attractive alternative or complement to traditional vaccines, or a high-value treatment.</w:t>
      </w:r>
    </w:p>
    <w:p>
      <w:pPr>
        <w:spacing w:after="0" w:line="53"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Corporate and Financial Updates</w:t>
      </w:r>
    </w:p>
    <w:p>
      <w:pPr>
        <w:spacing w:after="0" w:line="89" w:lineRule="exact"/>
        <w:rPr>
          <w:rFonts w:ascii="Times New Roman" w:cs="Times New Roman" w:eastAsia="Times New Roman" w:hAnsi="Times New Roman"/>
          <w:sz w:val="13"/>
          <w:szCs w:val="13"/>
          <w:b w:val="1"/>
          <w:bCs w:val="1"/>
          <w:color w:val="auto"/>
        </w:rPr>
      </w:pPr>
    </w:p>
    <w:p>
      <w:pPr>
        <w:ind w:left="1640" w:right="859" w:hanging="235"/>
        <w:spacing w:after="0" w:line="255" w:lineRule="auto"/>
        <w:tabs>
          <w:tab w:leader="none" w:pos="164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April 2025, Invivyd secured a $30 million non-dilutive term loan facility with Silicon Valley Bank, a division of First Citizens Bank, supporting balance sheet optionality and providing potential additional runway for commercial and pipeline execution if certain conditions and milestones are met.</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Recent Pipeline Highlights</w:t>
      </w:r>
    </w:p>
    <w:p>
      <w:pPr>
        <w:spacing w:after="0" w:line="89" w:lineRule="exact"/>
        <w:rPr>
          <w:sz w:val="20"/>
          <w:szCs w:val="20"/>
          <w:color w:val="auto"/>
        </w:rPr>
      </w:pPr>
    </w:p>
    <w:p>
      <w:pPr>
        <w:ind w:left="1320" w:hanging="303"/>
        <w:spacing w:after="0"/>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VYD2311 Phase 1 clinical trial data read-out, including potency, half-life and full safety unblinding anticipated later in Q2 2025.</w:t>
      </w:r>
    </w:p>
    <w:p>
      <w:pPr>
        <w:sectPr>
          <w:pgSz w:w="11900" w:h="16838" w:orient="portrait"/>
          <w:cols w:equalWidth="0" w:num="1">
            <w:col w:w="9019"/>
          </w:cols>
          <w:pgMar w:left="1440" w:top="229"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First Quarter 2025 Financial Results:</w:t>
      </w:r>
    </w:p>
    <w:p>
      <w:pPr>
        <w:spacing w:after="0" w:line="87" w:lineRule="exact"/>
        <w:rPr>
          <w:sz w:val="20"/>
          <w:szCs w:val="20"/>
          <w:color w:val="auto"/>
        </w:rPr>
      </w:pPr>
    </w:p>
    <w:p>
      <w:pPr>
        <w:ind w:left="1320" w:right="679" w:hanging="303"/>
        <w:spacing w:after="0" w:line="270"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13"/>
          <w:szCs w:val="13"/>
          <w:color w:val="auto"/>
        </w:rPr>
        <w:t>Reported Q1 2025 PEMGARDA net product revenue of $11.3 million, as compared to $13.8 million in Q4 2024. There were no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revenues reported during Q1 2024.</w:t>
      </w:r>
    </w:p>
    <w:p>
      <w:pPr>
        <w:spacing w:after="0" w:line="52"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Cash Position: </w:t>
      </w:r>
      <w:r>
        <w:rPr>
          <w:rFonts w:ascii="Times New Roman" w:cs="Times New Roman" w:eastAsia="Times New Roman" w:hAnsi="Times New Roman"/>
          <w:sz w:val="13"/>
          <w:szCs w:val="13"/>
          <w:color w:val="auto"/>
        </w:rPr>
        <w:t>Cash and cash equivalents were $48.1 million as of March 31, 2025.</w:t>
      </w:r>
    </w:p>
    <w:p>
      <w:pPr>
        <w:spacing w:after="0" w:line="87" w:lineRule="exact"/>
        <w:rPr>
          <w:rFonts w:ascii="Times New Roman" w:cs="Times New Roman" w:eastAsia="Times New Roman" w:hAnsi="Times New Roman"/>
          <w:sz w:val="13"/>
          <w:szCs w:val="13"/>
          <w:color w:val="auto"/>
        </w:rPr>
      </w:pPr>
    </w:p>
    <w:p>
      <w:pPr>
        <w:jc w:val="both"/>
        <w:ind w:left="1320" w:right="919" w:hanging="303"/>
        <w:spacing w:after="0" w:line="252"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Research &amp; Development (R&amp;D) Expenses (including In-Process R&amp;D): </w:t>
      </w:r>
      <w:r>
        <w:rPr>
          <w:rFonts w:ascii="Times New Roman" w:cs="Times New Roman" w:eastAsia="Times New Roman" w:hAnsi="Times New Roman"/>
          <w:sz w:val="13"/>
          <w:szCs w:val="13"/>
          <w:color w:val="auto"/>
        </w:rPr>
        <w:t>R&amp;D expenses were $10.6 million for the quarter ended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March 31, 2025, compared to $31.2 million for the comparable period of 2024. This decrease is primarily attributable to a decrease in commercial manufacturing costs of PEMGARDA, a decrease in clinical trial costs related to our CANOPY Phase 3 clinical trial and a decrease in personnel-related costs.</w:t>
      </w:r>
    </w:p>
    <w:p>
      <w:pPr>
        <w:spacing w:after="0" w:line="63" w:lineRule="exact"/>
        <w:rPr>
          <w:rFonts w:ascii="Times New Roman" w:cs="Times New Roman" w:eastAsia="Times New Roman" w:hAnsi="Times New Roman"/>
          <w:sz w:val="13"/>
          <w:szCs w:val="13"/>
          <w:color w:val="auto"/>
        </w:rPr>
      </w:pPr>
    </w:p>
    <w:p>
      <w:pPr>
        <w:ind w:left="1320" w:right="679" w:hanging="303"/>
        <w:spacing w:after="0" w:line="276" w:lineRule="auto"/>
        <w:tabs>
          <w:tab w:leader="none" w:pos="1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Selling, General &amp; Administrative (SG&amp;A) Expenses: </w:t>
      </w:r>
      <w:r>
        <w:rPr>
          <w:rFonts w:ascii="Times New Roman" w:cs="Times New Roman" w:eastAsia="Times New Roman" w:hAnsi="Times New Roman"/>
          <w:sz w:val="12"/>
          <w:szCs w:val="12"/>
          <w:color w:val="auto"/>
        </w:rPr>
        <w:t>SG&amp;A expenses were $16.8 million for the quarter ended March 31, 2025,</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compared to $14.9 million for the comparable period of 2024. This increase is primarily attributable to sales and marketing costs related to</w:t>
      </w:r>
    </w:p>
    <w:p>
      <w:pPr>
        <w:ind w:left="13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PEMGARDA.</w:t>
      </w:r>
    </w:p>
    <w:p>
      <w:pPr>
        <w:spacing w:after="0" w:line="72" w:lineRule="exact"/>
        <w:rPr>
          <w:rFonts w:ascii="Times New Roman" w:cs="Times New Roman" w:eastAsia="Times New Roman" w:hAnsi="Times New Roman"/>
          <w:sz w:val="12"/>
          <w:szCs w:val="12"/>
          <w:color w:val="auto"/>
        </w:rPr>
      </w:pPr>
    </w:p>
    <w:p>
      <w:pPr>
        <w:ind w:left="1320" w:right="659" w:hanging="303"/>
        <w:spacing w:after="0" w:line="257"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Net Loss and Net Loss per Share: </w:t>
      </w:r>
      <w:r>
        <w:rPr>
          <w:rFonts w:ascii="Times New Roman" w:cs="Times New Roman" w:eastAsia="Times New Roman" w:hAnsi="Times New Roman"/>
          <w:sz w:val="13"/>
          <w:szCs w:val="13"/>
          <w:color w:val="auto"/>
        </w:rPr>
        <w:t>Net loss was $16.3 million for the quarter ended March 31, 2025, compared to $43.5 million for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comparable period in 2024. Basic and diluted net loss per share was $0.14 for the quarter ended March 31, 2025, compared to $0.38 for the comparable period in 2024.</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 &amp; Webcast</w:t>
      </w:r>
    </w:p>
    <w:p>
      <w:pPr>
        <w:spacing w:after="0" w:line="80" w:lineRule="exact"/>
        <w:rPr>
          <w:sz w:val="20"/>
          <w:szCs w:val="20"/>
          <w:color w:val="auto"/>
        </w:rPr>
      </w:pPr>
    </w:p>
    <w:p>
      <w:pPr>
        <w:jc w:val="both"/>
        <w:ind w:left="640" w:right="799"/>
        <w:spacing w:after="0" w:line="255" w:lineRule="auto"/>
        <w:rPr>
          <w:sz w:val="20"/>
          <w:szCs w:val="20"/>
          <w:color w:val="auto"/>
        </w:rPr>
      </w:pPr>
      <w:r>
        <w:rPr>
          <w:rFonts w:ascii="Times New Roman" w:cs="Times New Roman" w:eastAsia="Times New Roman" w:hAnsi="Times New Roman"/>
          <w:sz w:val="13"/>
          <w:szCs w:val="13"/>
          <w:color w:val="auto"/>
        </w:rPr>
        <w:t xml:space="preserve">Listeners can register for the webcast via this </w:t>
      </w:r>
      <w:r>
        <w:rPr>
          <w:rFonts w:ascii="Times New Roman" w:cs="Times New Roman" w:eastAsia="Times New Roman" w:hAnsi="Times New Roman"/>
          <w:sz w:val="13"/>
          <w:szCs w:val="13"/>
          <w:u w:val="single" w:color="auto"/>
          <w:color w:val="auto"/>
        </w:rPr>
        <w:t>link</w:t>
      </w:r>
      <w:r>
        <w:rPr>
          <w:rFonts w:ascii="Times New Roman" w:cs="Times New Roman" w:eastAsia="Times New Roman" w:hAnsi="Times New Roman"/>
          <w:sz w:val="13"/>
          <w:szCs w:val="13"/>
          <w:color w:val="auto"/>
        </w:rPr>
        <w:t xml:space="preserve">. Analysts wishing to participate in the question and answer session should use this </w:t>
      </w:r>
      <w:r>
        <w:rPr>
          <w:rFonts w:ascii="Times New Roman" w:cs="Times New Roman" w:eastAsia="Times New Roman" w:hAnsi="Times New Roman"/>
          <w:sz w:val="13"/>
          <w:szCs w:val="13"/>
          <w:u w:val="single" w:color="auto"/>
          <w:color w:val="auto"/>
        </w:rPr>
        <w:t>link</w:t>
      </w:r>
      <w:r>
        <w:rPr>
          <w:rFonts w:ascii="Times New Roman" w:cs="Times New Roman" w:eastAsia="Times New Roman" w:hAnsi="Times New Roman"/>
          <w:sz w:val="13"/>
          <w:szCs w:val="13"/>
          <w:color w:val="auto"/>
        </w:rPr>
        <w:t>. A replay of the webcast will be available via the company’s investor website approximately two hours after the call’s conclusion. Those who plan on participating are advised to join 15 minutes prior to the start time.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PEMGARDA</w:t>
      </w:r>
    </w:p>
    <w:p>
      <w:pPr>
        <w:spacing w:after="0" w:line="80" w:lineRule="exact"/>
        <w:rPr>
          <w:sz w:val="20"/>
          <w:szCs w:val="20"/>
          <w:color w:val="auto"/>
        </w:rPr>
      </w:pPr>
    </w:p>
    <w:p>
      <w:pPr>
        <w:ind w:left="640" w:right="779"/>
        <w:spacing w:after="0" w:line="229" w:lineRule="auto"/>
        <w:rPr>
          <w:sz w:val="20"/>
          <w:szCs w:val="20"/>
          <w:color w:val="auto"/>
        </w:rPr>
      </w:pPr>
      <w:r>
        <w:rPr>
          <w:rFonts w:ascii="Times New Roman" w:cs="Times New Roman" w:eastAsia="Times New Roman" w:hAnsi="Times New Roman"/>
          <w:sz w:val="13"/>
          <w:szCs w:val="13"/>
          <w:color w:val="auto"/>
        </w:rPr>
        <w:t>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is a half-life extended investigational monoclonal antibody (mAb). PEMGARDA was engineered from adintrevimab, Invivyd’s investigational mAb that has a robust safety data package and provided evidence of clinical efficacy in global Phase 2/3 clinical trials for the prevention and treatment of COVID-19. PEMGARDA has demonstrated in vitro neutralizing activity against major SARS-CoV-2 variants, including JN.1, KP.3.1.1, XEC and LP.8.1. PEMGARDA targets the SARS-CoV-2 spike protein receptor binding domain (RBD), thereby inhibiting virus attachment to the human ACE2 receptor on host cells.</w:t>
      </w:r>
    </w:p>
    <w:p>
      <w:pPr>
        <w:spacing w:after="0" w:line="142"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ectPr>
          <w:pgSz w:w="11900" w:h="16838" w:orient="portrait"/>
          <w:cols w:equalWidth="0" w:num="1">
            <w:col w:w="9019"/>
          </w:cols>
          <w:pgMar w:left="1440" w:top="229" w:right="1440" w:bottom="1440" w:gutter="0" w:footer="0" w:header="0"/>
        </w:sectPr>
      </w:pPr>
    </w:p>
    <w:bookmarkStart w:id="6" w:name="page7"/>
    <w:bookmarkEnd w:id="6"/>
    <w:p>
      <w:pPr>
        <w:ind w:left="640" w:right="8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PEMGARDA is not authorized for use for treatment of COVID-19 or post-exposure prophylaxis of COVID-19.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recently received a COVID-19 vaccine, PEMGARDA should be administered at least 2 weeks after vaccination.</w:t>
      </w:r>
    </w:p>
    <w:p>
      <w:pPr>
        <w:spacing w:after="0" w:line="134" w:lineRule="exact"/>
        <w:rPr>
          <w:sz w:val="20"/>
          <w:szCs w:val="20"/>
          <w:color w:val="auto"/>
        </w:rPr>
      </w:pPr>
    </w:p>
    <w:p>
      <w:pPr>
        <w:ind w:left="640" w:right="779"/>
        <w:spacing w:after="0" w:line="251" w:lineRule="auto"/>
        <w:rPr>
          <w:sz w:val="20"/>
          <w:szCs w:val="20"/>
          <w:color w:val="auto"/>
        </w:rPr>
      </w:pPr>
      <w:r>
        <w:rPr>
          <w:rFonts w:ascii="Times New Roman" w:cs="Times New Roman" w:eastAsia="Times New Roman" w:hAnsi="Times New Roman"/>
          <w:sz w:val="13"/>
          <w:szCs w:val="13"/>
          <w:color w:val="auto"/>
        </w:rPr>
        <w:t>Anaphylaxis has been observed with PEMGARDA and the PEMGARDA Fact Sheet for Healthcare Providers includes a boxed warning for anaphylaxis. The most common adverse reactions included systemic infusion-related reactions and hypersensitivity reactions, local infusion site reactions, and infusion site infiltration or extravasation. For additional information, please see the PEMGARDA full product Fact Sheet for Healthcare Providers, including important safety information and boxed warning.</w:t>
      </w:r>
    </w:p>
    <w:p>
      <w:pPr>
        <w:spacing w:after="0" w:line="133"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2"/>
          <w:szCs w:val="12"/>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w:t>
      </w:r>
    </w:p>
    <w:p>
      <w:pPr>
        <w:spacing w:after="0" w:line="123"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ectPr>
          <w:pgSz w:w="11900" w:h="16838" w:orient="portrait"/>
          <w:cols w:equalWidth="0" w:num="1">
            <w:col w:w="9019"/>
          </w:cols>
          <w:pgMar w:left="1440" w:top="231"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CANOPY</w:t>
      </w:r>
    </w:p>
    <w:p>
      <w:pPr>
        <w:spacing w:after="0" w:line="80" w:lineRule="exact"/>
        <w:rPr>
          <w:sz w:val="20"/>
          <w:szCs w:val="20"/>
          <w:color w:val="auto"/>
        </w:rPr>
      </w:pPr>
    </w:p>
    <w:p>
      <w:pPr>
        <w:ind w:left="640" w:right="699"/>
        <w:spacing w:after="0" w:line="246" w:lineRule="auto"/>
        <w:rPr>
          <w:sz w:val="20"/>
          <w:szCs w:val="20"/>
          <w:color w:val="auto"/>
        </w:rPr>
      </w:pPr>
      <w:r>
        <w:rPr>
          <w:rFonts w:ascii="Times New Roman" w:cs="Times New Roman" w:eastAsia="Times New Roman" w:hAnsi="Times New Roman"/>
          <w:sz w:val="13"/>
          <w:szCs w:val="13"/>
          <w:color w:val="auto"/>
        </w:rPr>
        <w:t>The CANOPY Phase 3 clinical trial was designed to evaluate the safety and tolerability of pemivibart and to assess immunobridging from pemivibart to certain historical data from the company’s previous Phase 2/3 clinical trial of adintrevimab (ADG20) for the prevention of symptomatic COVID-19 (EVADE). Additionally, there were pre-specified exploratory endpoints through three, six and twelve months to evaluate clinical efficacy of pemivibart compared to placebo in the prevention of RT-PCR-confirmed symptomatic COVID-19. The latest analysis from the Phase 3 CANOPY clinical trial included 365-day data. The CANOPY clinical trial enrolled participants in two cohorts: Cohort A was a single-arm, open-label trial in adults with moderate-to-severe immune compromise including complex underlying medical conditions. Cohort B was a randomized, placebo-controlled cohort that enrolled adults without moderate-to-severe immune compromise at risk of acquiring COVID-19 due to regular unmasked face-to-face interactions in indoor settings.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VYD2311</w:t>
      </w:r>
    </w:p>
    <w:p>
      <w:pPr>
        <w:spacing w:after="0" w:line="80" w:lineRule="exact"/>
        <w:rPr>
          <w:sz w:val="20"/>
          <w:szCs w:val="20"/>
          <w:color w:val="auto"/>
        </w:rPr>
      </w:pPr>
    </w:p>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t>VYD2311 is a novel monoclonal antibody (mAb) candidate being developed for COVID-19 to continue to address the urgent need for new prophylactic and therapeutic options. The pharmacokinetic profile and antiviral potency of VYD2311 may offer the ability to deliver clinically meaningful titer levels through more patient-friendly means such as an intramuscular route of administration.</w:t>
      </w:r>
    </w:p>
    <w:p>
      <w:pPr>
        <w:spacing w:after="0" w:line="130"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VYD2311 was engineered using Invivyd’s proprietary integrated technology platform and is the product of serial molecular evolution designed to generate an antibody optimized for neutralizing contemporary virus lineages. VYD2311 leverages the same antibody backbone as pemivibart, Invivyd’s investigational mAb granted emergency use authorization in the U.S. for the pre-exposure prophylaxis (PrEP) of symptomatic COVID-19 in certain immunocompromised patients, and adintrevimab, Invivyd’s investigational mAb that has a robust safety data package and demonstrated clinically meaningful results in global Phase 2/3 clinical trials for the prevention and treatment of COVID-19.</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Invivyd</w:t>
      </w:r>
    </w:p>
    <w:p>
      <w:pPr>
        <w:spacing w:after="0" w:line="80" w:lineRule="exact"/>
        <w:rPr>
          <w:sz w:val="20"/>
          <w:szCs w:val="20"/>
          <w:color w:val="auto"/>
        </w:rPr>
      </w:pPr>
    </w:p>
    <w:p>
      <w:pPr>
        <w:ind w:left="640" w:right="819"/>
        <w:spacing w:after="0" w:line="251" w:lineRule="auto"/>
        <w:rPr>
          <w:sz w:val="20"/>
          <w:szCs w:val="20"/>
          <w:color w:val="auto"/>
        </w:rPr>
      </w:pPr>
      <w:r>
        <w:rPr>
          <w:rFonts w:ascii="Times New Roman" w:cs="Times New Roman" w:eastAsia="Times New Roman" w:hAnsi="Times New Roman"/>
          <w:sz w:val="13"/>
          <w:szCs w:val="13"/>
          <w:color w:val="auto"/>
        </w:rPr>
        <w:t>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https://invivyd.com/ to learn more.</w:t>
      </w:r>
    </w:p>
    <w:p>
      <w:pPr>
        <w:sectPr>
          <w:pgSz w:w="11900" w:h="16838" w:orient="portrait"/>
          <w:cols w:equalWidth="0" w:num="1">
            <w:col w:w="9019"/>
          </w:cols>
          <w:pgMar w:left="1440" w:top="229" w:right="1440"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Cautionary Note Regarding Forward-Looking Statements</w:t>
      </w:r>
    </w:p>
    <w:p>
      <w:pPr>
        <w:spacing w:after="0" w:line="80" w:lineRule="exact"/>
        <w:rPr>
          <w:sz w:val="20"/>
          <w:szCs w:val="20"/>
          <w:color w:val="auto"/>
        </w:rPr>
      </w:pPr>
    </w:p>
    <w:p>
      <w:pPr>
        <w:ind w:left="640" w:right="659"/>
        <w:spacing w:after="0" w:line="244"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Words such as “anticipates,” “believes,” “could,” “expects,” “estimates,” “intends,” “potential,” “predicts,” “projects,” and “future” or similar expressions (as well as other words or expressions referencing future events, conditions or circumstances) are intended to identify forward-looking statements. Forward-looking statements include statements concerning, among other things, the company’s goal of near-term profitability; the company’s expectations regarding anticipated growth of net product revenue and continued reduction of operating expenses; expectations related to the company’s term loan facility; the company’s ongoing research and development activities, as well as future potential research and development efforts; the ongoing in vitro neutralizing activity of PEMGARDA against dominant SARS-CoV-2 variants; the potential of PEMGARDA as a mAb for pre-exposure prophylaxis (prevention) of COVID-19 in certain adults and adolescents who have moderate-to-severe immune compromise; the potential of VYD2311 as a novel mAb candidate that may be able to deliver clinically meaningful titer levels through more patient-friendly means, and potentially available regulatory pathways; the company’s devotion to delivering protection from serious viral infectious diseases, beginning with SARS-CoV-2; potential pipeline expansion beyond SARS-CoV-2, including potential targets such as RSV and measles;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uncertainties regarding the company’s expectations, projections and estimates regarding future costs and expenses, future revenue, capital requirements, and the availability of and the need for additional financing; whether the company’s cash and cash equivalents are sufficient to support its operating plan for as long as anticipated; uncertainties regarding market acceptance, payor coverage and reimbursement, or future revenue generated by PEMGARDA; how long the EUA granted by the FDA for PEMGARDA will remain in effect and whether the EUA is revised or revoked by the FDA; the ability to maintain a continued acceptable safety, tolerability and efficacy profile of any product candidate following regulatory authorization or approval; the success of the company’s in-house sales force, and company’s ability to maintain and expand sales, marketing and distribution capabilities to successfully commercialize PEMGARDA; changes in expected or existing competition; changes in the regulatory environment; the outcome of the company’s engagement with regulators;</w:t>
      </w:r>
    </w:p>
    <w:p>
      <w:pPr>
        <w:sectPr>
          <w:pgSz w:w="11900" w:h="16838" w:orient="portrait"/>
          <w:cols w:equalWidth="0" w:num="1">
            <w:col w:w="9019"/>
          </w:cols>
          <w:pgMar w:left="1440" w:top="229" w:right="1440" w:bottom="1440" w:gutter="0" w:footer="0" w:header="0"/>
        </w:sectPr>
      </w:pPr>
    </w:p>
    <w:bookmarkStart w:id="9" w:name="page10"/>
    <w:bookmarkEnd w:id="9"/>
    <w:p>
      <w:pPr>
        <w:ind w:left="640" w:right="65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uncertainties related to the regulatory authorization or approval process, and available development and regulatory pathways; the timing, progress and results of the company’s discovery, preclinical and clinical development activities; unexpected safety or efficacy data observed during preclinical studies or clinical trials; the predictability of clinical success of the company’s product candidates based on neutralizing activity in nonclinical studies; the risk that results of nonclinical studies or clinical trials may not be predictive of future results, and interim data are subject to further analysis; potential variability in neutralizing activity of product candidates tested in different assays, such as pseudovirus assays and authentic assays; variability of results in models and methods used to predict activity against SARS-CoV-2 variants; whether the epitope that pemivibart and VYD2311 targets remains structurally intact; whether the company’s product candidates are able to demonstrate and sustain neutralizing activity against major SARS-CoV-2 variants, particularly in the face of viral evolution; whether the company’s integrated technology platform is able to produce mAbs with broad and durable viral protection along with improved drug properties; the company’s reliance on third parties; clinical trial site activation or enrollment rates; the complexities of manufacturing mAb therapies; macroeconomic and political uncertainties; the company’s ability to realize the anticipated benefits of its term loan facility;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2024, as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This press release contains hyperlinks to information that is not deemed to be incorporated by reference in this press release.</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 Relations</w:t>
      </w:r>
    </w:p>
    <w:p>
      <w:pPr>
        <w:spacing w:after="0" w:line="17" w:lineRule="exact"/>
        <w:rPr>
          <w:sz w:val="20"/>
          <w:szCs w:val="20"/>
          <w:color w:val="auto"/>
        </w:rPr>
      </w:pPr>
    </w:p>
    <w:p>
      <w:pPr>
        <w:ind w:left="640" w:right="7319" w:hanging="3"/>
        <w:spacing w:after="0" w:line="287" w:lineRule="auto"/>
        <w:tabs>
          <w:tab w:leader="none" w:pos="94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208-1747 </w:t>
      </w:r>
      <w:r>
        <w:rPr>
          <w:rFonts w:ascii="Times New Roman" w:cs="Times New Roman" w:eastAsia="Times New Roman" w:hAnsi="Times New Roman"/>
          <w:sz w:val="12"/>
          <w:szCs w:val="12"/>
          <w:u w:val="single" w:color="auto"/>
          <w:color w:val="auto"/>
        </w:rPr>
        <w:t>media@invivyd.com</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Relations</w:t>
      </w:r>
    </w:p>
    <w:p>
      <w:pPr>
        <w:spacing w:after="0" w:line="17" w:lineRule="exact"/>
        <w:rPr>
          <w:sz w:val="20"/>
          <w:szCs w:val="20"/>
          <w:color w:val="auto"/>
        </w:rPr>
      </w:pPr>
    </w:p>
    <w:p>
      <w:pPr>
        <w:ind w:left="640" w:right="7179" w:hanging="3"/>
        <w:spacing w:after="0" w:line="287" w:lineRule="auto"/>
        <w:tabs>
          <w:tab w:leader="none" w:pos="94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208-1747 </w:t>
      </w:r>
      <w:r>
        <w:rPr>
          <w:rFonts w:ascii="Times New Roman" w:cs="Times New Roman" w:eastAsia="Times New Roman" w:hAnsi="Times New Roman"/>
          <w:sz w:val="12"/>
          <w:szCs w:val="12"/>
          <w:u w:val="single" w:color="auto"/>
          <w:color w:val="auto"/>
        </w:rPr>
        <w:t>investors@invivyd.com</w:t>
      </w:r>
    </w:p>
    <w:p>
      <w:pPr>
        <w:sectPr>
          <w:pgSz w:w="11900" w:h="16838" w:orient="portrait"/>
          <w:cols w:equalWidth="0" w:num="1">
            <w:col w:w="9019"/>
          </w:cols>
          <w:pgMar w:left="1440" w:top="231"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INVIVYD,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260" w:type="dxa"/>
            <w:vAlign w:val="bottom"/>
          </w:tcPr>
          <w:p>
            <w:pPr>
              <w:spacing w:after="0"/>
              <w:rPr>
                <w:sz w:val="10"/>
                <w:szCs w:val="10"/>
                <w:color w:val="auto"/>
              </w:rPr>
            </w:pPr>
          </w:p>
        </w:tc>
        <w:tc>
          <w:tcPr>
            <w:tcW w:w="800" w:type="dxa"/>
            <w:vAlign w:val="bottom"/>
            <w:gridSpan w:val="4"/>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1"/>
        </w:trPr>
        <w:tc>
          <w:tcPr>
            <w:tcW w:w="62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2025</w:t>
            </w:r>
          </w:p>
        </w:tc>
        <w:tc>
          <w:tcPr>
            <w:tcW w:w="2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0"/>
                <w:szCs w:val="10"/>
                <w:color w:val="auto"/>
              </w:rPr>
            </w:pPr>
          </w:p>
        </w:tc>
      </w:tr>
      <w:tr>
        <w:trPr>
          <w:trHeight w:val="132"/>
        </w:trPr>
        <w:tc>
          <w:tcPr>
            <w:tcW w:w="62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48,078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69,349</w:t>
            </w:r>
          </w:p>
        </w:tc>
      </w:tr>
      <w:tr>
        <w:trPr>
          <w:trHeight w:val="152"/>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w:t>
            </w:r>
          </w:p>
        </w:tc>
        <w:tc>
          <w:tcPr>
            <w:tcW w:w="6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8,561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10,906</w:t>
            </w:r>
          </w:p>
        </w:tc>
      </w:tr>
      <w:tr>
        <w:trPr>
          <w:trHeight w:val="152"/>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6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19,186</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20,426</w:t>
            </w:r>
          </w:p>
        </w:tc>
      </w:tr>
      <w:tr>
        <w:trPr>
          <w:trHeight w:val="151"/>
        </w:trPr>
        <w:tc>
          <w:tcPr>
            <w:tcW w:w="62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current assets</w:t>
            </w: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75,825</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100,681</w:t>
            </w:r>
          </w:p>
        </w:tc>
        <w:tc>
          <w:tcPr>
            <w:tcW w:w="80" w:type="dxa"/>
            <w:vAlign w:val="bottom"/>
          </w:tcPr>
          <w:p>
            <w:pPr>
              <w:spacing w:after="0"/>
              <w:rPr>
                <w:sz w:val="13"/>
                <w:szCs w:val="13"/>
                <w:color w:val="auto"/>
              </w:rPr>
            </w:pPr>
          </w:p>
        </w:tc>
      </w:tr>
      <w:tr>
        <w:trPr>
          <w:trHeight w:val="15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Inventory</w:t>
            </w:r>
          </w:p>
        </w:tc>
        <w:tc>
          <w:tcPr>
            <w:tcW w:w="6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25,419</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25,907</w:t>
            </w:r>
          </w:p>
        </w:tc>
      </w:tr>
      <w:tr>
        <w:trPr>
          <w:trHeight w:val="15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6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1,523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1,508</w:t>
            </w:r>
          </w:p>
        </w:tc>
      </w:tr>
      <w:tr>
        <w:trPr>
          <w:trHeight w:val="15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953</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1,385</w:t>
            </w:r>
          </w:p>
        </w:tc>
      </w:tr>
      <w:tr>
        <w:trPr>
          <w:trHeight w:val="15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3"/>
                <w:szCs w:val="13"/>
                <w:color w:val="auto"/>
              </w:rPr>
            </w:pPr>
          </w:p>
        </w:tc>
      </w:tr>
      <w:tr>
        <w:trPr>
          <w:trHeight w:val="159"/>
        </w:trPr>
        <w:tc>
          <w:tcPr>
            <w:tcW w:w="6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assets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103,744</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129,515</w:t>
            </w:r>
          </w:p>
        </w:tc>
      </w:tr>
      <w:tr>
        <w:trPr>
          <w:trHeight w:val="161"/>
        </w:trPr>
        <w:tc>
          <w:tcPr>
            <w:tcW w:w="6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 Preferred Stock and Stockholders’ Equity</w:t>
            </w: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8,739</w:t>
            </w:r>
          </w:p>
        </w:tc>
        <w:tc>
          <w:tcPr>
            <w:tcW w:w="26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10,448</w:t>
            </w:r>
          </w:p>
        </w:tc>
      </w:tr>
      <w:tr>
        <w:trPr>
          <w:trHeight w:val="152"/>
        </w:trPr>
        <w:tc>
          <w:tcPr>
            <w:tcW w:w="626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2"/>
                <w:szCs w:val="12"/>
                <w:color w:val="auto"/>
              </w:rPr>
              <w:t>Accrued expenses</w:t>
            </w:r>
            <w:r>
              <w:rPr>
                <w:rFonts w:ascii="Times New Roman" w:cs="Times New Roman" w:eastAsia="Times New Roman" w:hAnsi="Times New Roman"/>
                <w:sz w:val="17"/>
                <w:szCs w:val="17"/>
                <w:color w:val="auto"/>
                <w:vertAlign w:val="superscript"/>
              </w:rPr>
              <w:t>(1)</w:t>
            </w:r>
          </w:p>
        </w:tc>
        <w:tc>
          <w:tcPr>
            <w:tcW w:w="6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39,928</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50,197</w:t>
            </w:r>
          </w:p>
        </w:tc>
      </w:tr>
      <w:tr>
        <w:trPr>
          <w:trHeight w:val="152"/>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6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894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1,304</w:t>
            </w:r>
          </w:p>
        </w:tc>
      </w:tr>
      <w:tr>
        <w:trPr>
          <w:trHeight w:val="152"/>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current liability</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34</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w:t>
            </w:r>
          </w:p>
        </w:tc>
      </w:tr>
      <w:tr>
        <w:trPr>
          <w:trHeight w:val="151"/>
        </w:trPr>
        <w:tc>
          <w:tcPr>
            <w:tcW w:w="62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49,595</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61,976</w:t>
            </w:r>
          </w:p>
        </w:tc>
        <w:tc>
          <w:tcPr>
            <w:tcW w:w="80" w:type="dxa"/>
            <w:vAlign w:val="bottom"/>
          </w:tcPr>
          <w:p>
            <w:pPr>
              <w:spacing w:after="0"/>
              <w:rPr>
                <w:sz w:val="13"/>
                <w:szCs w:val="13"/>
                <w:color w:val="auto"/>
              </w:rPr>
            </w:pPr>
          </w:p>
        </w:tc>
      </w:tr>
      <w:tr>
        <w:trPr>
          <w:trHeight w:val="151"/>
        </w:trPr>
        <w:tc>
          <w:tcPr>
            <w:tcW w:w="6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liabilities</w:t>
            </w:r>
          </w:p>
        </w:tc>
        <w:tc>
          <w:tcPr>
            <w:tcW w:w="6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49,595</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61,976</w:t>
            </w:r>
          </w:p>
        </w:tc>
      </w:tr>
      <w:tr>
        <w:trPr>
          <w:trHeight w:val="151"/>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39"/>
        </w:trPr>
        <w:tc>
          <w:tcPr>
            <w:tcW w:w="6260" w:type="dxa"/>
            <w:vAlign w:val="bottom"/>
          </w:tcPr>
          <w:p>
            <w:pPr>
              <w:ind w:left="260"/>
              <w:spacing w:after="0" w:line="139" w:lineRule="exact"/>
              <w:rPr>
                <w:sz w:val="20"/>
                <w:szCs w:val="20"/>
                <w:color w:val="auto"/>
              </w:rPr>
            </w:pPr>
            <w:r>
              <w:rPr>
                <w:rFonts w:ascii="Times New Roman" w:cs="Times New Roman" w:eastAsia="Times New Roman" w:hAnsi="Times New Roman"/>
                <w:sz w:val="13"/>
                <w:szCs w:val="13"/>
                <w:color w:val="auto"/>
              </w:rPr>
              <w:t>Preferred stock (undesignated), $0.0001 par value; 10,000,000 shares authorized and no shares issued and</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4"/>
        </w:trPr>
        <w:tc>
          <w:tcPr>
            <w:tcW w:w="62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outstanding at March 31, 2025 and December 31, 2024</w:t>
            </w:r>
          </w:p>
        </w:tc>
        <w:tc>
          <w:tcPr>
            <w:tcW w:w="60" w:type="dxa"/>
            <w:vAlign w:val="bottom"/>
          </w:tcPr>
          <w:p>
            <w:pPr>
              <w:spacing w:after="0"/>
              <w:rPr>
                <w:sz w:val="14"/>
                <w:szCs w:val="14"/>
                <w:color w:val="auto"/>
              </w:rPr>
            </w:pPr>
          </w:p>
        </w:tc>
        <w:tc>
          <w:tcPr>
            <w:tcW w:w="7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39"/>
        </w:trPr>
        <w:tc>
          <w:tcPr>
            <w:tcW w:w="6260" w:type="dxa"/>
            <w:vAlign w:val="bottom"/>
            <w:shd w:val="clear" w:color="auto" w:fill="CCEEFF"/>
          </w:tcPr>
          <w:p>
            <w:pPr>
              <w:ind w:left="260"/>
              <w:spacing w:after="0" w:line="139" w:lineRule="exact"/>
              <w:rPr>
                <w:sz w:val="20"/>
                <w:szCs w:val="20"/>
                <w:color w:val="auto"/>
              </w:rPr>
            </w:pPr>
            <w:r>
              <w:rPr>
                <w:rFonts w:ascii="Times New Roman" w:cs="Times New Roman" w:eastAsia="Times New Roman" w:hAnsi="Times New Roman"/>
                <w:sz w:val="13"/>
                <w:szCs w:val="13"/>
                <w:color w:val="auto"/>
              </w:rPr>
              <w:t>Common stock, $0.0001 par value; 1,000,000,000 shares authorized, 119,961,445 shares issued and outstanding</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4"/>
        </w:trPr>
        <w:tc>
          <w:tcPr>
            <w:tcW w:w="6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at March 31, 2025; 119,835,162 shares issued and outstanding at December 31, 2024</w:t>
            </w:r>
          </w:p>
        </w:tc>
        <w:tc>
          <w:tcPr>
            <w:tcW w:w="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6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972,433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969,526</w:t>
            </w:r>
          </w:p>
        </w:tc>
      </w:tr>
      <w:tr>
        <w:trPr>
          <w:trHeight w:val="15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6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60" w:type="dxa"/>
            <w:vAlign w:val="bottom"/>
          </w:tcPr>
          <w:p>
            <w:pPr>
              <w:spacing w:after="0"/>
              <w:rPr>
                <w:sz w:val="13"/>
                <w:szCs w:val="13"/>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w w:val="94"/>
              </w:rPr>
              <w:t>(918,283)</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(901,994)</w:t>
            </w:r>
          </w:p>
        </w:tc>
      </w:tr>
      <w:tr>
        <w:trPr>
          <w:trHeight w:val="151"/>
        </w:trPr>
        <w:tc>
          <w:tcPr>
            <w:tcW w:w="6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54,149</w:t>
            </w:r>
          </w:p>
        </w:tc>
        <w:tc>
          <w:tcPr>
            <w:tcW w:w="280" w:type="dxa"/>
            <w:vAlign w:val="bottom"/>
            <w:gridSpan w:val="2"/>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67,539</w:t>
            </w:r>
          </w:p>
        </w:tc>
        <w:tc>
          <w:tcPr>
            <w:tcW w:w="80" w:type="dxa"/>
            <w:vAlign w:val="bottom"/>
            <w:shd w:val="clear" w:color="auto" w:fill="CCEEFF"/>
          </w:tcPr>
          <w:p>
            <w:pPr>
              <w:spacing w:after="0"/>
              <w:rPr>
                <w:sz w:val="13"/>
                <w:szCs w:val="13"/>
                <w:color w:val="auto"/>
              </w:rPr>
            </w:pPr>
          </w:p>
        </w:tc>
      </w:tr>
      <w:tr>
        <w:trPr>
          <w:trHeight w:val="159"/>
        </w:trPr>
        <w:tc>
          <w:tcPr>
            <w:tcW w:w="62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liabilities, preferred stock and stockholders’ equity</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103,744</w:t>
            </w: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129,515</w:t>
            </w:r>
          </w:p>
        </w:tc>
        <w:tc>
          <w:tcPr>
            <w:tcW w:w="80" w:type="dxa"/>
            <w:vAlign w:val="bottom"/>
          </w:tcPr>
          <w:p>
            <w:pPr>
              <w:spacing w:after="0"/>
              <w:rPr>
                <w:sz w:val="13"/>
                <w:szCs w:val="13"/>
                <w:color w:val="auto"/>
              </w:rPr>
            </w:pPr>
          </w:p>
        </w:tc>
      </w:tr>
    </w:tbl>
    <w:p>
      <w:pPr>
        <w:spacing w:after="0" w:line="167" w:lineRule="exact"/>
        <w:rPr>
          <w:sz w:val="20"/>
          <w:szCs w:val="20"/>
          <w:color w:val="auto"/>
        </w:rPr>
      </w:pPr>
    </w:p>
    <w:p>
      <w:pPr>
        <w:ind w:left="940" w:hanging="303"/>
        <w:spacing w:after="0"/>
        <w:tabs>
          <w:tab w:leader="none" w:pos="9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related-party amounts of $456 and $1,274 as of March 31, 2025 and December 31, 2024, respectively.</w:t>
      </w:r>
    </w:p>
    <w:p>
      <w:pPr>
        <w:sectPr>
          <w:pgSz w:w="11900" w:h="16838" w:orient="portrait"/>
          <w:cols w:equalWidth="0" w:num="1">
            <w:col w:w="9019"/>
          </w:cols>
          <w:pgMar w:left="1440" w:top="229"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INVIVYD,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 AND COMPREHENSIVE LOSS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220" w:type="dxa"/>
            <w:vAlign w:val="bottom"/>
          </w:tcPr>
          <w:p>
            <w:pPr>
              <w:spacing w:after="0"/>
              <w:rPr>
                <w:sz w:val="10"/>
                <w:szCs w:val="10"/>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104"/>
        </w:trPr>
        <w:tc>
          <w:tcPr>
            <w:tcW w:w="5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tcPr>
          <w:p>
            <w:pPr>
              <w:jc w:val="right"/>
              <w:ind w:right="500"/>
              <w:spacing w:after="0" w:line="104" w:lineRule="exact"/>
              <w:rPr>
                <w:sz w:val="20"/>
                <w:szCs w:val="20"/>
                <w:color w:val="auto"/>
              </w:rPr>
            </w:pPr>
            <w:r>
              <w:rPr>
                <w:rFonts w:ascii="Times New Roman" w:cs="Times New Roman" w:eastAsia="Times New Roman" w:hAnsi="Times New Roman"/>
                <w:sz w:val="10"/>
                <w:szCs w:val="10"/>
                <w:b w:val="1"/>
                <w:bCs w:val="1"/>
                <w:color w:val="auto"/>
              </w:rPr>
              <w:t>March 31,</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right"/>
              <w:ind w:right="320"/>
              <w:spacing w:after="0" w:line="104" w:lineRule="exact"/>
              <w:rPr>
                <w:sz w:val="20"/>
                <w:szCs w:val="20"/>
                <w:color w:val="auto"/>
              </w:rPr>
            </w:pPr>
            <w:r>
              <w:rPr>
                <w:rFonts w:ascii="Times New Roman" w:cs="Times New Roman" w:eastAsia="Times New Roman" w:hAnsi="Times New Roman"/>
                <w:sz w:val="10"/>
                <w:szCs w:val="10"/>
                <w:b w:val="1"/>
                <w:bCs w:val="1"/>
                <w:color w:val="auto"/>
              </w:rPr>
              <w:t>March 31,</w:t>
            </w:r>
          </w:p>
        </w:tc>
      </w:tr>
      <w:tr>
        <w:trPr>
          <w:trHeight w:val="121"/>
        </w:trPr>
        <w:tc>
          <w:tcPr>
            <w:tcW w:w="53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0"/>
                <w:szCs w:val="10"/>
                <w:b w:val="1"/>
                <w:bCs w:val="1"/>
                <w:color w:val="auto"/>
              </w:rPr>
              <w:t>2025</w:t>
            </w:r>
          </w:p>
        </w:tc>
        <w:tc>
          <w:tcPr>
            <w:tcW w:w="2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0"/>
                <w:szCs w:val="10"/>
                <w:color w:val="auto"/>
              </w:rPr>
            </w:pPr>
          </w:p>
        </w:tc>
      </w:tr>
      <w:tr>
        <w:trPr>
          <w:trHeight w:val="132"/>
        </w:trPr>
        <w:tc>
          <w:tcPr>
            <w:tcW w:w="53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Revenue:</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53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Product revenue, net</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11,304</w:t>
            </w:r>
          </w:p>
        </w:tc>
        <w:tc>
          <w:tcPr>
            <w:tcW w:w="260" w:type="dxa"/>
            <w:vAlign w:val="bottom"/>
          </w:tcPr>
          <w:p>
            <w:pPr>
              <w:spacing w:after="0"/>
              <w:rPr>
                <w:sz w:val="13"/>
                <w:szCs w:val="13"/>
                <w:color w:val="auto"/>
              </w:rPr>
            </w:pP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1"/>
        </w:trPr>
        <w:tc>
          <w:tcPr>
            <w:tcW w:w="5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revenue</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11,304</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3"/>
                <w:szCs w:val="13"/>
                <w:color w:val="auto"/>
              </w:rPr>
            </w:pPr>
          </w:p>
        </w:tc>
      </w:tr>
      <w:tr>
        <w:trPr>
          <w:trHeight w:val="151"/>
        </w:trPr>
        <w:tc>
          <w:tcPr>
            <w:tcW w:w="5340" w:type="dxa"/>
            <w:vAlign w:val="bottom"/>
          </w:tcPr>
          <w:p>
            <w:pPr>
              <w:spacing w:after="0"/>
              <w:rPr>
                <w:sz w:val="20"/>
                <w:szCs w:val="20"/>
                <w:color w:val="auto"/>
              </w:rPr>
            </w:pPr>
            <w:r>
              <w:rPr>
                <w:rFonts w:ascii="Times New Roman" w:cs="Times New Roman" w:eastAsia="Times New Roman" w:hAnsi="Times New Roman"/>
                <w:sz w:val="13"/>
                <w:szCs w:val="13"/>
                <w:color w:val="auto"/>
              </w:rPr>
              <w:t>Operating costs and expenses: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34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2"/>
                <w:szCs w:val="12"/>
                <w:color w:val="auto"/>
              </w:rPr>
              <w:t>Cost of product revenue</w:t>
            </w:r>
            <w:r>
              <w:rPr>
                <w:rFonts w:ascii="Times New Roman" w:cs="Times New Roman" w:eastAsia="Times New Roman" w:hAnsi="Times New Roman"/>
                <w:sz w:val="17"/>
                <w:szCs w:val="17"/>
                <w:color w:val="auto"/>
                <w:vertAlign w:val="superscript"/>
              </w:rPr>
              <w:t>(1)</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834</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5340" w:type="dxa"/>
            <w:vAlign w:val="bottom"/>
          </w:tcPr>
          <w:p>
            <w:pPr>
              <w:ind w:left="260"/>
              <w:spacing w:after="0" w:line="152" w:lineRule="exact"/>
              <w:rPr>
                <w:sz w:val="20"/>
                <w:szCs w:val="20"/>
                <w:color w:val="auto"/>
              </w:rPr>
            </w:pPr>
            <w:r>
              <w:rPr>
                <w:rFonts w:ascii="Times New Roman" w:cs="Times New Roman" w:eastAsia="Times New Roman" w:hAnsi="Times New Roman"/>
                <w:sz w:val="12"/>
                <w:szCs w:val="12"/>
                <w:color w:val="auto"/>
              </w:rPr>
              <w:t xml:space="preserve">Research and development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10,641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31,160</w:t>
            </w:r>
          </w:p>
        </w:tc>
      </w:tr>
      <w:tr>
        <w:trPr>
          <w:trHeight w:val="152"/>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16,751</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14,929</w:t>
            </w:r>
          </w:p>
        </w:tc>
      </w:tr>
      <w:tr>
        <w:trPr>
          <w:trHeight w:val="151"/>
        </w:trPr>
        <w:tc>
          <w:tcPr>
            <w:tcW w:w="53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operating costs and expenses</w:t>
            </w: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28,226</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46,089</w:t>
            </w:r>
          </w:p>
        </w:tc>
        <w:tc>
          <w:tcPr>
            <w:tcW w:w="80" w:type="dxa"/>
            <w:vAlign w:val="bottom"/>
          </w:tcPr>
          <w:p>
            <w:pPr>
              <w:spacing w:after="0"/>
              <w:rPr>
                <w:sz w:val="13"/>
                <w:szCs w:val="13"/>
                <w:color w:val="auto"/>
              </w:rPr>
            </w:pPr>
          </w:p>
        </w:tc>
      </w:tr>
      <w:tr>
        <w:trPr>
          <w:trHeight w:val="151"/>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(16,922)</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(46,089)</w:t>
            </w:r>
          </w:p>
        </w:tc>
      </w:tr>
      <w:tr>
        <w:trPr>
          <w:trHeight w:val="151"/>
        </w:trPr>
        <w:tc>
          <w:tcPr>
            <w:tcW w:w="5340" w:type="dxa"/>
            <w:vAlign w:val="bottom"/>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Income, net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633</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2,593</w:t>
            </w:r>
          </w:p>
        </w:tc>
      </w:tr>
      <w:tr>
        <w:trPr>
          <w:trHeight w:val="151"/>
        </w:trPr>
        <w:tc>
          <w:tcPr>
            <w:tcW w:w="53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other income, net</w:t>
            </w: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2,593</w:t>
            </w:r>
          </w:p>
        </w:tc>
        <w:tc>
          <w:tcPr>
            <w:tcW w:w="80" w:type="dxa"/>
            <w:vAlign w:val="bottom"/>
          </w:tcPr>
          <w:p>
            <w:pPr>
              <w:spacing w:after="0"/>
              <w:rPr>
                <w:sz w:val="13"/>
                <w:szCs w:val="13"/>
                <w:color w:val="auto"/>
              </w:rPr>
            </w:pPr>
          </w:p>
        </w:tc>
      </w:tr>
      <w:tr>
        <w:trPr>
          <w:trHeight w:val="151"/>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(16,289)</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(43,496)</w:t>
            </w:r>
          </w:p>
        </w:tc>
      </w:tr>
      <w:tr>
        <w:trPr>
          <w:trHeight w:val="151"/>
        </w:trPr>
        <w:tc>
          <w:tcPr>
            <w:tcW w:w="534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Unrealized (loss) gain, net of tax</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534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loss</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(16,297)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(43,495)</w:t>
            </w:r>
          </w:p>
        </w:tc>
      </w:tr>
      <w:tr>
        <w:trPr>
          <w:trHeight w:val="20"/>
        </w:trPr>
        <w:tc>
          <w:tcPr>
            <w:tcW w:w="5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per share attributable to common stockholders, basic and diluted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(0.14)</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(0.38)</w:t>
            </w:r>
          </w:p>
        </w:tc>
      </w:tr>
      <w:tr>
        <w:trPr>
          <w:trHeight w:val="170"/>
        </w:trPr>
        <w:tc>
          <w:tcPr>
            <w:tcW w:w="5340" w:type="dxa"/>
            <w:vAlign w:val="bottom"/>
          </w:tcPr>
          <w:p>
            <w:pPr>
              <w:spacing w:after="0"/>
              <w:rPr>
                <w:sz w:val="20"/>
                <w:szCs w:val="20"/>
                <w:color w:val="auto"/>
              </w:rPr>
            </w:pPr>
            <w:r>
              <w:rPr>
                <w:rFonts w:ascii="Times New Roman" w:cs="Times New Roman" w:eastAsia="Times New Roman" w:hAnsi="Times New Roman"/>
                <w:sz w:val="13"/>
                <w:szCs w:val="13"/>
                <w:color w:val="auto"/>
              </w:rPr>
              <w:t>Weighted-average common shares outstanding, basic and diluted</w:t>
            </w: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119,883,479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115,618,209</w:t>
            </w:r>
          </w:p>
        </w:tc>
        <w:tc>
          <w:tcPr>
            <w:tcW w:w="80" w:type="dxa"/>
            <w:vAlign w:val="bottom"/>
          </w:tcPr>
          <w:p>
            <w:pPr>
              <w:spacing w:after="0"/>
              <w:rPr>
                <w:sz w:val="14"/>
                <w:szCs w:val="14"/>
                <w:color w:val="auto"/>
              </w:rPr>
            </w:pPr>
          </w:p>
        </w:tc>
      </w:tr>
    </w:tbl>
    <w:p>
      <w:pPr>
        <w:spacing w:after="0" w:line="253" w:lineRule="exact"/>
        <w:rPr>
          <w:sz w:val="20"/>
          <w:szCs w:val="20"/>
          <w:color w:val="auto"/>
        </w:rPr>
      </w:pPr>
    </w:p>
    <w:p>
      <w:pPr>
        <w:ind w:left="940" w:right="979" w:hanging="303"/>
        <w:spacing w:after="0" w:line="253" w:lineRule="auto"/>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related-party amounts of $452 for the three months ended March 31, 2025 and no related-party amounts for the three months ended March 31, 2024.</w:t>
      </w:r>
    </w:p>
    <w:p>
      <w:pPr>
        <w:spacing w:after="0" w:line="1"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related-party amounts of $1,128 and $1,135 for the three months ended March 31, 2025 and 2024, respectively.</w:t>
      </w:r>
    </w:p>
    <w:p>
      <w:pPr>
        <w:sectPr>
          <w:pgSz w:w="11900" w:h="16838" w:orient="portrait"/>
          <w:cols w:equalWidth="0" w:num="1">
            <w:col w:w="9019"/>
          </w:cols>
          <w:pgMar w:left="1440" w:top="229" w:right="1440" w:bottom="1440" w:gutter="0" w:footer="0" w:header="0"/>
        </w:sectPr>
      </w:pPr>
    </w:p>
    <w:bookmarkStart w:id="12" w:name="page13"/>
    <w:bookmarkEnd w:id="12"/>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781"/>
    </w:lvl>
  </w:abstractNum>
  <w:abstractNum w:abstractNumId="7">
    <w:nsid w:val="5BD062C2"/>
    <w:multiLevelType w:val="hybridMultilevel"/>
    <w:lvl w:ilvl="0">
      <w:lvlJc w:val="left"/>
      <w:lvlText w:val="(%1)"/>
      <w:numFmt w:val="decimal"/>
      <w:start w:val="78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2025-05-15T06:17:37Z</dcterms:created>
  <dcterms:modified xsi:type="dcterms:W3CDTF">2025-05-15T06:17:37Z</dcterms:modified>
</cp:coreProperties>
</file>