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6" w:lineRule="exact"/>
        <w:rPr>
          <w:sz w:val="24"/>
          <w:szCs w:val="24"/>
          <w:color w:val="auto"/>
        </w:rPr>
      </w:pPr>
    </w:p>
    <w:p>
      <w:pPr>
        <w:jc w:val="center"/>
        <w:ind w:right="-984"/>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ind w:left="4484"/>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146050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9" w:lineRule="exact"/>
        <w:rPr>
          <w:sz w:val="24"/>
          <w:szCs w:val="24"/>
          <w:color w:val="auto"/>
        </w:rPr>
      </w:pPr>
    </w:p>
    <w:p>
      <w:pPr>
        <w:jc w:val="center"/>
        <w:ind w:right="-984"/>
        <w:spacing w:after="0"/>
        <w:rPr>
          <w:sz w:val="20"/>
          <w:szCs w:val="20"/>
          <w:color w:val="auto"/>
        </w:rPr>
      </w:pPr>
      <w:r>
        <w:rPr>
          <w:rFonts w:ascii="Arial" w:cs="Arial" w:eastAsia="Arial" w:hAnsi="Arial"/>
          <w:sz w:val="29"/>
          <w:szCs w:val="29"/>
          <w:b w:val="1"/>
          <w:bCs w:val="1"/>
          <w:color w:val="auto"/>
        </w:rPr>
        <w:t>SCHEDULE 14A</w:t>
      </w:r>
    </w:p>
    <w:p>
      <w:pPr>
        <w:spacing w:after="0" w:line="121" w:lineRule="exact"/>
        <w:rPr>
          <w:sz w:val="24"/>
          <w:szCs w:val="24"/>
          <w:color w:val="auto"/>
        </w:rPr>
      </w:pPr>
    </w:p>
    <w:p>
      <w:pPr>
        <w:jc w:val="center"/>
        <w:ind w:right="-984"/>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2" w:lineRule="exact"/>
        <w:rPr>
          <w:sz w:val="24"/>
          <w:szCs w:val="24"/>
          <w:color w:val="auto"/>
        </w:rPr>
      </w:pPr>
    </w:p>
    <w:p>
      <w:pPr>
        <w:jc w:val="center"/>
        <w:ind w:right="-984"/>
        <w:spacing w:after="0"/>
        <w:rPr>
          <w:sz w:val="20"/>
          <w:szCs w:val="20"/>
          <w:color w:val="auto"/>
        </w:rPr>
      </w:pPr>
      <w:r>
        <w:rPr>
          <w:rFonts w:ascii="Arial" w:cs="Arial" w:eastAsia="Arial" w:hAnsi="Arial"/>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154305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27"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65"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14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36" w:lineRule="exact"/>
        <w:rPr>
          <w:rFonts w:ascii="MS PGothic" w:cs="MS PGothic" w:eastAsia="MS PGothic" w:hAnsi="MS PGothic"/>
          <w:sz w:val="16"/>
          <w:szCs w:val="16"/>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4" w:lineRule="exact"/>
        <w:rPr>
          <w:rFonts w:ascii="MS PGothic" w:cs="MS PGothic" w:eastAsia="MS PGothic" w:hAnsi="MS PGothic"/>
          <w:sz w:val="16"/>
          <w:szCs w:val="16"/>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40"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40"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95"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Adagio Therapeutics, Inc.</w:t>
      </w:r>
    </w:p>
    <w:p>
      <w:pPr>
        <w:spacing w:after="0" w:line="42" w:lineRule="exact"/>
        <w:rPr>
          <w:sz w:val="24"/>
          <w:szCs w:val="24"/>
          <w:color w:val="auto"/>
        </w:rPr>
      </w:pPr>
    </w:p>
    <w:p>
      <w:pPr>
        <w:ind w:left="3844"/>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09" w:lineRule="exact"/>
        <w:rPr>
          <w:sz w:val="24"/>
          <w:szCs w:val="24"/>
          <w:color w:val="auto"/>
        </w:rPr>
      </w:pPr>
    </w:p>
    <w:p>
      <w:pPr>
        <w:ind w:left="4924"/>
        <w:spacing w:after="0"/>
        <w:rPr>
          <w:sz w:val="20"/>
          <w:szCs w:val="20"/>
          <w:color w:val="auto"/>
        </w:rPr>
      </w:pPr>
      <w:r>
        <w:rPr>
          <w:rFonts w:ascii="Arial" w:cs="Arial" w:eastAsia="Arial" w:hAnsi="Arial"/>
          <w:sz w:val="16"/>
          <w:szCs w:val="16"/>
          <w:b w:val="1"/>
          <w:bCs w:val="1"/>
          <w:color w:val="auto"/>
        </w:rPr>
        <w:t>MITHRIL II LP</w:t>
      </w:r>
    </w:p>
    <w:p>
      <w:pPr>
        <w:spacing w:after="0" w:line="26"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MITHRIL II GP LP</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MITHRIL II UGP LLC</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AJAY ROYAN</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PETER THIEL</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POLARIS VENTURE PARTNERS V, L.P.</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POLARIS VENTURE PARTNERS ENTREPRENEURS’ FUND V, L.P.</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POLARIS VENTURE PARTNERS FOUNDERS’ FUND V, L.P.</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POLARIS VENTURE PARTNERS SPECIAL FOUNDERS’ FUND V, L.P.</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POLARIS PARTNERS IX, L.P.</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POLARIS HEALTHCARE TECHNOLOGY OPPORTUNITIES FUND, L.P.</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POLARIS VENTURE MANAGEMENT CO. V, L.L.C.</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POLARIS PARTNERS GP IX, L.L.C.</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POLARIS HEALTHCARE TECHNOLOGY OPPORTUNITIES FUND GP, L.L.C.</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TERRANCE MCGUIRE</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JONATHAN FLINT</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M28 CAPITAL MANAGEMENT LP</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MARC ELIA</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ADIMAB, LLC</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POPULATION HEALTH EQUITY PARTNERS III, L.P.</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POPULATION HEALTH EQUITY PARTNERS III GP, LLC</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POPULATION HEALTH EQUITY PARTNERS VII, L.P.</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POPULATION HEALTH EQUITY PARTNERS VII GP, LLC</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CLIVE A. MEANWELL, M.B., Ch.B, M.D.</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CHRISTOPHER COX</w:t>
      </w:r>
    </w:p>
    <w:p>
      <w:pPr>
        <w:spacing w:after="0" w:line="19" w:lineRule="exact"/>
        <w:rPr>
          <w:sz w:val="24"/>
          <w:szCs w:val="24"/>
          <w:color w:val="auto"/>
        </w:rPr>
      </w:pPr>
    </w:p>
    <w:p>
      <w:pPr>
        <w:jc w:val="center"/>
        <w:ind w:right="-984"/>
        <w:spacing w:after="0"/>
        <w:rPr>
          <w:sz w:val="20"/>
          <w:szCs w:val="20"/>
          <w:color w:val="auto"/>
        </w:rPr>
      </w:pPr>
      <w:r>
        <w:rPr>
          <w:rFonts w:ascii="Arial" w:cs="Arial" w:eastAsia="Arial" w:hAnsi="Arial"/>
          <w:sz w:val="16"/>
          <w:szCs w:val="16"/>
          <w:b w:val="1"/>
          <w:bCs w:val="1"/>
          <w:color w:val="auto"/>
        </w:rPr>
        <w:t>TAMSIN BERRY</w:t>
      </w:r>
    </w:p>
    <w:p>
      <w:pPr>
        <w:spacing w:after="0" w:line="78" w:lineRule="exact"/>
        <w:rPr>
          <w:sz w:val="24"/>
          <w:szCs w:val="24"/>
          <w:color w:val="auto"/>
        </w:rPr>
      </w:pPr>
    </w:p>
    <w:p>
      <w:pPr>
        <w:ind w:left="3024"/>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31"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all boxes that apply):</w:t>
      </w:r>
    </w:p>
    <w:p>
      <w:pPr>
        <w:spacing w:after="0" w:line="140"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40"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40" w:lineRule="exact"/>
        <w:rPr>
          <w:rFonts w:ascii="MS PGothic" w:cs="MS PGothic" w:eastAsia="MS PGothic" w:hAnsi="MS PGothic"/>
          <w:sz w:val="16"/>
          <w:szCs w:val="16"/>
          <w:color w:val="auto"/>
        </w:rPr>
      </w:pPr>
    </w:p>
    <w:p>
      <w:pPr>
        <w:ind w:left="424" w:hanging="424"/>
        <w:spacing w:after="0"/>
        <w:tabs>
          <w:tab w:leader="none" w:pos="42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146685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418" w:right="1440"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2022 ANNUAL MEETING OF STOCKHOLDERS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ADAGIO THERAPEUTICS, INC.</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SUPPLEMENT DATED JUNE 3, 2022 TO THE PROXY STATEMENT</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MITHRIL II LP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MITHRIL II GP LP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MITHRIL II UGP LLC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AJAY ROYAN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PETER THIEL</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POLARIS VENTURE PARTNERS V, L.P.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POLARIS VENTURE PARTNERS ENTREPRENEURS’ FUND V, L.P.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POLARIS VENTURE PARTNERS FOUNDERS’ FUND V, L.P.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POLARIS VENTURE PARTNERS SPECIAL FOUNDERS’ FUND V, L.P.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POLARIS PARTNERS IX, L.P.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POLARIS HEALTHCARE TECHNOLOGY OPPORTUNITIES FUND, L.P.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POLARIS VENTURE MANAGEMENT CO. V, L.L.C.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POLARIS PARTNERS GP IX, L.L.C.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POLARIS HEALTHCARE TECHNOLOGY OPPORTUNITIES FUND GP, L.L.C.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TERRANCE MCGUIRE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JONATHAN FLINT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M28 CAPITAL MANAGEMENT LP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MARC ELIA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ADIMAB, LLC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POPULATION HEALTH EQUITY PARTNERS III, L.P.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POPULATION HEALTH EQUITY PARTNERS III GP, LLC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POPULATION HEALTH EQUITY PARTNERS VII, L.P.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POPULATION HEALTH EQUITY PARTNERS VII GP, LLC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CLIVE A. MEANWELL, M.B., Ch.B, M.D.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CHRISTOPHER COX</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TAMSIN BERRY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DATED APRIL 29, 2022</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This supplement (the “</w:t>
      </w:r>
      <w:r>
        <w:rPr>
          <w:rFonts w:ascii="Arial" w:cs="Arial" w:eastAsia="Arial" w:hAnsi="Arial"/>
          <w:sz w:val="17"/>
          <w:szCs w:val="17"/>
          <w:b w:val="1"/>
          <w:bCs w:val="1"/>
          <w:color w:val="auto"/>
        </w:rPr>
        <w:t>Supplement</w:t>
      </w:r>
      <w:r>
        <w:rPr>
          <w:rFonts w:ascii="Arial" w:cs="Arial" w:eastAsia="Arial" w:hAnsi="Arial"/>
          <w:sz w:val="17"/>
          <w:szCs w:val="17"/>
          <w:color w:val="auto"/>
        </w:rPr>
        <w:t>”), dated June 3, 2022, to the definitive proxy statement filed by Mithril II, LP, Mithril II GP LP, Mithril II UGP</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LLC, Ajay Royan, Peter Thiel (all of the forgoing persons, collectively, “</w:t>
      </w:r>
      <w:r>
        <w:rPr>
          <w:rFonts w:ascii="Arial" w:cs="Arial" w:eastAsia="Arial" w:hAnsi="Arial"/>
          <w:sz w:val="17"/>
          <w:szCs w:val="17"/>
          <w:b w:val="1"/>
          <w:bCs w:val="1"/>
          <w:color w:val="auto"/>
        </w:rPr>
        <w:t>Mithril</w:t>
      </w:r>
      <w:r>
        <w:rPr>
          <w:rFonts w:ascii="Arial" w:cs="Arial" w:eastAsia="Arial" w:hAnsi="Arial"/>
          <w:sz w:val="17"/>
          <w:szCs w:val="17"/>
          <w:color w:val="auto"/>
        </w:rPr>
        <w:t>”), Polaris Venture Partners V, L.P., Polaris Venture Partners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Entrepreneurs’ Fund V, L.P., Polaris Venture Partners Founders’ Fund V, L.P., Polaris Venture Partners Special Founders’ Fund V, L.P., Polaris Partners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IX, L.P., Polaris Healthcare Technology Opportunities Fund, L.P., Polaris Venture Management Co. V, L.L.C., Polaris Partners GP IX, L.L.C., Polaris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Healthcare Technology Opportunities Fund GP, L.L.C., Terrance McGuire, Jonathan Flint, M28 Capital Management, LP, Marc Elia, Adimab, LLC,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Population Health Equity Partners III, L.P., Population Health Equity Partners III GP, LLC, Population Health Equity Partners VII, L.P., Population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Health Equity Partners VII GP, LLC, Christopher Cox, Clive A. Meanwell and Tamsin Berry (all of the forgoing persons, together with Mithril,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Participants</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on April 29, 2022 (our “</w:t>
      </w:r>
      <w:r>
        <w:rPr>
          <w:rFonts w:ascii="Arial" w:cs="Arial" w:eastAsia="Arial" w:hAnsi="Arial"/>
          <w:sz w:val="16"/>
          <w:szCs w:val="16"/>
          <w:b w:val="1"/>
          <w:bCs w:val="1"/>
          <w:color w:val="auto"/>
        </w:rPr>
        <w:t>Proxy Statement</w:t>
      </w:r>
      <w:r>
        <w:rPr>
          <w:rFonts w:ascii="Arial" w:cs="Arial" w:eastAsia="Arial" w:hAnsi="Arial"/>
          <w:sz w:val="16"/>
          <w:szCs w:val="16"/>
          <w:color w:val="auto"/>
        </w:rPr>
        <w:t xml:space="preserve">”), and the </w:t>
      </w:r>
      <w:r>
        <w:rPr>
          <w:rFonts w:ascii="Arial" w:cs="Arial" w:eastAsia="Arial" w:hAnsi="Arial"/>
          <w:sz w:val="16"/>
          <w:szCs w:val="16"/>
          <w:b w:val="1"/>
          <w:bCs w:val="1"/>
          <w:i w:val="1"/>
          <w:iCs w:val="1"/>
          <w:color w:val="auto"/>
        </w:rPr>
        <w:t>WHITE</w:t>
      </w:r>
      <w:r>
        <w:rPr>
          <w:rFonts w:ascii="Arial" w:cs="Arial" w:eastAsia="Arial" w:hAnsi="Arial"/>
          <w:sz w:val="16"/>
          <w:szCs w:val="16"/>
          <w:color w:val="auto"/>
        </w:rPr>
        <w:t xml:space="preserve"> proxy card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accompanying this Supplement, are being furnished to stockholders of Adagio Therapeutics, Inc., a Delaware corporation (“</w:t>
      </w:r>
      <w:r>
        <w:rPr>
          <w:rFonts w:ascii="Arial" w:cs="Arial" w:eastAsia="Arial" w:hAnsi="Arial"/>
          <w:sz w:val="17"/>
          <w:szCs w:val="17"/>
          <w:b w:val="1"/>
          <w:bCs w:val="1"/>
          <w:color w:val="auto"/>
        </w:rPr>
        <w:t>Adagio</w:t>
      </w:r>
      <w:r>
        <w:rPr>
          <w:rFonts w:ascii="Arial" w:cs="Arial" w:eastAsia="Arial" w:hAnsi="Arial"/>
          <w:sz w:val="17"/>
          <w:szCs w:val="17"/>
          <w:color w:val="auto"/>
        </w:rPr>
        <w:t>” or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by Mithril in connection with the 2022 annual meeting of stockholders of the Company (including any and all adjournments,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postponements, continuations or reschedulings thereof, or any other meetings of stockholders of the Company held in lieu thereof, the “</w:t>
      </w:r>
      <w:r>
        <w:rPr>
          <w:rFonts w:ascii="Arial" w:cs="Arial" w:eastAsia="Arial" w:hAnsi="Arial"/>
          <w:sz w:val="16"/>
          <w:szCs w:val="16"/>
          <w:b w:val="1"/>
          <w:bCs w:val="1"/>
          <w:color w:val="auto"/>
        </w:rPr>
        <w:t>2022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w:t>
      </w:r>
      <w:r>
        <w:rPr>
          <w:rFonts w:ascii="Arial" w:cs="Arial" w:eastAsia="Arial" w:hAnsi="Arial"/>
          <w:sz w:val="16"/>
          <w:szCs w:val="16"/>
          <w:color w:val="auto"/>
        </w:rPr>
        <w:t>”), currently scheduled to be held in person on June 22, 2022, at 8:30 a.m. Eastern Time, at the offices of WilmerHale, 60 State Street, Boston,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Massachusetts. The Company has set June 2, 2022 (the “</w:t>
      </w:r>
      <w:r>
        <w:rPr>
          <w:rFonts w:ascii="Arial" w:cs="Arial" w:eastAsia="Arial" w:hAnsi="Arial"/>
          <w:sz w:val="16"/>
          <w:szCs w:val="16"/>
          <w:b w:val="1"/>
          <w:bCs w:val="1"/>
          <w:color w:val="auto"/>
        </w:rPr>
        <w:t>Record Date</w:t>
      </w:r>
      <w:r>
        <w:rPr>
          <w:rFonts w:ascii="Arial" w:cs="Arial" w:eastAsia="Arial" w:hAnsi="Arial"/>
          <w:sz w:val="16"/>
          <w:szCs w:val="16"/>
          <w:color w:val="auto"/>
        </w:rPr>
        <w:t>”) as the new record date for determining stockholders entitled to notice of and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vote their shares of the Company’s common stock (the “</w:t>
      </w:r>
      <w:r>
        <w:rPr>
          <w:rFonts w:ascii="Arial" w:cs="Arial" w:eastAsia="Arial" w:hAnsi="Arial"/>
          <w:sz w:val="18"/>
          <w:szCs w:val="18"/>
          <w:b w:val="1"/>
          <w:bCs w:val="1"/>
          <w:color w:val="auto"/>
        </w:rPr>
        <w:t>Common Stock</w:t>
      </w:r>
      <w:r>
        <w:rPr>
          <w:rFonts w:ascii="Arial" w:cs="Arial" w:eastAsia="Arial" w:hAnsi="Arial"/>
          <w:sz w:val="18"/>
          <w:szCs w:val="18"/>
          <w:color w:val="auto"/>
        </w:rPr>
        <w:t>”) at the 2022 Annual Meeting.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SOLICITATION IS BEING MADE BY THE PARTICIPANTS AND NOT ON BEHALF OF THE ADAGIO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Supplement is dated June 3, 2022 and is first being provided to stockholders on or about June 3, 2022.</w:t>
      </w:r>
    </w:p>
    <w:p>
      <w:pPr>
        <w:sectPr>
          <w:pgSz w:w="11900" w:h="16838" w:orient="portrait"/>
          <w:cols w:equalWidth="0" w:num="1">
            <w:col w:w="10920"/>
          </w:cols>
          <w:pgMar w:left="440" w:top="270" w:right="539" w:bottom="1440" w:gutter="0" w:footer="0" w:header="0"/>
        </w:sectPr>
      </w:pPr>
    </w:p>
    <w:bookmarkStart w:id="2" w:name="page3"/>
    <w:bookmarkEnd w:id="2"/>
    <w:p>
      <w:pPr>
        <w:ind w:right="20"/>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June 2, 2022, the Company filed its definitive information statement for the 2022 Annual Meeting (the “</w:t>
      </w:r>
      <w:r>
        <w:rPr>
          <w:rFonts w:ascii="Arial" w:cs="Arial" w:eastAsia="Arial" w:hAnsi="Arial"/>
          <w:sz w:val="16"/>
          <w:szCs w:val="16"/>
          <w:b w:val="1"/>
          <w:bCs w:val="1"/>
          <w:color w:val="auto"/>
        </w:rPr>
        <w:t>Company Information Statement</w:t>
      </w:r>
      <w:r>
        <w:rPr>
          <w:rFonts w:ascii="Arial" w:cs="Arial" w:eastAsia="Arial" w:hAnsi="Arial"/>
          <w:sz w:val="16"/>
          <w:szCs w:val="16"/>
          <w:color w:val="auto"/>
        </w:rPr>
        <w:t>”) with the SEC. Accordingly, we are hereby supplementing our Proxy Statement with certain information from the Company Information Statement, which had not been publicly available at the time we filed our Proxy Statement, and certain updates to the information contained in our Proxy Statement.</w:t>
      </w:r>
    </w:p>
    <w:p>
      <w:pPr>
        <w:spacing w:after="0" w:line="14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All references in the Proxy Statement to the “Record Date” shall hereafter be deemed to refer to the Record Date as defined in this Supplement, which is June 2, 2022. The Company has disclosed that as of the Record Date, there were 109,740,173 shares of Common Stock outstanding and entitled to vote at the 2022 Annual Meeting. Each share of Common Stock outstanding as of the Record Date is entitled to one vote on all matters presented at the 2022 Annual Meeting.</w:t>
      </w:r>
    </w:p>
    <w:p>
      <w:pPr>
        <w:spacing w:after="0" w:line="183" w:lineRule="exact"/>
        <w:rPr>
          <w:sz w:val="20"/>
          <w:szCs w:val="20"/>
          <w:color w:val="auto"/>
        </w:rPr>
      </w:pPr>
    </w:p>
    <w:p>
      <w:pPr>
        <w:jc w:val="both"/>
        <w:ind w:right="40"/>
        <w:spacing w:after="0" w:line="312" w:lineRule="auto"/>
        <w:rPr>
          <w:sz w:val="20"/>
          <w:szCs w:val="20"/>
          <w:color w:val="auto"/>
        </w:rPr>
      </w:pPr>
      <w:r>
        <w:rPr>
          <w:rFonts w:ascii="Arial" w:cs="Arial" w:eastAsia="Arial" w:hAnsi="Arial"/>
          <w:sz w:val="17"/>
          <w:szCs w:val="17"/>
          <w:color w:val="auto"/>
        </w:rPr>
        <w:t>We continue to seek your support at the 2022 Annual Meeting with respect to the following proposals (the “</w:t>
      </w:r>
      <w:r>
        <w:rPr>
          <w:rFonts w:ascii="Arial" w:cs="Arial" w:eastAsia="Arial" w:hAnsi="Arial"/>
          <w:sz w:val="17"/>
          <w:szCs w:val="17"/>
          <w:b w:val="1"/>
          <w:bCs w:val="1"/>
          <w:color w:val="auto"/>
        </w:rPr>
        <w:t>Proposals</w:t>
      </w:r>
      <w:r>
        <w:rPr>
          <w:rFonts w:ascii="Arial" w:cs="Arial" w:eastAsia="Arial" w:hAnsi="Arial"/>
          <w:sz w:val="17"/>
          <w:szCs w:val="17"/>
          <w:color w:val="auto"/>
        </w:rPr>
        <w:t>”), which are more fully described in the Proxy Statement, and recommend that you vote your shares of Common Stock held on the Record Date as indicated below:</w:t>
      </w:r>
    </w:p>
    <w:p>
      <w:pPr>
        <w:spacing w:after="0" w:line="45" w:lineRule="exact"/>
        <w:rPr>
          <w:sz w:val="20"/>
          <w:szCs w:val="20"/>
          <w:color w:val="auto"/>
        </w:rPr>
      </w:pPr>
    </w:p>
    <w:p>
      <w:pPr>
        <w:jc w:val="both"/>
        <w:ind w:left="420" w:right="40" w:hanging="208"/>
        <w:spacing w:after="0" w:line="261"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 ALL</w:t>
      </w:r>
      <w:r>
        <w:rPr>
          <w:rFonts w:ascii="Arial" w:cs="Arial" w:eastAsia="Arial" w:hAnsi="Arial"/>
          <w:sz w:val="18"/>
          <w:szCs w:val="18"/>
          <w:color w:val="auto"/>
        </w:rPr>
        <w:t>” of Tamsin Berry, Marc Elia and Clive A. Meanwell to be elected to serve as Class I members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until the 2025 annual meeting of stockholders (including any and all adjournments, postponements, continuations or reschedulings thereof, or any other meeting of stockholders held in lieu thereof, the “</w:t>
      </w:r>
      <w:r>
        <w:rPr>
          <w:rFonts w:ascii="Arial" w:cs="Arial" w:eastAsia="Arial" w:hAnsi="Arial"/>
          <w:sz w:val="18"/>
          <w:szCs w:val="18"/>
          <w:b w:val="1"/>
          <w:bCs w:val="1"/>
          <w:color w:val="auto"/>
        </w:rPr>
        <w:t>2025 Annual Meeting</w:t>
      </w:r>
      <w:r>
        <w:rPr>
          <w:rFonts w:ascii="Arial" w:cs="Arial" w:eastAsia="Arial" w:hAnsi="Arial"/>
          <w:sz w:val="18"/>
          <w:szCs w:val="18"/>
          <w:color w:val="auto"/>
        </w:rPr>
        <w:t>”) or until their respective successors are duly elected and qualified (the “</w:t>
      </w:r>
      <w:r>
        <w:rPr>
          <w:rFonts w:ascii="Arial" w:cs="Arial" w:eastAsia="Arial" w:hAnsi="Arial"/>
          <w:sz w:val="18"/>
          <w:szCs w:val="18"/>
          <w:b w:val="1"/>
          <w:bCs w:val="1"/>
          <w:color w:val="auto"/>
        </w:rPr>
        <w:t>Nomination Proposal</w:t>
      </w:r>
      <w:r>
        <w:rPr>
          <w:rFonts w:ascii="Arial" w:cs="Arial" w:eastAsia="Arial" w:hAnsi="Arial"/>
          <w:sz w:val="18"/>
          <w:szCs w:val="18"/>
          <w:color w:val="auto"/>
        </w:rPr>
        <w:t>”); and</w:t>
      </w:r>
    </w:p>
    <w:p>
      <w:pPr>
        <w:spacing w:after="0" w:line="85" w:lineRule="exact"/>
        <w:rPr>
          <w:rFonts w:ascii="Arial" w:cs="Arial" w:eastAsia="Arial" w:hAnsi="Arial"/>
          <w:sz w:val="18"/>
          <w:szCs w:val="18"/>
          <w:color w:val="auto"/>
        </w:rPr>
      </w:pPr>
    </w:p>
    <w:p>
      <w:pPr>
        <w:ind w:left="420" w:right="40" w:hanging="208"/>
        <w:spacing w:after="0" w:line="266"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adoption of a non-binding, advisory resolution requesting that the Board take all necessary steps to eliminate the classification of the Board in advance of the 2023 Annual Meeting, and thereby require that all directors be elected on an annual basis at the 2023 Annual Meeting and thereafter (the “</w:t>
      </w:r>
      <w:r>
        <w:rPr>
          <w:rFonts w:ascii="Arial" w:cs="Arial" w:eastAsia="Arial" w:hAnsi="Arial"/>
          <w:sz w:val="18"/>
          <w:szCs w:val="18"/>
          <w:b w:val="1"/>
          <w:bCs w:val="1"/>
          <w:color w:val="auto"/>
        </w:rPr>
        <w:t>Declassification Proposal</w:t>
      </w:r>
      <w:r>
        <w:rPr>
          <w:rFonts w:ascii="Arial" w:cs="Arial" w:eastAsia="Arial" w:hAnsi="Arial"/>
          <w:sz w:val="18"/>
          <w:szCs w:val="18"/>
          <w:color w:val="auto"/>
        </w:rPr>
        <w:t>”).</w:t>
      </w:r>
    </w:p>
    <w:p>
      <w:pPr>
        <w:spacing w:after="0" w:line="18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continue to believe that substantial change is necessary for the Company to achieve its full potential, that this change must begin at the Board level and that our Nominees, who are leading experts in their field, will be experienced voices on the Board that are able to provide fresh thinking, strong execution skills, greater stockholder alignment and strong clinical, management and financial expertise. We also continue to believe that a declassified Board would bring greater accountability to the Board and better align the Board with the interests of stockholders, and that the approval of the Declassification Proposal would send a strong signal to the Board that stockholders are supportive of a more stockholder-centric corporate governance framework.</w:t>
      </w:r>
    </w:p>
    <w:p>
      <w:pPr>
        <w:spacing w:after="0" w:line="29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IF YOU HAVE ALREADY SUBMITTED A </w:t>
      </w:r>
      <w:r>
        <w:rPr>
          <w:rFonts w:ascii="Arial" w:cs="Arial" w:eastAsia="Arial" w:hAnsi="Arial"/>
          <w:sz w:val="18"/>
          <w:szCs w:val="18"/>
          <w:b w:val="1"/>
          <w:bCs w:val="1"/>
          <w:i w:val="1"/>
          <w:iCs w:val="1"/>
          <w:color w:val="auto"/>
        </w:rPr>
        <w:t>WHITE</w:t>
      </w:r>
      <w:r>
        <w:rPr>
          <w:rFonts w:ascii="Arial" w:cs="Arial" w:eastAsia="Arial" w:hAnsi="Arial"/>
          <w:sz w:val="18"/>
          <w:szCs w:val="18"/>
          <w:b w:val="1"/>
          <w:bCs w:val="1"/>
          <w:color w:val="auto"/>
        </w:rPr>
        <w:t xml:space="preserve"> PROXY CARD AND YOU DO NOT WISH TO CHANGE YOUR VOTE, THEN YOU DO NOT HAVE TO TAKE ANY FURTHER ACTION. YOUR PREVIOUSLY SUBMITTED </w:t>
      </w:r>
      <w:r>
        <w:rPr>
          <w:rFonts w:ascii="Arial" w:cs="Arial" w:eastAsia="Arial" w:hAnsi="Arial"/>
          <w:sz w:val="18"/>
          <w:szCs w:val="18"/>
          <w:b w:val="1"/>
          <w:bCs w:val="1"/>
          <w:i w:val="1"/>
          <w:iCs w:val="1"/>
          <w:color w:val="auto"/>
        </w:rPr>
        <w:t>WHITE</w:t>
      </w:r>
      <w:r>
        <w:rPr>
          <w:rFonts w:ascii="Arial" w:cs="Arial" w:eastAsia="Arial" w:hAnsi="Arial"/>
          <w:sz w:val="18"/>
          <w:szCs w:val="18"/>
          <w:b w:val="1"/>
          <w:bCs w:val="1"/>
          <w:color w:val="auto"/>
        </w:rPr>
        <w:t xml:space="preserve"> PROXY CARD REMAINS VALID AND WILL BE VOTED AT THE 2022 ANNUAL MEETING AS STATED THEREON WITH RESPECT TO THE SHARES YOU HOLD IN YOUR OWN NAME AS OF THE RECORD DATE.</w:t>
      </w:r>
    </w:p>
    <w:p>
      <w:pPr>
        <w:spacing w:after="0" w:line="7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As previously disclosed, Mithril and each of the Participants that are Company stockholders have agreed to vote all of their respective shares of Common Stock held as of the Record Date, “</w:t>
      </w:r>
      <w:r>
        <w:rPr>
          <w:rFonts w:ascii="Arial" w:cs="Arial" w:eastAsia="Arial" w:hAnsi="Arial"/>
          <w:sz w:val="17"/>
          <w:szCs w:val="17"/>
          <w:b w:val="1"/>
          <w:bCs w:val="1"/>
          <w:color w:val="auto"/>
        </w:rPr>
        <w:t>FOR ALL</w:t>
      </w:r>
      <w:r>
        <w:rPr>
          <w:rFonts w:ascii="Arial" w:cs="Arial" w:eastAsia="Arial" w:hAnsi="Arial"/>
          <w:sz w:val="17"/>
          <w:szCs w:val="17"/>
          <w:color w:val="auto"/>
        </w:rPr>
        <w:t>” of Tamsin Berry, Marc Elia and Clive A. Meanwell to be elected to serve as Class I members of the Board and “</w:t>
      </w:r>
      <w:r>
        <w:rPr>
          <w:rFonts w:ascii="Arial" w:cs="Arial" w:eastAsia="Arial" w:hAnsi="Arial"/>
          <w:sz w:val="17"/>
          <w:szCs w:val="17"/>
          <w:b w:val="1"/>
          <w:bCs w:val="1"/>
          <w:color w:val="auto"/>
        </w:rPr>
        <w:t>FOR</w:t>
      </w:r>
      <w:r>
        <w:rPr>
          <w:rFonts w:ascii="Arial" w:cs="Arial" w:eastAsia="Arial" w:hAnsi="Arial"/>
          <w:sz w:val="17"/>
          <w:szCs w:val="17"/>
          <w:color w:val="auto"/>
        </w:rPr>
        <w:t>” the Declassification Proposal. As of the Record Date, the Participants collectively beneficially owned 54,061,113 shares of Common Stock, constituting approximately 49.3% of the shares of Common Stock outstanding on the Record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Supplement should be read in together with our Proxy Statement, which is being provided to you with this Supplement.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May 19, 2022, the Company filed a Current Report on Form 8-K announcing that the Company was postponing the 2022 Annual Meeting, which had originally been scheduled for May 26, 2022, and that the Company would set a new record date.</w:t>
      </w:r>
    </w:p>
    <w:p>
      <w:pPr>
        <w:spacing w:after="0" w:line="17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On June 2, 2022, the Company filed the Company Information Statement, disclosing that the Annual Meeting will be held on June 22, 2022 and that the new record date for the 2022 Annual Meeting (which had previously been set as March 29, 2022) would be June 2, 2022. The Company Information Statement also states that (i) the Company is not nominating any candidates for election to the Board at the 2022 Annual Meeting, (ii) the Board</w:t>
      </w:r>
    </w:p>
    <w:p>
      <w:pPr>
        <w:sectPr>
          <w:pgSz w:w="11900" w:h="16838" w:orient="portrait"/>
          <w:cols w:equalWidth="0" w:num="1">
            <w:col w:w="11020"/>
          </w:cols>
          <w:pgMar w:left="440" w:top="270" w:right="439" w:bottom="1440" w:gutter="0" w:footer="0" w:header="0"/>
        </w:sectPr>
      </w:pPr>
    </w:p>
    <w:bookmarkStart w:id="3" w:name="page4"/>
    <w:bookmarkEnd w:id="3"/>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not making a recommendation as to how stockholders should vote on the Proposals and (iii) that the Company will not be soliciting any proxies in connection with the 2022 Annual Meeting. Between the date of the Proxy Statement and the date of this Supplement, the Participants have continued to seek an agreement with the Company with respect to the Proposals, including by proposing that the Nominees be appointed to the Board in advance of the 2022 Annual Meeting as a result of the postponement of the 2022 Annual Meeting. However, as of the date of this Supplement, the Participants and the Company have not been able to reach such an agreement.</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three Nominees are currently the only candidates for election to the Board as Class I directors. The Class I directors elected at the 2022 Annual Meeting are expected to serve until the 2025 annual meeting of stockholders or until their respective successors are duly elected and qualified. The Declassification Proposal is the only other item of business to be presented for stockholder approval of which we are aware as of the date of this Supplement.</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VOTING INFORMATION</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Since the Company has disclosed that it is not soliciting any proxies from stockholders in connection with the 2022 Annual Meeting and, as of the date hereof, no other person other than the Participants has publicly indicated an intention to solicit proxies from stockholders in connection with the 2022 Annual Meeting, as of the date hereof, stockholders holding shares of Common Stock of record in their own name that wish to cast their votes at the 2022 Annual Meeting will be able to do so only by (i) submitting a </w:t>
      </w:r>
      <w:r>
        <w:rPr>
          <w:rFonts w:ascii="Arial" w:cs="Arial" w:eastAsia="Arial" w:hAnsi="Arial"/>
          <w:sz w:val="17"/>
          <w:szCs w:val="17"/>
          <w:b w:val="1"/>
          <w:bCs w:val="1"/>
          <w:i w:val="1"/>
          <w:iCs w:val="1"/>
          <w:color w:val="auto"/>
        </w:rPr>
        <w:t>WHITE</w:t>
      </w:r>
      <w:r>
        <w:rPr>
          <w:rFonts w:ascii="Arial" w:cs="Arial" w:eastAsia="Arial" w:hAnsi="Arial"/>
          <w:sz w:val="17"/>
          <w:szCs w:val="17"/>
          <w:color w:val="auto"/>
        </w:rPr>
        <w:t xml:space="preserve"> proxy card or by instructing us how you would like your shares to be voted via telephone or Internet (instructions are on the </w:t>
      </w:r>
      <w:r>
        <w:rPr>
          <w:rFonts w:ascii="Arial" w:cs="Arial" w:eastAsia="Arial" w:hAnsi="Arial"/>
          <w:sz w:val="17"/>
          <w:szCs w:val="17"/>
          <w:b w:val="1"/>
          <w:bCs w:val="1"/>
          <w:i w:val="1"/>
          <w:iCs w:val="1"/>
          <w:color w:val="auto"/>
        </w:rPr>
        <w:t>WHITE</w:t>
      </w:r>
      <w:r>
        <w:rPr>
          <w:rFonts w:ascii="Arial" w:cs="Arial" w:eastAsia="Arial" w:hAnsi="Arial"/>
          <w:sz w:val="17"/>
          <w:szCs w:val="17"/>
          <w:color w:val="auto"/>
        </w:rPr>
        <w:t xml:space="preserve"> proxy card), or (ii) by attending the 2022 Annual Meeting in person. The procedures for attending the 2022 Annual Meeting in person are described in the Company Information Statement.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Changed Record Date on Proxies Previously Submitted by Holders of Record</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If you hold shares of Common Stock “of record” (which means your shares are registered directly in your name with the Company’s transfer agent or you have a physical stock certificate) as of the new Record Date, have already submitted voting instructions on or pursuant to a </w:t>
      </w:r>
      <w:r>
        <w:rPr>
          <w:rFonts w:ascii="Arial" w:cs="Arial" w:eastAsia="Arial" w:hAnsi="Arial"/>
          <w:sz w:val="16"/>
          <w:szCs w:val="16"/>
          <w:b w:val="1"/>
          <w:bCs w:val="1"/>
          <w:i w:val="1"/>
          <w:iCs w:val="1"/>
          <w:color w:val="auto"/>
        </w:rPr>
        <w:t>WHITE</w:t>
      </w:r>
      <w:r>
        <w:rPr>
          <w:rFonts w:ascii="Arial" w:cs="Arial" w:eastAsia="Arial" w:hAnsi="Arial"/>
          <w:sz w:val="16"/>
          <w:szCs w:val="16"/>
          <w:color w:val="auto"/>
        </w:rPr>
        <w:t xml:space="preserve"> proxy card (by mailing the proxy card or by telephone or Internet) and do not wish to change your vote, no further action is needed. Your previously submitted </w:t>
      </w:r>
      <w:r>
        <w:rPr>
          <w:rFonts w:ascii="Arial" w:cs="Arial" w:eastAsia="Arial" w:hAnsi="Arial"/>
          <w:sz w:val="16"/>
          <w:szCs w:val="16"/>
          <w:b w:val="1"/>
          <w:bCs w:val="1"/>
          <w:i w:val="1"/>
          <w:iCs w:val="1"/>
          <w:color w:val="auto"/>
        </w:rPr>
        <w:t>WHITE</w:t>
      </w:r>
      <w:r>
        <w:rPr>
          <w:rFonts w:ascii="Arial" w:cs="Arial" w:eastAsia="Arial" w:hAnsi="Arial"/>
          <w:sz w:val="16"/>
          <w:szCs w:val="16"/>
          <w:color w:val="auto"/>
        </w:rPr>
        <w:t xml:space="preserve"> proxy card (or telephone or Internet voting instructions, as applicable) remains valid and will be voted at the 2022 Annual Meeting as you have instructed with respect to the shares of Common Stock you held of record as of the new Record Date, which is June 2, 2022.</w:t>
      </w:r>
    </w:p>
    <w:p>
      <w:pPr>
        <w:spacing w:after="0" w:line="15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Please note that, if you held of record a greater or lesser number of shares of Common Stock as of the new Record Date, as compared to the prior record date of March 29, 2022, and you take no further action, your previously submitted voting instructions will be used to vote that greater or lesser number of shares of Common Stock so held as of the June 2, 2022 Record Date. </w:t>
      </w:r>
      <w:r>
        <w:rPr>
          <w:rFonts w:ascii="Arial" w:cs="Arial" w:eastAsia="Arial" w:hAnsi="Arial"/>
          <w:sz w:val="17"/>
          <w:szCs w:val="17"/>
          <w:color w:val="auto"/>
        </w:rPr>
        <w:t>For example, if you have already submitted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voting instructions on or pursuant to a </w:t>
      </w:r>
      <w:r>
        <w:rPr>
          <w:rFonts w:ascii="Arial" w:cs="Arial" w:eastAsia="Arial" w:hAnsi="Arial"/>
          <w:sz w:val="17"/>
          <w:szCs w:val="17"/>
          <w:b w:val="1"/>
          <w:bCs w:val="1"/>
          <w:i w:val="1"/>
          <w:iCs w:val="1"/>
          <w:color w:val="auto"/>
        </w:rPr>
        <w:t>WHITE</w:t>
      </w:r>
      <w:r>
        <w:rPr>
          <w:rFonts w:ascii="Arial" w:cs="Arial" w:eastAsia="Arial" w:hAnsi="Arial"/>
          <w:sz w:val="17"/>
          <w:szCs w:val="17"/>
          <w:color w:val="auto"/>
        </w:rPr>
        <w:t xml:space="preserve"> proxy card and held of record 100 shares of Common Stock as of the original March 29, 2022 record date, and held of record 150 shares of Common Stock as of the new June 2, 2022 Record Date, all 150 shares of Common Stock that you held of record as of the new June 2, 2022 Record Date will be voted in accordance with your previously submitted voting instructions if you take no further action. Similarly, if you have already submitted voting instructions on or pursuant to a </w:t>
      </w:r>
      <w:r>
        <w:rPr>
          <w:rFonts w:ascii="Arial" w:cs="Arial" w:eastAsia="Arial" w:hAnsi="Arial"/>
          <w:sz w:val="17"/>
          <w:szCs w:val="17"/>
          <w:b w:val="1"/>
          <w:bCs w:val="1"/>
          <w:i w:val="1"/>
          <w:iCs w:val="1"/>
          <w:color w:val="auto"/>
        </w:rPr>
        <w:t>WHITE</w:t>
      </w:r>
      <w:r>
        <w:rPr>
          <w:rFonts w:ascii="Arial" w:cs="Arial" w:eastAsia="Arial" w:hAnsi="Arial"/>
          <w:sz w:val="17"/>
          <w:szCs w:val="17"/>
          <w:color w:val="auto"/>
        </w:rPr>
        <w:t xml:space="preserve"> proxy card and held of record 100 shares of Common Stock as of the original March 29, 2022 record date, and held of record 50 shares as of the new June 2, 2022 Record Date, and take no further action, only the 50 shares of Common Stock you held of record as of the new June 2, 2022 Record Date will be voted in accordance with your previously submitted voting instructions.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May Vote Your Shares, or Revoke or Change an Earlier-Submitted Proxy if You Are a Holder of Record</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If you hold shares of Common Stock of record as of the new Record Date, have already submitted voting instructions on or pursuant to a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and you wish to change your vote, you may do so by (i) signing, dating and returning a later-dated proxy card in the postage-paid envelope provided (or submitting new voting instructions by telephone or Internet pursuant to a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(ii) delivering to the Secretary or any other officer of the Company a written notice of revocation at 1601 Trapelo Road, Suite 178, Waltham, Massachusetts 02451 or (iii) attending the 2022 Annual Meeting and voting live. Please note, however,</w:t>
      </w:r>
    </w:p>
    <w:p>
      <w:pPr>
        <w:sectPr>
          <w:pgSz w:w="11900" w:h="16838" w:orient="portrait"/>
          <w:cols w:equalWidth="0" w:num="1">
            <w:col w:w="10960"/>
          </w:cols>
          <w:pgMar w:left="440" w:top="274" w:right="499" w:bottom="1440" w:gutter="0" w:footer="0" w:header="0"/>
        </w:sectPr>
      </w:pPr>
    </w:p>
    <w:bookmarkStart w:id="4" w:name="page5"/>
    <w:bookmarkEnd w:id="4"/>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only your last-dated proxy will count. Any proxy may be revoked at any time prior to its exercise at the 2022 Annual Meeting. Attending the 2022 Annual Meeting alone without taking one of the actions set forth above will not revoke your proxy. Please see the Proxy Statement for further information on how to change your vote.</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If you hold shares of Common Stock of record as of the new Record Date and have not already submitted a WHITE proxy card (or provided voting instructions by telephone or Internet pursuant to a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we encourage you to vote by signing, dating and returning the enclosed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in the postage-paid envelope provided, or by instructing us by telephone or via the Internet as to how you would like your shares of Common Stock voted (instructions are on your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We will vote your shares as instructed on the latest dated proxy that we receive from you. Any later dated proxy will revoke a prior proxy.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on how to vote or change your vote with respect to shares held of record is included in the Proxy Statement.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You May Vote Your Shares, or Revoke or Change an Earlier-Submitted Proxy if You Hold Share of Common Stock in “Street Name”</w:t>
      </w:r>
    </w:p>
    <w:p>
      <w:pPr>
        <w:spacing w:after="0" w:line="13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you hold your shares of Common Stock in “street name” with a bank, brokerage firm, dealer, trust company or other institution or nominee, only they can exercise your right to vote with respect to your shares of Common Stock and only upon receipt of your specific instructions. Accordingly, it is critical that, if you have not yet voted or if you wish to change your vote, you promptly give instructions to your bank, brokerage firm, dealer, trust company or other institution or nominee to ensure that your shares of Common Stock held in street name are voted in accordance with your instructions. If you have already voted your shares held in street name and do not wish to change your vote, we nonetheless encourage you to contact your bank, brokerage firm, dealer, trust company or other applicable institution or nominee to confirm that no further steps are required as a result of the change in the record date in order for shares you hold in street name to be voted in accordance with your previously provided instructions. Further information on how to vote or change your vote with respect to shares held in street name is included in the Proxy Statement.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Proxies with respect to any Future Proposals</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If we learn of any proposals (in addition to the proposals) made at a reasonable time before the 2022 Annual Meeting, we will either further supplement our Proxy Statement and provide stockholders with an opportunity to vote by proxy directly on such matters, or will not exercise discretionary authority with respect thereto. If other matters are properly presented thereafter, the persons named as proxies in the enclosed </w:t>
      </w:r>
      <w:r>
        <w:rPr>
          <w:rFonts w:ascii="Arial" w:cs="Arial" w:eastAsia="Arial" w:hAnsi="Arial"/>
          <w:sz w:val="16"/>
          <w:szCs w:val="16"/>
          <w:b w:val="1"/>
          <w:bCs w:val="1"/>
          <w:i w:val="1"/>
          <w:iCs w:val="1"/>
          <w:color w:val="auto"/>
        </w:rPr>
        <w:t>WHITE</w:t>
      </w:r>
      <w:r>
        <w:rPr>
          <w:rFonts w:ascii="Arial" w:cs="Arial" w:eastAsia="Arial" w:hAnsi="Arial"/>
          <w:sz w:val="16"/>
          <w:szCs w:val="16"/>
          <w:color w:val="auto"/>
        </w:rPr>
        <w:t xml:space="preserve"> proxy card will vote the shares of Common Stock represented thereby in accordance with their discretion pursuant to the authority granted in the proxy.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Information</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Innisfree M&amp;A Incorporated (“</w:t>
      </w:r>
      <w:r>
        <w:rPr>
          <w:rFonts w:ascii="Arial" w:cs="Arial" w:eastAsia="Arial" w:hAnsi="Arial"/>
          <w:sz w:val="18"/>
          <w:szCs w:val="18"/>
          <w:b w:val="1"/>
          <w:bCs w:val="1"/>
          <w:color w:val="auto"/>
        </w:rPr>
        <w:t>Innisfree</w:t>
      </w:r>
      <w:r>
        <w:rPr>
          <w:rFonts w:ascii="Arial" w:cs="Arial" w:eastAsia="Arial" w:hAnsi="Arial"/>
          <w:sz w:val="18"/>
          <w:szCs w:val="18"/>
          <w:color w:val="auto"/>
        </w:rPr>
        <w:t>”) is assisting us with our effort to solicit proxies. If you have any questions or require assistance in authorizing a proxy or voting your shares of Common Stock, please contact: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Stockholders may call toll free: (877) 717-3926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Brokers may call collect: (212) 750-5833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2022 Annual Meeting:</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proxy materials (including the Proxy Statement, this Supplement and the Company Information Statement) are available at no charge on the SEC’s website, which is www.sec.gov.</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REGARDLESS OF WHETHER YOU INTEND TO ATTEND THE 2022 ANNUAL MEETING, YOUR PROMPT ACTION IS IMPORTANT. IF YOU HAVE NOT ALREADY SUBMITTED A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WE ENCOURAGE YOU TO MAKE YOUR VIEWS CLEAR TO THE COMPANY BY AUTHORIZING A PROXY TO VOTE “</w:t>
      </w:r>
      <w:r>
        <w:rPr>
          <w:rFonts w:ascii="Arial" w:cs="Arial" w:eastAsia="Arial" w:hAnsi="Arial"/>
          <w:sz w:val="18"/>
          <w:szCs w:val="18"/>
          <w:b w:val="1"/>
          <w:bCs w:val="1"/>
          <w:color w:val="auto"/>
        </w:rPr>
        <w:t>FOR ALL</w:t>
      </w:r>
      <w:r>
        <w:rPr>
          <w:rFonts w:ascii="Arial" w:cs="Arial" w:eastAsia="Arial" w:hAnsi="Arial"/>
          <w:sz w:val="18"/>
          <w:szCs w:val="18"/>
          <w:color w:val="auto"/>
        </w:rPr>
        <w:t>” OF TAMSIN BERRY, MARC ELIA AND CLIVE A. MEANWELL TO BE ELECTED TO SERVE AS CLASS I MEMBERS OF THE BOARD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DECLASSIFICATION PROPOSAL BY FOLLOWING THE INSTRUCTIONS ON THE ENCLOSED </w:t>
      </w:r>
      <w:r>
        <w:rPr>
          <w:rFonts w:ascii="Arial" w:cs="Arial" w:eastAsia="Arial" w:hAnsi="Arial"/>
          <w:sz w:val="18"/>
          <w:szCs w:val="18"/>
          <w:b w:val="1"/>
          <w:bCs w:val="1"/>
          <w:i w:val="1"/>
          <w:iCs w:val="1"/>
          <w:color w:val="auto"/>
        </w:rPr>
        <w:t>WHITE</w:t>
      </w:r>
      <w:r>
        <w:rPr>
          <w:rFonts w:ascii="Arial" w:cs="Arial" w:eastAsia="Arial" w:hAnsi="Arial"/>
          <w:sz w:val="18"/>
          <w:szCs w:val="18"/>
          <w:color w:val="auto"/>
        </w:rPr>
        <w:t xml:space="preserve"> PROXY CARD TODAY.</w:t>
      </w:r>
    </w:p>
    <w:p>
      <w:pPr>
        <w:sectPr>
          <w:pgSz w:w="11900" w:h="16838" w:orient="portrait"/>
          <w:cols w:equalWidth="0" w:num="1">
            <w:col w:w="10980"/>
          </w:cols>
          <w:pgMar w:left="440" w:top="274"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 VOTE IS IMPORTANT, NO MATTER HOW MANY OR HOW FEW SHARES OF COMMON STOCK YOU OWN.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AS STATED IN THE PROXY STATEMENT, WE OMITTED FROM THE PROXY STATEMENT CERTAIN DISCLOSURE (AS FURTHER SPECIFIED IN THE PROXY STATEMENT) REQUIRED BY APPLICABLE LAW THAT WAS EXPECTED TO BE INCLUDED IN THE COMPANY’S DEFINITIVE PROXY STATEMENT RELATING TO THE 2022 ANNUAL MEETING (WHICH AS OF THE DATE OF THE PROXY STATEMENT HAD NOT YET BEEN FILED BY THE COMPANY) BASED ON OUR RELIANCE ON RULE 14a-5(c) UNDER THE EXCHANGE ACT. FOLLOWING THE FILING OF OUR PROXY STATEMENT, ON JUNE 2, 2022, THE COMPANY FILED THE COMPANY INFORMATION STATEMENT (AS DEFINED ABOVE) IN LIEU OF A DEFINITIVE PROXY STATEMENT. CONSEQUENTLY, WE REFER YOU TO THE COMPANY INFORMATION STATEMENT WITH RESPECT TO THE INFORMATION REFERENCED IN THE SECTION OF THE PROXY STATEMENT ENTITLED “INCORPORATION BY REFERENCE” AS EXPECTED TO BE INCLUDED IN THE COMPANY’S DEFINITIVE PROXY STATEMENT. WE ENCOURAGE ALL STOCKHOLDERS TO READ THE COMPANY INFORMATION STATEMENT AS IT CONTAINS IMPORTANT INFORMATION.</w:t>
      </w:r>
    </w:p>
    <w:p>
      <w:pPr>
        <w:sectPr>
          <w:pgSz w:w="11900" w:h="16838" w:orient="portrait"/>
          <w:cols w:equalWidth="0" w:num="1">
            <w:col w:w="10980"/>
          </w:cols>
          <w:pgMar w:left="440" w:top="274" w:right="479" w:bottom="1440" w:gutter="0" w:footer="0" w:header="0"/>
        </w:sectPr>
      </w:pPr>
    </w:p>
    <w:bookmarkStart w:id="6" w:name="page7"/>
    <w:bookmarkEnd w:id="6"/>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5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500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75006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2022-06-06T05:13:11Z</dcterms:created>
  <dcterms:modified xsi:type="dcterms:W3CDTF">2022-06-06T05:13:11Z</dcterms:modified>
</cp:coreProperties>
</file>