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75161d8k.htm"/>
      <w:bookmarkStart w:id="1" w:name="ksd875161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25,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Invivyd,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85-1403134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1601 Trapelo Road, Suite 178</w:t>
            </w:r>
          </w:p>
          <w:p>
            <w:pPr>
              <w:pStyle w:val="TableContents"/>
              <w:bidi w:val="0"/>
              <w:spacing w:before="0" w:after="20"/>
              <w:jc w:val="center"/>
              <w:rPr>
                <w:rFonts w:ascii="Times New Roman" w:hAnsi="Times New Roman"/>
                <w:b/>
                <w:sz w:val="20"/>
              </w:rPr>
            </w:pPr>
            <w:r>
              <w:rPr>
                <w:rFonts w:ascii="Times New Roman" w:hAnsi="Times New Roman"/>
                <w:b/>
                <w:sz w:val="20"/>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(781) 819-0080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IVVD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5.02</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25, 2023, the Board of Directors (the “Board”) of Invivyd, Inc. (the “Company”), upon the recommendation of the Nominating and Corporate Governance Committee of the Board, increased the size of the Board from eight (8) directors to nine (9) directors and appointed Sara Cotter as a director to fill the resulting vacancy, effective immediately, with her term expiring at the Company’s 2024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Ms. Cotter’s compensation as a director will be consistent with the compensation provided to all of the Company’s non-employee directors. Under the Company’s current non-employee director compensation policy, Ms. Cotter will receive an annual cash retainer of $40,000 for her Board service. Ms. Cotter was granted a nonqualified option to acquire 100,000 shares of common stock of the Company (the “Common Stock”), with such grant vesting over a three-year period, with one-third of the shares vesting on the first anniversary of July 25, 2023 (the “Grant Date”) and 1/36th of the total shares vesting in substantially equal monthly installments thereafter, such that the option is fully vested on the third anniversary of the Grant Date, subject to Ms. Cotter’s continuous service with the Company through each such vesting date. The option is exercisable for 10 years from the Grant Date and has the same per share exercise price as the closing sales price of the Common Stock on the Nasdaq Stock Market on the Grant Date. The option is subject to the terms and conditions of the Company’s 2021 Equity Incentive Plan,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Ms. Cotter also entered into the Company’s standard form of indemnification agreement, a copy of which was filed as Exhibit 10.4 to the Company’s Annual Report on Form 10-K (File No. 001-40703) filed with the U.S. Securities and Exchange Commission on March 23, 2023. Pursuant to the terms of the indemnification agreement, the Company may be required, among other things, to indemnify each director for certain expenses (including attorneys’ fees), judgments, fines and settlement amounts actually and reasonably incurred by them in any action or proceeding arising out of their service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Ms. Cotter and any other person pursuant to which Ms. Cotter was appointed a director of the Company. There are no relationships or transactions in which Ms. Cotter has or will have an interest, or was or is a party, requiring disclosure under Item 404(a) of Regulation S-K.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980"/>
        <w:gridCol w:w="2285"/>
      </w:tblGrid>
      <w:tr>
        <w:trPr/>
        <w:tc>
          <w:tcPr>
            <w:tcW w:w="98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27, 2023, the Company issued a press release announcing Ms. Cotter’s appointment to the Board. A copy of the press release is being furnished as Exhibit 99.1 to this Current Report on Form 8-K and is incorporated by reference to this Item 7.01.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10"/>
        <w:gridCol w:w="120"/>
        <w:gridCol w:w="7625"/>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pPr>
            <w:r>
              <w:rPr/>
              <w:t>    </w:t>
            </w:r>
            <w:r>
              <w:rPr>
                <w:rFonts w:ascii="Times New Roman" w:hAnsi="Times New Roman"/>
                <w:b/>
                <w:sz w:val="16"/>
              </w:rPr>
              <w:t>No.    </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1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75161dex991.htm">
              <w:r>
                <w:rPr>
                  <w:rStyle w:val="InternetLink"/>
                </w:rPr>
                <w:t xml:space="preserve">Press Release, dated July 27, 2023 </w:t>
              </w:r>
            </w:hyperlink>
          </w:p>
        </w:tc>
      </w:tr>
      <w:tr>
        <w:trPr/>
        <w:tc>
          <w:tcPr>
            <w:tcW w:w="71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71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425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INVIVYD,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27,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Andersen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Jill Andersen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875161dex991.htm"/>
      <w:bookmarkStart w:id="3" w:name="ksd875161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INVIVYD ANNOUNCES APPOINTMENT OF SARA COTTER TO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WALTHAM, Mass., JULY 27, 2023  Invivyd, Inc. (Nasdaq: IVVD), a clinical-stage biopharmaceutical company on a mission to protect the vulnerable from serious viral infectious diseases, today announced the appointment of Sara Cotter to its board of directors. Ms. Cotter brings extensive leadership experience spanning healthcare investment management and drug development. </w:t>
      </w:r>
    </w:p>
    <w:p>
      <w:pPr>
        <w:pStyle w:val="TextBody"/>
        <w:bidi w:val="0"/>
        <w:spacing w:before="240" w:after="0"/>
        <w:jc w:val="left"/>
        <w:rPr>
          <w:rFonts w:ascii="Times New Roman" w:hAnsi="Times New Roman"/>
          <w:sz w:val="20"/>
        </w:rPr>
      </w:pPr>
      <w:r>
        <w:rPr>
          <w:rFonts w:ascii="Times New Roman" w:hAnsi="Times New Roman"/>
          <w:sz w:val="20"/>
        </w:rPr>
        <w:t xml:space="preserve">Ms. Cotters comprehensive knowledge of the biopharmaceutical industry, pairing both operating and capital markets expertise, make her an excellent addition to our board of directors, said Dave Hering, Chief Executive Officer of Invivyd. Her keen industry insights and impressive accomplishments in drug development and healthcare investing will be invaluable to Invivyd as we advance our lead candidate, VYD222, and our platform designed to generate a stream of optimized antibodies to protect vulnerable people from serious viral diseases. </w:t>
      </w:r>
    </w:p>
    <w:p>
      <w:pPr>
        <w:pStyle w:val="TextBody"/>
        <w:bidi w:val="0"/>
        <w:spacing w:before="240" w:after="0"/>
        <w:jc w:val="left"/>
        <w:rPr>
          <w:rFonts w:ascii="Times New Roman" w:hAnsi="Times New Roman"/>
          <w:sz w:val="20"/>
        </w:rPr>
      </w:pPr>
      <w:r>
        <w:rPr>
          <w:rFonts w:ascii="Times New Roman" w:hAnsi="Times New Roman"/>
          <w:sz w:val="20"/>
        </w:rPr>
        <w:t xml:space="preserve">Im honored to join Invivyds board at such an exciting time, with the company recently announcing positive initial Phase 1 VYD222 clinical data and plans to rapidly advance VYD222 into a pivotal clinical trial that could support an emergency use authorization (EUA) request for the prevention of symptomatic COVID-19 in immunocompromised people, said Sara Cotter. I look forward to working alongside my fellow board members and the leadership team to advance Invivyds mission and unique, platform-based approach to keeping pace with evolving viral threats. </w:t>
      </w:r>
    </w:p>
    <w:p>
      <w:pPr>
        <w:pStyle w:val="TextBody"/>
        <w:bidi w:val="0"/>
        <w:spacing w:before="240" w:after="0"/>
        <w:jc w:val="left"/>
        <w:rPr>
          <w:rFonts w:ascii="Times New Roman" w:hAnsi="Times New Roman"/>
          <w:sz w:val="20"/>
        </w:rPr>
      </w:pPr>
      <w:r>
        <w:rPr>
          <w:rFonts w:ascii="Times New Roman" w:hAnsi="Times New Roman"/>
          <w:sz w:val="20"/>
        </w:rPr>
        <w:t xml:space="preserve">Ms. Cotter is currently the Portfolio Manager for the UBS Global Biotech Lux Fund as well as a Senior Investment Analyst on UBS Asset Managements Global Equity Team. Ms. Cotter rejoined UBS in 2022 after spending six years as Founder and Chief Executive Officer (CEO) of Levo Therapeutics, Inc., a venture-backed biotech company focused on developing impactful therapies for Prader-Willi syndrome. During her tenure as Levos CEO, she oversaw all aspects of the companys late-stage advancement of intranasal carbetocin (LV-101), as well as early-stage pipeline research. Ms. Cotter started her investment career at UBS in 2007, and previously worked at Abbott Laboratories (now AbbVie Inc.) in pharmaceutical marketing, Northfield Laboratories in clinical development, and Deutsche Bank Alex Brown in investment banking. Ms. Cotter received an M.B.A from the Kellogg School of Management at Northwestern University and a B.S. from the University of Notre Dame.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Invivyd </w:t>
      </w:r>
    </w:p>
    <w:p>
      <w:pPr>
        <w:pStyle w:val="TextBody"/>
        <w:bidi w:val="0"/>
        <w:spacing w:before="120" w:after="0"/>
        <w:jc w:val="left"/>
        <w:rPr>
          <w:rFonts w:ascii="Times New Roman" w:hAnsi="Times New Roman"/>
          <w:sz w:val="20"/>
        </w:rPr>
      </w:pPr>
      <w:r>
        <w:rPr>
          <w:rFonts w:ascii="Times New Roman" w:hAnsi="Times New Roman"/>
          <w:sz w:val="20"/>
        </w:rPr>
        <w:t xml:space="preserve">Invivyd, Inc. (Nasdaq: IVVD) is a biopharmaceutical company on a mission to rapidly and perpetually deliver antibody-based therapies that protect vulnerable people from the devastating consequences of circulating viral threats, beginning with SARS-CoV-2. Invivyds technology works at the intersection of evolutionary virology, predictive modeling, and antibody engineering, and is designed to identify high-quality, long-lasting antibodies with the potential to resist viral escape. The company is generating a robust pipeline of product candidates which could be used in prevention or treatment of serious viral diseases, starting with COVID-19 and expanding into influenza and other high-need indications. Visit https://invivyd.com/ to learn more.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plans and the timing thereof, including with respect to advancing its lead candidate, VYD222; the companys plans to advance its platform designed to generate a stream of optimized antibodies to protect vulnerable people from serious viral diseases; the companys plans to rapidly advance VYD222 into a pivotal clinical trial that could support an EUA request for the prevention of symptomatic COVID-19 in immunocompromised people; the companys mission and unique, platform-based approach to keeping pace with evolving viral threats; the companys ability to rapidly and perpetually deliver antibody-based therapies that protect vulnerable people from the devastating consequences of circulating viral threats, beginning with SARS-CoV-2; the potential for VYD222 and other product candidates to be high-quality, long-lasting antibodies with the potential to resist viral escape; the companys plans to generate a robust pipeline of product candidates which, if authorized or approved, could be used in prevention or treatment of serious viral diseases, starting with COVID-19 and expanding into influenza and other high-need indications;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ability to gain complete alignment with the applicable regulatory authorities on the clinical trial design and development pathway for VYD222, including the use of an immunobridging pathway in the U.S., and the timing thereof; the timing and progress of the companys discovery, preclinical and clinical development activities, including the companys ability to rapidly advance VYD222 into a pivotal clinical trial; the ability of the company to generate and utilize tools to discover and develop a pipeline of antibodies to treat current and potential future SARS-CoV-2 variants; the impacts of the COVID-19 pandemic on the companys business and those of its collaborators, the companys clinical trials and its financial position; unexpected safety or efficacy data observed during preclinical studies or clinical trials; the predictability of clinical success of VYD222 or other product candidates based on neutralizing activity in preclinical studies; the risk that results of preclinical studies or clinical trials may not be predictive of future results in connection with current or future clinical trials;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the companys discussions with regulatory authorities concerning its clinical trials and platform-based approach to development; whether VYD222 or any other product candidate or combination of candidates is able to demonstrate and sustain neutralizing activity against predominant SARS-CoV-2 variants, particularly in the face of viral evolution; whether VYD222 or other product candidates will be high-quality, long-lasting antibodies with the potential to resist viral escape; whether the company is able to successfully submit an EUA in the future, and the outcome of any such EUA submission; whether the companys research and development efforts will identify and result in safe and effective therapeutic options for infectious diseases other than COVID-19;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2022 filed with the Securities and Exchange Commission (SEC), and in the companys other filings with the SEC, and in its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press release contains hyperlinks to information that is not deemed to be incorporated by reference in this press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Kate Burdick, Evoke Canale </w:t>
      </w:r>
    </w:p>
    <w:p>
      <w:pPr>
        <w:pStyle w:val="TextBody"/>
        <w:bidi w:val="0"/>
        <w:spacing w:before="0" w:after="0"/>
        <w:jc w:val="left"/>
        <w:rPr>
          <w:rFonts w:ascii="Times New Roman" w:hAnsi="Times New Roman"/>
          <w:sz w:val="20"/>
        </w:rPr>
      </w:pPr>
      <w:r>
        <w:rPr>
          <w:rFonts w:ascii="Times New Roman" w:hAnsi="Times New Roman"/>
          <w:sz w:val="20"/>
        </w:rPr>
        <w:t xml:space="preserve">860-462-1569 </w:t>
      </w:r>
    </w:p>
    <w:p>
      <w:pPr>
        <w:pStyle w:val="TextBody"/>
        <w:bidi w:val="0"/>
        <w:spacing w:before="0" w:after="0"/>
        <w:jc w:val="left"/>
        <w:rPr>
          <w:rFonts w:ascii="Times New Roman" w:hAnsi="Times New Roman"/>
          <w:sz w:val="20"/>
        </w:rPr>
      </w:pPr>
      <w:r>
        <w:rPr>
          <w:rFonts w:ascii="Times New Roman" w:hAnsi="Times New Roman"/>
          <w:sz w:val="20"/>
        </w:rPr>
        <w:t xml:space="preserve">kate.burdick@evokegroup.com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Chris Brinzey, ICR Westwicke </w:t>
      </w:r>
    </w:p>
    <w:p>
      <w:pPr>
        <w:pStyle w:val="TextBody"/>
        <w:bidi w:val="0"/>
        <w:spacing w:before="0" w:after="0"/>
        <w:jc w:val="left"/>
        <w:rPr>
          <w:rFonts w:ascii="Times New Roman" w:hAnsi="Times New Roman"/>
          <w:sz w:val="20"/>
        </w:rPr>
      </w:pPr>
      <w:r>
        <w:rPr>
          <w:rFonts w:ascii="Times New Roman" w:hAnsi="Times New Roman"/>
          <w:sz w:val="20"/>
        </w:rPr>
        <w:t xml:space="preserve">339-970-2843 </w:t>
      </w:r>
    </w:p>
    <w:p>
      <w:pPr>
        <w:pStyle w:val="TextBody"/>
        <w:bidi w:val="0"/>
        <w:spacing w:before="0" w:after="0"/>
        <w:jc w:val="left"/>
        <w:rPr>
          <w:rFonts w:ascii="Times New Roman" w:hAnsi="Times New Roman"/>
          <w:sz w:val="20"/>
        </w:rPr>
      </w:pPr>
      <w:r>
        <w:rPr>
          <w:rFonts w:ascii="Times New Roman" w:hAnsi="Times New Roman"/>
          <w:sz w:val="20"/>
        </w:rPr>
        <w:t xml:space="preserve">chris.brinzey@westwicke.com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2216</Words>
  <Characters>12317</Characters>
  <CharactersWithSpaces>14455</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