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167005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Adagio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Waltham,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819-0080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7" w:lineRule="auto"/>
        <w:tabs>
          <w:tab w:leader="none" w:pos="9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ADGI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As previously reported by Adagio Therapeutics, Inc. (the “Company”) on a Current Report on Form 8-K filed with the Securities and Exchange Commission on February 23, 2022 (the “Initial Form 8-K”), the Company’s Board of Directors appointed David Hering to serve as Interim Chief Executive Officer. This Current Report on Form 8-K/A is being filed, pursuant to Instruction 2 to Item 5.02 of Form 8-K, as an amendment to the Initial Form 8-K to add information related to additional compensation that Mr. Hering received in connection with his appointment to this new position that was not determined at the time of the filing of the Initial Form 8-K.</w:t>
      </w:r>
    </w:p>
    <w:p>
      <w:pPr>
        <w:spacing w:after="0" w:line="332" w:lineRule="exact"/>
        <w:rPr>
          <w:sz w:val="20"/>
          <w:szCs w:val="20"/>
          <w:color w:val="auto"/>
        </w:rPr>
      </w:pPr>
    </w:p>
    <w:p>
      <w:pPr>
        <w:ind w:left="1080" w:right="112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 (c), (e) On February 23, 2022, Tillman U. Gerngross, Ph.D. resigned as Chief Executive Officer and President of Adagio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as a member of the Board of Directors (the “Board”) of the Company.</w:t>
      </w:r>
    </w:p>
    <w:p>
      <w:pPr>
        <w:spacing w:after="0" w:line="21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Following Dr. Gerngross’s resignation, on February 23, 2022, the Board appointed David Hering to serve as Interim Chief Executive Officer. Mr. Hering will also continue to serve as the Company’s Chief Operating Officer. There is no arrangement or understanding between Mr. Hering and any other person pursuant to which he was selected as an officer of the Company, and there is no family relationship between Mr. Hering and any of the Company’s other executive officers or directors. The Company is not aware of any transaction involving Mr. Hering requiring disclosure under Item 404(a) of Regulation S-K.</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In connection with Mr. Hering’s appointment as Interim Chief Executive Officer, on March 18, 2022, the Board approved the following compensation for Mr. Hering: (i) an increase in Mr. Hering’s annual base salary to $510,000, effective as of February 23, 2022, (ii) a monthly stipend of $7,500 in addition to Mr. Hering’s base salary during his tenure as Interim Chief Executive Officer and (iii) a target bonus for 2022 reflecting a blended rate of (a) a 60% target bonus at an assumed annual base salary of $600,000 for time served as Interim Chief Executive Officer and (b) a 40% target bonus for time served solely as Chief Operating Officer.</w:t>
      </w:r>
    </w:p>
    <w:p>
      <w:pPr>
        <w:spacing w:after="0" w:line="188"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Mr. Hering’s employment agreement (the “Employment Agreement”), which was amended and restated in connection with the Company’s initial public offering, provides that Mr. Hering is eligible for an annual target bonus of 40% of his base salary (which will be adjusted pursuant to the foregoing for time served as Interim Chief Executive Officer). The annual bonus will be determined by the Compensation Committee of the Board based on the achievement of performance goals and objectives for the calendar year. The Employment Agreement provides for standard benefits, such as paid time off, reimbursement of business expenses, and participation in the Company’s employee benefit plans and programs. In the event that Mr. Hering’s employment ends upon death or a disability, he will be entitled to accrued obligations and payment of his target bonus so long as his employment terminates after the completion of the calendar year but prior to the date of payment of the bonus (the “Earned Bonus”). In the event that Mr. Hering’s employment terminates, other than during the period commencing three months prior to or ending 12 months following a “change in control” (as defined in the Company’s 2021 Equity Incentive Plan) (the “Change in Control Period”) by the Company without “cause” or by him for “good reason” (each as defined in the Employment Agreement), and subject to the delivery to the Company of a separation agreement that includes a general release of claims, Mr. Hering will receive cash severance equal to nine months of his base salary, as well as the Earned Bonus, if applicable, and nine months continuation of benefits. Mr. Hering will also be entitled to delayed forfeiture of unvested time-based equity awards until 90 days after the date of termination. In the event that Mr. Hering’s employment is terminated by the Company without cause or by him for good reason, in either case, during the Change in Control Period, and subject to his delivery to the Company of a separation agreement that includes a general release of claims, Mr. Hering will receive cash severance equal to 12 months of his base salary, his target bonus for the year of termination, as well as the Earned Bonus, if applicable, and 12 months continuation of benefits. In such case, Mr. Hering will also be entitled to immediate acceleration and full vesting of any time-based equity awards, exercisable or nonforfeitable as if employment continued until the later of the date of termination or the effective date of the separation agreement.</w:t>
      </w:r>
    </w:p>
    <w:p>
      <w:pPr>
        <w:spacing w:after="0" w:line="190"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 foregoing description of the Employment Agreement is only a summary and is qualified in its entirety by reference to the complete terms and conditions of the Employment Agreement, which is filed as Exhibit 99.1 to this Current Report on Form 8-K and incorporated herein by reference.</w:t>
      </w:r>
    </w:p>
    <w:p>
      <w:pPr>
        <w:spacing w:after="0" w:line="12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Mr. Hering has also entered into an indemnification agreement in the form previously approved by the Board, which form is filed as Exhibit 10.4 to the Company’s Registration Statement on Form S-1/A, filed with the SEC on August 2, 2021.</w:t>
      </w:r>
    </w:p>
    <w:p>
      <w:pPr>
        <w:sectPr>
          <w:pgSz w:w="11900" w:h="16838" w:orient="portrait"/>
          <w:cols w:equalWidth="0" w:num="1">
            <w:col w:w="11020"/>
          </w:cols>
          <w:pgMar w:left="440" w:top="297" w:right="439" w:bottom="1440" w:gutter="0" w:footer="0" w:header="0"/>
        </w:sectPr>
      </w:pPr>
    </w:p>
    <w:bookmarkStart w:id="2" w:name="page3"/>
    <w:bookmarkEnd w:id="2"/>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David Hering, M.B.A., 47, has served as the Company’s Chief Operating Officer since June 2021. Prior to joining Adagio, Mr. Hering served as the Head of the 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161" w:lineRule="exact"/>
        <w:rPr>
          <w:sz w:val="20"/>
          <w:szCs w:val="20"/>
          <w:color w:val="auto"/>
        </w:rPr>
      </w:pPr>
    </w:p>
    <w:p>
      <w:pPr>
        <w:ind w:right="120" w:firstLine="440"/>
        <w:spacing w:after="0" w:line="285" w:lineRule="auto"/>
        <w:rPr>
          <w:sz w:val="20"/>
          <w:szCs w:val="20"/>
          <w:color w:val="auto"/>
        </w:rPr>
      </w:pPr>
      <w:r>
        <w:rPr>
          <w:rFonts w:ascii="Arial" w:cs="Arial" w:eastAsia="Arial" w:hAnsi="Arial"/>
          <w:sz w:val="16"/>
          <w:szCs w:val="16"/>
          <w:color w:val="auto"/>
        </w:rPr>
        <w:t>In order to achieve a more equal balance of membership among the Company’s three classes of directors in connection with Dr. Gerngross’s resignation from the Board, the Board determined that one of its members should be reclassified from Class II (with a term expiring at the Company’s 2023 annual meeting of stockholders) to Class III (with a term expiring at the Company’s 2024 annual meeting of stockholders). Accordingly, on February 23, 2022, Tom Heyman agreed to resign from his position as a Class II director subject to his immediate reappointment as a Class III director. The Board accepted Mr. Heyman’s resignation and immediately reappointed him as a Class III director. The resignation and reappointment of</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Mr. Heyman was effected solely to rebalance the Board classes in connection with Dr. Gerngross’s resignation, and for all other purposes, Mr. Heyman’s service on the Board is deemed to have continued uninterrupted.</w:t>
      </w:r>
    </w:p>
    <w:p>
      <w:pPr>
        <w:spacing w:after="0" w:line="33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Amended and Restated Employment Agreement, by and between the Registrant and David Hering, dated August 5,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301"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Dated: March 21,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1000"/>
          </w:cols>
          <w:pgMar w:left="440" w:top="297"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jc w:val="both"/>
        <w:ind w:right="300" w:firstLine="440"/>
        <w:spacing w:after="0" w:line="311" w:lineRule="auto"/>
        <w:rPr>
          <w:sz w:val="20"/>
          <w:szCs w:val="20"/>
          <w:color w:val="auto"/>
        </w:rPr>
      </w:pPr>
      <w:r>
        <w:rPr>
          <w:rFonts w:ascii="Arial" w:cs="Arial" w:eastAsia="Arial" w:hAnsi="Arial"/>
          <w:sz w:val="16"/>
          <w:szCs w:val="16"/>
          <w:color w:val="auto"/>
        </w:rPr>
        <w:t>This Amended and Restated Employment Agreement (“</w:t>
      </w:r>
      <w:r>
        <w:rPr>
          <w:rFonts w:ascii="Arial" w:cs="Arial" w:eastAsia="Arial" w:hAnsi="Arial"/>
          <w:sz w:val="16"/>
          <w:szCs w:val="16"/>
          <w:b w:val="1"/>
          <w:bCs w:val="1"/>
          <w:i w:val="1"/>
          <w:iCs w:val="1"/>
          <w:u w:val="single" w:color="auto"/>
          <w:color w:val="auto"/>
        </w:rPr>
        <w:t>Agreement</w:t>
      </w:r>
      <w:r>
        <w:rPr>
          <w:rFonts w:ascii="Arial" w:cs="Arial" w:eastAsia="Arial" w:hAnsi="Arial"/>
          <w:sz w:val="16"/>
          <w:szCs w:val="16"/>
          <w:color w:val="auto"/>
        </w:rPr>
        <w:t>”) is made between Adagio Therapeutics, Inc., a Delaware corporation (the “</w:t>
      </w:r>
      <w:r>
        <w:rPr>
          <w:rFonts w:ascii="Arial" w:cs="Arial" w:eastAsia="Arial" w:hAnsi="Arial"/>
          <w:sz w:val="16"/>
          <w:szCs w:val="16"/>
          <w:b w:val="1"/>
          <w:bCs w:val="1"/>
          <w:i w:val="1"/>
          <w:iCs w:val="1"/>
          <w:u w:val="single" w:color="auto"/>
          <w:color w:val="auto"/>
        </w:rPr>
        <w:t>Company</w:t>
      </w:r>
      <w:r>
        <w:rPr>
          <w:rFonts w:ascii="Arial" w:cs="Arial" w:eastAsia="Arial" w:hAnsi="Arial"/>
          <w:sz w:val="16"/>
          <w:szCs w:val="16"/>
          <w:color w:val="auto"/>
        </w:rPr>
        <w:t>”), and David Hering (the “</w:t>
      </w:r>
      <w:r>
        <w:rPr>
          <w:rFonts w:ascii="Arial" w:cs="Arial" w:eastAsia="Arial" w:hAnsi="Arial"/>
          <w:sz w:val="16"/>
          <w:szCs w:val="16"/>
          <w:b w:val="1"/>
          <w:bCs w:val="1"/>
          <w:i w:val="1"/>
          <w:iCs w:val="1"/>
          <w:u w:val="single" w:color="auto"/>
          <w:color w:val="auto"/>
        </w:rPr>
        <w:t>Executive</w:t>
      </w:r>
      <w:r>
        <w:rPr>
          <w:rFonts w:ascii="Arial" w:cs="Arial" w:eastAsia="Arial" w:hAnsi="Arial"/>
          <w:sz w:val="16"/>
          <w:szCs w:val="16"/>
          <w:color w:val="auto"/>
        </w:rPr>
        <w:t>”), this 5th day of August, 2021. This Agreement amends, restates, and supersedes in its entirety that certain Employment Agreement, dated June 30, 2021 (the “</w:t>
      </w:r>
      <w:r>
        <w:rPr>
          <w:rFonts w:ascii="Arial" w:cs="Arial" w:eastAsia="Arial" w:hAnsi="Arial"/>
          <w:sz w:val="16"/>
          <w:szCs w:val="16"/>
          <w:b w:val="1"/>
          <w:bCs w:val="1"/>
          <w:i w:val="1"/>
          <w:iCs w:val="1"/>
          <w:u w:val="single" w:color="auto"/>
          <w:color w:val="auto"/>
        </w:rPr>
        <w:t>Prior Agreement</w:t>
      </w:r>
      <w:r>
        <w:rPr>
          <w:rFonts w:ascii="Arial" w:cs="Arial" w:eastAsia="Arial" w:hAnsi="Arial"/>
          <w:sz w:val="16"/>
          <w:szCs w:val="16"/>
          <w:color w:val="auto"/>
        </w:rPr>
        <w:t>”), between the Executive and the Company.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is planning an initial public offering (the “</w:t>
      </w:r>
      <w:r>
        <w:rPr>
          <w:rFonts w:ascii="Arial" w:cs="Arial" w:eastAsia="Arial" w:hAnsi="Arial"/>
          <w:sz w:val="18"/>
          <w:szCs w:val="18"/>
          <w:b w:val="1"/>
          <w:bCs w:val="1"/>
          <w:i w:val="1"/>
          <w:iCs w:val="1"/>
          <w:u w:val="single" w:color="auto"/>
          <w:color w:val="auto"/>
        </w:rPr>
        <w:t>Offering</w:t>
      </w:r>
      <w:r>
        <w:rPr>
          <w:rFonts w:ascii="Arial" w:cs="Arial" w:eastAsia="Arial" w:hAnsi="Arial"/>
          <w:sz w:val="18"/>
          <w:szCs w:val="18"/>
          <w:color w:val="auto"/>
        </w:rPr>
        <w:t>”) of its shares of common stock;</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the Company and the Executive desire to amend and restate the Prior Agreement in the manner set forth herein, effective as of the date on which the registration statement relating to the Offering is effective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9" w:lineRule="auto"/>
        <w:tabs>
          <w:tab w:leader="none" w:pos="123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Executive shall serve as the Chief Operating Officer of the Company and shall have such powers and duties as customarily associated with the office of Chief Operating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subject to the direction and control of the CEO. The Executive shall report to the CEO.</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21" w:right="439" w:bottom="1440" w:gutter="0" w:footer="0" w:header="0"/>
        </w:sectPr>
      </w:pPr>
    </w:p>
    <w:bookmarkStart w:id="5" w:name="page6"/>
    <w:bookmarkEnd w:id="5"/>
    <w:p>
      <w:pPr>
        <w:ind w:right="520" w:firstLine="987"/>
        <w:spacing w:after="0" w:line="277"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Outside Activities</w:t>
      </w:r>
      <w:r>
        <w:rPr>
          <w:rFonts w:ascii="Arial" w:cs="Arial" w:eastAsia="Arial" w:hAnsi="Arial"/>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Executive agrees not to engage actively in any other employment, occupation, or consulting activity for any direct or indirect remuneration without the prior approval of the CEO; provided, however, that Executive may, without such approval, serve in any capacity with any civic, educational, or charitable organization, participate in industry affairs and manage Executive’s family’s personal passive investments, and engage in the activities set forth in Appendix A to this Agreement, provided that in each case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70" w:lineRule="exact"/>
        <w:rPr>
          <w:sz w:val="20"/>
          <w:szCs w:val="20"/>
          <w:color w:val="auto"/>
        </w:rPr>
      </w:pPr>
    </w:p>
    <w:p>
      <w:pPr>
        <w:ind w:left="620" w:hanging="184"/>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Compensation and Related Matters</w:t>
      </w:r>
      <w:r>
        <w:rPr>
          <w:rFonts w:ascii="Arial" w:cs="Arial" w:eastAsia="Arial" w:hAnsi="Arial"/>
          <w:sz w:val="16"/>
          <w:szCs w:val="16"/>
          <w:color w:val="auto"/>
        </w:rPr>
        <w:t>. This Section 2 sets forth the compensation and benefits to be provided to the Executive during the Term.</w:t>
      </w:r>
    </w:p>
    <w:p>
      <w:pPr>
        <w:spacing w:after="0" w:line="248" w:lineRule="exact"/>
        <w:rPr>
          <w:rFonts w:ascii="Arial" w:cs="Arial" w:eastAsia="Arial" w:hAnsi="Arial"/>
          <w:sz w:val="16"/>
          <w:szCs w:val="16"/>
          <w:color w:val="auto"/>
        </w:rPr>
      </w:pPr>
    </w:p>
    <w:p>
      <w:pPr>
        <w:ind w:right="100" w:firstLine="987"/>
        <w:spacing w:after="0" w:line="275" w:lineRule="auto"/>
        <w:tabs>
          <w:tab w:leader="none" w:pos="1236"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Executive will continue to pay Executive, as compensation for the performance of the Executive’s duties and obligations hereunder, salary at the rate of $410,000 per year. The Executive’s salary shall be subject to annual review not later than March 31</w:t>
      </w:r>
      <w:r>
        <w:rPr>
          <w:rFonts w:ascii="Arial" w:cs="Arial" w:eastAsia="Arial" w:hAnsi="Arial"/>
          <w:sz w:val="14"/>
          <w:szCs w:val="14"/>
          <w:color w:val="auto"/>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176" w:lineRule="exact"/>
        <w:rPr>
          <w:rFonts w:ascii="Arial" w:cs="Arial" w:eastAsia="Arial" w:hAnsi="Arial"/>
          <w:sz w:val="17"/>
          <w:szCs w:val="17"/>
          <w:color w:val="auto"/>
        </w:rPr>
      </w:pPr>
    </w:p>
    <w:p>
      <w:pPr>
        <w:ind w:right="20" w:firstLine="987"/>
        <w:spacing w:after="0" w:line="270" w:lineRule="auto"/>
        <w:tabs>
          <w:tab w:leader="none" w:pos="1246"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The Executive shall participate in an annual cash incentive compensation plan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The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The Executive’s target Annual Bonus will be forty percent (40%)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based on Base Salary in effect on January 1st of the applicable performance period.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Arial" w:cs="Arial" w:eastAsia="Arial" w:hAnsi="Arial"/>
          <w:sz w:val="14"/>
          <w:szCs w:val="14"/>
          <w:color w:val="auto"/>
        </w:rPr>
        <w:t>th</w:t>
      </w:r>
      <w:r>
        <w:rPr>
          <w:rFonts w:ascii="Arial" w:cs="Arial" w:eastAsia="Arial" w:hAnsi="Arial"/>
          <w:sz w:val="17"/>
          <w:szCs w:val="17"/>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w:t>
      </w:r>
    </w:p>
    <w:p>
      <w:pPr>
        <w:spacing w:after="0" w:line="180" w:lineRule="exact"/>
        <w:rPr>
          <w:rFonts w:ascii="Arial" w:cs="Arial" w:eastAsia="Arial" w:hAnsi="Arial"/>
          <w:sz w:val="17"/>
          <w:szCs w:val="17"/>
          <w:color w:val="auto"/>
        </w:rPr>
      </w:pPr>
    </w:p>
    <w:p>
      <w:pPr>
        <w:ind w:right="260" w:firstLine="987"/>
        <w:spacing w:after="0" w:line="259" w:lineRule="auto"/>
        <w:tabs>
          <w:tab w:leader="none" w:pos="1236"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360" w:firstLine="987"/>
        <w:spacing w:after="0" w:line="277"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Benefits</w:t>
      </w:r>
      <w:r>
        <w:rPr>
          <w:rFonts w:ascii="Arial" w:cs="Arial" w:eastAsia="Arial" w:hAnsi="Arial"/>
          <w:sz w:val="18"/>
          <w:szCs w:val="18"/>
          <w:color w:val="auto"/>
        </w:rPr>
        <w:t>.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right="140" w:firstLine="987"/>
        <w:spacing w:after="0" w:line="277" w:lineRule="auto"/>
        <w:tabs>
          <w:tab w:leader="none" w:pos="123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The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ind w:right="40" w:firstLine="987"/>
        <w:spacing w:after="0" w:line="277" w:lineRule="auto"/>
        <w:tabs>
          <w:tab w:leader="none" w:pos="121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The Executive shall be subject to the Company’s Executive Stock Ownership Guidelines while providing services under this Agreement.</w:t>
      </w:r>
    </w:p>
    <w:p>
      <w:pPr>
        <w:spacing w:after="0" w:line="170" w:lineRule="exact"/>
        <w:rPr>
          <w:rFonts w:ascii="Arial" w:cs="Arial" w:eastAsia="Arial" w:hAnsi="Arial"/>
          <w:sz w:val="18"/>
          <w:szCs w:val="18"/>
          <w:color w:val="auto"/>
        </w:rPr>
      </w:pPr>
    </w:p>
    <w:p>
      <w:pPr>
        <w:ind w:firstLine="987"/>
        <w:spacing w:after="0" w:line="257" w:lineRule="auto"/>
        <w:tabs>
          <w:tab w:leader="none" w:pos="1246"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Adagio Therapeutics, Inc. 2021 Equity Incentive Plan (the “</w:t>
      </w:r>
      <w:r>
        <w:rPr>
          <w:rFonts w:ascii="Arial" w:cs="Arial" w:eastAsia="Arial" w:hAnsi="Arial"/>
          <w:sz w:val="18"/>
          <w:szCs w:val="18"/>
          <w:b w:val="1"/>
          <w:bCs w:val="1"/>
          <w:i w:val="1"/>
          <w:iCs w:val="1"/>
          <w:u w:val="single" w:color="auto"/>
          <w:color w:val="auto"/>
        </w:rPr>
        <w:t>Plan</w:t>
      </w:r>
      <w:r>
        <w:rPr>
          <w:rFonts w:ascii="Arial" w:cs="Arial" w:eastAsia="Arial" w:hAnsi="Arial"/>
          <w:sz w:val="18"/>
          <w:szCs w:val="18"/>
          <w:color w:val="auto"/>
        </w:rPr>
        <w:t>”)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the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440" w:right="20" w:firstLine="948"/>
        <w:spacing w:after="0" w:line="259" w:lineRule="auto"/>
        <w:tabs>
          <w:tab w:leader="none" w:pos="1607" w:val="left"/>
        </w:tabs>
        <w:numPr>
          <w:ilvl w:val="2"/>
          <w:numId w:val="5"/>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pacing w:after="0" w:line="78" w:lineRule="exact"/>
        <w:rPr>
          <w:rFonts w:ascii="Arial" w:cs="Arial" w:eastAsia="Arial" w:hAnsi="Arial"/>
          <w:sz w:val="18"/>
          <w:szCs w:val="18"/>
          <w:color w:val="auto"/>
        </w:rPr>
      </w:pPr>
    </w:p>
    <w:p>
      <w:pPr>
        <w:ind w:left="440" w:right="200" w:firstLine="948"/>
        <w:spacing w:after="0" w:line="263" w:lineRule="auto"/>
        <w:tabs>
          <w:tab w:leader="none" w:pos="1657" w:val="left"/>
        </w:tabs>
        <w:numPr>
          <w:ilvl w:val="2"/>
          <w:numId w:val="5"/>
        </w:numPr>
        <w:rPr>
          <w:rFonts w:ascii="Arial" w:cs="Arial" w:eastAsia="Arial" w:hAnsi="Arial"/>
          <w:sz w:val="18"/>
          <w:szCs w:val="18"/>
          <w:color w:val="auto"/>
        </w:rPr>
      </w:pPr>
      <w:r>
        <w:rPr>
          <w:rFonts w:ascii="Arial" w:cs="Arial" w:eastAsia="Arial" w:hAnsi="Arial"/>
          <w:sz w:val="18"/>
          <w:szCs w:val="18"/>
          <w:color w:val="auto"/>
        </w:rPr>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83" w:lineRule="exact"/>
        <w:rPr>
          <w:rFonts w:ascii="Arial" w:cs="Arial" w:eastAsia="Arial" w:hAnsi="Arial"/>
          <w:sz w:val="18"/>
          <w:szCs w:val="18"/>
          <w:color w:val="auto"/>
        </w:rPr>
      </w:pPr>
    </w:p>
    <w:p>
      <w:pPr>
        <w:ind w:right="920" w:firstLine="436"/>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death.</w:t>
      </w:r>
    </w:p>
    <w:p>
      <w:pPr>
        <w:spacing w:after="0" w:line="225" w:lineRule="exact"/>
        <w:rPr>
          <w:rFonts w:ascii="Arial" w:cs="Arial" w:eastAsia="Arial" w:hAnsi="Arial"/>
          <w:sz w:val="18"/>
          <w:szCs w:val="18"/>
          <w:color w:val="auto"/>
        </w:rPr>
      </w:pPr>
    </w:p>
    <w:p>
      <w:pPr>
        <w:ind w:right="60" w:firstLine="987"/>
        <w:spacing w:after="0" w:line="259" w:lineRule="auto"/>
        <w:tabs>
          <w:tab w:leader="none" w:pos="1246"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78" w:lineRule="exact"/>
        <w:rPr>
          <w:sz w:val="20"/>
          <w:szCs w:val="20"/>
          <w:color w:val="auto"/>
        </w:rPr>
      </w:pPr>
    </w:p>
    <w:p>
      <w:pPr>
        <w:ind w:right="60" w:firstLine="987"/>
        <w:spacing w:after="0" w:line="277" w:lineRule="auto"/>
        <w:tabs>
          <w:tab w:leader="none" w:pos="12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the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980" w:firstLine="408"/>
        <w:spacing w:after="0" w:line="263" w:lineRule="auto"/>
        <w:tabs>
          <w:tab w:leader="none" w:pos="159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75" w:lineRule="exact"/>
        <w:rPr>
          <w:rFonts w:ascii="Arial" w:cs="Arial" w:eastAsia="Arial" w:hAnsi="Arial"/>
          <w:sz w:val="18"/>
          <w:szCs w:val="18"/>
          <w:color w:val="auto"/>
        </w:rPr>
      </w:pPr>
    </w:p>
    <w:p>
      <w:pPr>
        <w:ind w:left="980" w:firstLine="408"/>
        <w:spacing w:after="0" w:line="263" w:lineRule="auto"/>
        <w:tabs>
          <w:tab w:leader="none" w:pos="1646"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75" w:lineRule="exact"/>
        <w:rPr>
          <w:rFonts w:ascii="Arial" w:cs="Arial" w:eastAsia="Arial" w:hAnsi="Arial"/>
          <w:sz w:val="18"/>
          <w:szCs w:val="18"/>
          <w:color w:val="auto"/>
        </w:rPr>
      </w:pPr>
    </w:p>
    <w:p>
      <w:pPr>
        <w:ind w:left="980" w:right="160" w:firstLine="408"/>
        <w:spacing w:after="0" w:line="275" w:lineRule="auto"/>
        <w:tabs>
          <w:tab w:leader="none" w:pos="1696"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CEO of such willful misconduct, failure or refusal;</w:t>
      </w:r>
    </w:p>
    <w:p>
      <w:pPr>
        <w:spacing w:after="0" w:line="68" w:lineRule="exact"/>
        <w:rPr>
          <w:rFonts w:ascii="Arial" w:cs="Arial" w:eastAsia="Arial" w:hAnsi="Arial"/>
          <w:sz w:val="17"/>
          <w:szCs w:val="17"/>
          <w:color w:val="auto"/>
        </w:rPr>
      </w:pPr>
    </w:p>
    <w:p>
      <w:pPr>
        <w:ind w:left="980" w:right="40" w:firstLine="408"/>
        <w:spacing w:after="0" w:line="277" w:lineRule="auto"/>
        <w:tabs>
          <w:tab w:leader="none" w:pos="1686"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the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1"/>
          <w:numId w:val="7"/>
        </w:numPr>
        <w:rPr>
          <w:rFonts w:ascii="Arial" w:cs="Arial" w:eastAsia="Arial" w:hAnsi="Arial"/>
          <w:sz w:val="18"/>
          <w:szCs w:val="18"/>
          <w:color w:val="auto"/>
        </w:rPr>
      </w:pPr>
      <w:r>
        <w:rPr>
          <w:rFonts w:ascii="Arial" w:cs="Arial" w:eastAsia="Arial" w:hAnsi="Arial"/>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8" w:name="page9"/>
    <w:bookmarkEnd w:id="8"/>
    <w:p>
      <w:pPr>
        <w:ind w:left="980" w:right="100" w:firstLine="408"/>
        <w:spacing w:after="0" w:line="259" w:lineRule="auto"/>
        <w:tabs>
          <w:tab w:leader="none" w:pos="168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4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case of any termination for Cause, the Company shall provide written notice to the Executive setting forth to a reasonable extent at least the principal acts or omissions of the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64" w:lineRule="exact"/>
        <w:rPr>
          <w:sz w:val="20"/>
          <w:szCs w:val="20"/>
          <w:color w:val="auto"/>
        </w:rPr>
      </w:pPr>
    </w:p>
    <w:p>
      <w:pPr>
        <w:jc w:val="both"/>
        <w:ind w:right="40" w:firstLine="987"/>
        <w:spacing w:after="0" w:line="311" w:lineRule="auto"/>
        <w:tabs>
          <w:tab w:leader="none" w:pos="1246"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w:t>
      </w:r>
      <w:r>
        <w:rPr>
          <w:rFonts w:ascii="Arial" w:cs="Arial" w:eastAsia="Arial" w:hAnsi="Arial"/>
          <w:sz w:val="16"/>
          <w:szCs w:val="16"/>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148" w:lineRule="exact"/>
        <w:rPr>
          <w:rFonts w:ascii="Arial" w:cs="Arial" w:eastAsia="Arial" w:hAnsi="Arial"/>
          <w:sz w:val="16"/>
          <w:szCs w:val="16"/>
          <w:color w:val="auto"/>
        </w:rPr>
      </w:pPr>
    </w:p>
    <w:p>
      <w:pPr>
        <w:ind w:right="240" w:firstLine="987"/>
        <w:spacing w:after="0" w:line="259" w:lineRule="auto"/>
        <w:tabs>
          <w:tab w:leader="none" w:pos="1236"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Executive</w:t>
      </w:r>
      <w:r>
        <w:rPr>
          <w:rFonts w:ascii="Arial" w:cs="Arial" w:eastAsia="Arial" w:hAnsi="Arial"/>
          <w:sz w:val="18"/>
          <w:szCs w:val="18"/>
          <w:color w:val="auto"/>
        </w:rPr>
        <w:t>. The Executive may terminate employment hereunder at any time for any reason, including but not limited to, Good Reason.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shall mean that the Executive has completed all steps of the Good Reason Process (hereinafter defined) following the occurrence of any of the following events without the Executive’s consent (each, a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Condition</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980" w:right="140" w:firstLine="408"/>
        <w:spacing w:after="0" w:line="277" w:lineRule="auto"/>
        <w:tabs>
          <w:tab w:leader="none" w:pos="1596"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diminution in the Executive’s title, responsibilities, authority or duties; or a material reduction in the authority, duties, or responsibilities of the CEO to whom the Executive is required to report;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9" w:name="page10"/>
    <w:bookmarkEnd w:id="9"/>
    <w:p>
      <w:pPr>
        <w:ind w:left="980" w:right="300" w:firstLine="408"/>
        <w:spacing w:after="0" w:line="286" w:lineRule="auto"/>
        <w:tabs>
          <w:tab w:leader="none" w:pos="1646" w:val="left"/>
        </w:tabs>
        <w:numPr>
          <w:ilvl w:val="1"/>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Change in Control following which either: (A) there is a material reduction in the budget over which the Executive retains authority or (B) the Executive is not Chief Operating Officer of the Company or, if the Company becomes a subsidiary of one or more entities following the Change in Control, the post-consummation ultimate parent entity of the Company; or</w:t>
      </w:r>
    </w:p>
    <w:p>
      <w:pPr>
        <w:spacing w:after="0" w:line="57" w:lineRule="exact"/>
        <w:rPr>
          <w:rFonts w:ascii="Arial" w:cs="Arial" w:eastAsia="Arial" w:hAnsi="Arial"/>
          <w:sz w:val="17"/>
          <w:szCs w:val="17"/>
          <w:color w:val="auto"/>
        </w:rPr>
      </w:pPr>
    </w:p>
    <w:p>
      <w:pPr>
        <w:ind w:left="980" w:firstLine="408"/>
        <w:spacing w:after="0" w:line="255" w:lineRule="auto"/>
        <w:tabs>
          <w:tab w:leader="none" w:pos="16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92" w:lineRule="exact"/>
        <w:rPr>
          <w:rFonts w:ascii="Arial" w:cs="Arial" w:eastAsia="Arial" w:hAnsi="Arial"/>
          <w:sz w:val="18"/>
          <w:szCs w:val="18"/>
          <w:color w:val="auto"/>
        </w:rPr>
      </w:pPr>
    </w:p>
    <w:p>
      <w:pPr>
        <w:ind w:left="1220" w:hanging="233"/>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Executive reasonably determines in good faith that a Good Reason Condition has occurred;</w:t>
      </w:r>
    </w:p>
    <w:p>
      <w:pPr>
        <w:spacing w:after="0" w:line="117" w:lineRule="exact"/>
        <w:rPr>
          <w:rFonts w:ascii="Arial" w:cs="Arial" w:eastAsia="Arial" w:hAnsi="Arial"/>
          <w:sz w:val="18"/>
          <w:szCs w:val="18"/>
          <w:color w:val="auto"/>
        </w:rPr>
      </w:pPr>
    </w:p>
    <w:p>
      <w:pPr>
        <w:ind w:left="980" w:right="20" w:firstLine="408"/>
        <w:spacing w:after="0" w:line="277" w:lineRule="auto"/>
        <w:tabs>
          <w:tab w:leader="none" w:pos="16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980" w:right="140" w:firstLine="408"/>
        <w:spacing w:after="0" w:line="277" w:lineRule="auto"/>
        <w:tabs>
          <w:tab w:leader="none" w:pos="16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10" w:name="page11"/>
    <w:bookmarkEnd w:id="10"/>
    <w:p>
      <w:pPr>
        <w:ind w:left="1244" w:hanging="253"/>
        <w:spacing w:after="0"/>
        <w:tabs>
          <w:tab w:leader="none" w:pos="1244" w:val="left"/>
        </w:tabs>
        <w:numPr>
          <w:ilvl w:val="2"/>
          <w:numId w:val="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of Termination</w:t>
      </w:r>
      <w:r>
        <w:rPr>
          <w:rFonts w:ascii="Arial" w:cs="Arial" w:eastAsia="Arial" w:hAnsi="Arial"/>
          <w:sz w:val="16"/>
          <w:szCs w:val="16"/>
          <w:color w:val="auto"/>
        </w:rPr>
        <w:t>. “</w:t>
      </w:r>
      <w:r>
        <w:rPr>
          <w:rFonts w:ascii="Arial" w:cs="Arial" w:eastAsia="Arial" w:hAnsi="Arial"/>
          <w:sz w:val="16"/>
          <w:szCs w:val="16"/>
          <w:b w:val="1"/>
          <w:bCs w:val="1"/>
          <w:i w:val="1"/>
          <w:iCs w:val="1"/>
          <w:u w:val="single" w:color="auto"/>
          <w:color w:val="auto"/>
        </w:rPr>
        <w:t>Date of Termination</w:t>
      </w:r>
      <w:r>
        <w:rPr>
          <w:rFonts w:ascii="Arial" w:cs="Arial" w:eastAsia="Arial" w:hAnsi="Arial"/>
          <w:sz w:val="16"/>
          <w:szCs w:val="16"/>
          <w:color w:val="auto"/>
        </w:rPr>
        <w:t>” shall mean: (i) if the Executive’s employment is terminated by death, the date of death;</w:t>
      </w:r>
    </w:p>
    <w:p>
      <w:pPr>
        <w:spacing w:after="0" w:line="46"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(30) days after the date on which a Notice of Termination is given or a later date otherwise specified by the Company in the Notice of Termination;</w:t>
      </w:r>
    </w:p>
    <w:p>
      <w:pPr>
        <w:spacing w:after="0" w:line="20" w:lineRule="exact"/>
        <w:rPr>
          <w:rFonts w:ascii="Arial" w:cs="Arial" w:eastAsia="Arial" w:hAnsi="Arial"/>
          <w:sz w:val="16"/>
          <w:szCs w:val="16"/>
          <w:color w:val="auto"/>
        </w:rPr>
      </w:pPr>
    </w:p>
    <w:p>
      <w:pPr>
        <w:ind w:left="304" w:hanging="304"/>
        <w:spacing w:after="0"/>
        <w:tabs>
          <w:tab w:leader="none" w:pos="3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Executive’s employment is terminated by the Executive under Section 3(e) other than for Good Reason, thirty (30) days after the date on</w:t>
      </w:r>
    </w:p>
    <w:p>
      <w:pPr>
        <w:spacing w:after="0" w:line="20" w:lineRule="exact"/>
        <w:rPr>
          <w:rFonts w:ascii="Arial" w:cs="Arial" w:eastAsia="Arial" w:hAnsi="Arial"/>
          <w:sz w:val="17"/>
          <w:szCs w:val="17"/>
          <w:color w:val="auto"/>
        </w:rPr>
      </w:pPr>
    </w:p>
    <w:p>
      <w:pPr>
        <w:ind w:left="4" w:right="140"/>
        <w:spacing w:after="0" w:line="253" w:lineRule="auto"/>
        <w:rPr>
          <w:rFonts w:ascii="Arial" w:cs="Arial" w:eastAsia="Arial" w:hAnsi="Arial"/>
          <w:sz w:val="17"/>
          <w:szCs w:val="17"/>
          <w:color w:val="auto"/>
        </w:rPr>
      </w:pPr>
      <w:r>
        <w:rPr>
          <w:rFonts w:ascii="Arial" w:cs="Arial" w:eastAsia="Arial" w:hAnsi="Arial"/>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92" w:lineRule="exact"/>
        <w:rPr>
          <w:rFonts w:ascii="Arial" w:cs="Arial" w:eastAsia="Arial" w:hAnsi="Arial"/>
          <w:sz w:val="17"/>
          <w:szCs w:val="17"/>
          <w:color w:val="auto"/>
        </w:rPr>
      </w:pPr>
    </w:p>
    <w:p>
      <w:pPr>
        <w:ind w:left="4" w:firstLine="987"/>
        <w:spacing w:after="0" w:line="290" w:lineRule="auto"/>
        <w:tabs>
          <w:tab w:leader="none" w:pos="1240"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4" w:right="60" w:firstLine="987"/>
        <w:spacing w:after="0" w:line="259" w:lineRule="auto"/>
        <w:tabs>
          <w:tab w:leader="none" w:pos="1250"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86" w:lineRule="exact"/>
        <w:rPr>
          <w:rFonts w:ascii="Arial" w:cs="Arial" w:eastAsia="Arial" w:hAnsi="Arial"/>
          <w:sz w:val="18"/>
          <w:szCs w:val="18"/>
          <w:color w:val="auto"/>
        </w:rPr>
      </w:pPr>
    </w:p>
    <w:p>
      <w:pPr>
        <w:ind w:left="4" w:right="180" w:firstLine="436"/>
        <w:spacing w:after="0" w:line="293" w:lineRule="auto"/>
        <w:tabs>
          <w:tab w:leader="none" w:pos="624"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w:t>
      </w:r>
      <w:r>
        <w:rPr>
          <w:rFonts w:ascii="Arial" w:cs="Arial" w:eastAsia="Arial" w:hAnsi="Arial"/>
          <w:sz w:val="16"/>
          <w:szCs w:val="16"/>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(the “</w:t>
      </w:r>
      <w:r>
        <w:rPr>
          <w:rFonts w:ascii="Arial" w:cs="Arial" w:eastAsia="Arial" w:hAnsi="Arial"/>
          <w:sz w:val="16"/>
          <w:szCs w:val="16"/>
          <w:b w:val="1"/>
          <w:bCs w:val="1"/>
          <w:i w:val="1"/>
          <w:iCs w:val="1"/>
          <w:u w:val="single" w:color="auto"/>
          <w:color w:val="auto"/>
        </w:rPr>
        <w:t>Separation Agreement</w:t>
      </w:r>
      <w:r>
        <w:rPr>
          <w:rFonts w:ascii="Arial" w:cs="Arial" w:eastAsia="Arial" w:hAnsi="Arial"/>
          <w:sz w:val="16"/>
          <w:szCs w:val="16"/>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56" w:lineRule="exact"/>
        <w:rPr>
          <w:rFonts w:ascii="Arial" w:cs="Arial" w:eastAsia="Arial" w:hAnsi="Arial"/>
          <w:sz w:val="16"/>
          <w:szCs w:val="16"/>
          <w:color w:val="auto"/>
        </w:rPr>
      </w:pPr>
    </w:p>
    <w:p>
      <w:pPr>
        <w:ind w:left="1244" w:hanging="253"/>
        <w:spacing w:after="0"/>
        <w:tabs>
          <w:tab w:leader="none" w:pos="1244" w:val="left"/>
        </w:tabs>
        <w:numPr>
          <w:ilvl w:val="2"/>
          <w:numId w:val="16"/>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the Executive an amount equal to nine (9) months’ of the Executive’s Base Salary (the</w:t>
      </w:r>
    </w:p>
    <w:p>
      <w:pPr>
        <w:spacing w:after="0" w:line="35"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u w:val="single" w:color="auto"/>
          <w:color w:val="auto"/>
        </w:rPr>
        <w:t>Severance Amount</w:t>
      </w:r>
      <w:r>
        <w:rPr>
          <w:rFonts w:ascii="Arial" w:cs="Arial" w:eastAsia="Arial" w:hAnsi="Arial"/>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Arial" w:cs="Arial" w:eastAsia="Arial" w:hAnsi="Arial"/>
          <w:sz w:val="18"/>
          <w:szCs w:val="18"/>
          <w:b w:val="1"/>
          <w:bCs w:val="1"/>
          <w:i w:val="1"/>
          <w:iCs w:val="1"/>
          <w:u w:val="single" w:color="auto"/>
          <w:color w:val="auto"/>
        </w:rPr>
        <w:t>Earned Bonus</w:t>
      </w:r>
      <w:r>
        <w:rPr>
          <w:rFonts w:ascii="Arial" w:cs="Arial" w:eastAsia="Arial" w:hAnsi="Arial"/>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 w:name="page12"/>
    <w:bookmarkEnd w:id="11"/>
    <w:p>
      <w:pPr>
        <w:jc w:val="both"/>
        <w:ind w:left="4" w:right="160" w:firstLine="987"/>
        <w:spacing w:after="0" w:line="286" w:lineRule="auto"/>
        <w:tabs>
          <w:tab w:leader="none" w:pos="1250"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COBRA Premiums</w:t>
      </w:r>
      <w:r>
        <w:rPr>
          <w:rFonts w:ascii="Arial" w:cs="Arial" w:eastAsia="Arial" w:hAnsi="Arial"/>
          <w:sz w:val="16"/>
          <w:szCs w:val="16"/>
          <w:color w:val="auto"/>
        </w:rPr>
        <w:t>. Subject to the Executive’s copayment of premium amounts at the applicable active employees’ rate and the Executive’s proper election to receive benefits under the Consolidated Omnibus Budget Reconciliation Act of 1985, as amended (“</w:t>
      </w:r>
      <w:r>
        <w:rPr>
          <w:rFonts w:ascii="Arial" w:cs="Arial" w:eastAsia="Arial" w:hAnsi="Arial"/>
          <w:sz w:val="16"/>
          <w:szCs w:val="16"/>
          <w:b w:val="1"/>
          <w:bCs w:val="1"/>
          <w:i w:val="1"/>
          <w:iCs w:val="1"/>
          <w:u w:val="single" w:color="auto"/>
          <w:color w:val="auto"/>
        </w:rPr>
        <w:t>COBRA</w:t>
      </w:r>
      <w:r>
        <w:rPr>
          <w:rFonts w:ascii="Arial" w:cs="Arial" w:eastAsia="Arial" w:hAnsi="Arial"/>
          <w:sz w:val="16"/>
          <w:szCs w:val="16"/>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1" w:lineRule="exact"/>
        <w:rPr>
          <w:rFonts w:ascii="Arial" w:cs="Arial" w:eastAsia="Arial" w:hAnsi="Arial"/>
          <w:sz w:val="16"/>
          <w:szCs w:val="16"/>
          <w:color w:val="auto"/>
        </w:rPr>
      </w:pPr>
    </w:p>
    <w:p>
      <w:pPr>
        <w:ind w:left="4" w:right="120" w:hanging="4"/>
        <w:spacing w:after="0" w:line="270" w:lineRule="auto"/>
        <w:tabs>
          <w:tab w:leader="none" w:pos="29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8" w:lineRule="exact"/>
        <w:rPr>
          <w:rFonts w:ascii="Arial" w:cs="Arial" w:eastAsia="Arial" w:hAnsi="Arial"/>
          <w:sz w:val="17"/>
          <w:szCs w:val="17"/>
          <w:color w:val="auto"/>
        </w:rPr>
      </w:pPr>
    </w:p>
    <w:p>
      <w:pPr>
        <w:ind w:left="4" w:firstLine="987"/>
        <w:spacing w:after="0" w:line="287" w:lineRule="auto"/>
        <w:tabs>
          <w:tab w:leader="none" w:pos="124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ninety (90) days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 Agreement</w:t>
      </w:r>
      <w:r>
        <w:rPr>
          <w:rFonts w:ascii="Arial" w:cs="Arial" w:eastAsia="Arial" w:hAnsi="Arial"/>
          <w:sz w:val="16"/>
          <w:szCs w:val="16"/>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w:t>
      </w:r>
    </w:p>
    <w:p>
      <w:pPr>
        <w:spacing w:after="0" w:line="171" w:lineRule="exact"/>
        <w:rPr>
          <w:rFonts w:ascii="Arial" w:cs="Arial" w:eastAsia="Arial" w:hAnsi="Arial"/>
          <w:sz w:val="16"/>
          <w:szCs w:val="16"/>
          <w:color w:val="auto"/>
        </w:rPr>
      </w:pPr>
    </w:p>
    <w:p>
      <w:pPr>
        <w:ind w:left="4" w:right="120" w:firstLine="987"/>
        <w:spacing w:after="0" w:line="259" w:lineRule="auto"/>
        <w:tabs>
          <w:tab w:leader="none" w:pos="125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Severance Payment Timing</w:t>
      </w:r>
      <w:r>
        <w:rPr>
          <w:rFonts w:ascii="Arial" w:cs="Arial" w:eastAsia="Arial" w:hAnsi="Arial"/>
          <w:sz w:val="18"/>
          <w:szCs w:val="18"/>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2" w:name="page13"/>
    <w:bookmarkEnd w:id="12"/>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7"/>
          <w:szCs w:val="17"/>
          <w:b w:val="1"/>
          <w:bCs w:val="1"/>
          <w:i w:val="1"/>
          <w:iCs w:val="1"/>
          <w:u w:val="single" w:color="auto"/>
          <w:color w:val="auto"/>
        </w:rPr>
        <w:t>Code</w:t>
      </w:r>
      <w:r>
        <w:rPr>
          <w:rFonts w:ascii="Arial" w:cs="Arial" w:eastAsia="Arial" w:hAnsi="Arial"/>
          <w:sz w:val="17"/>
          <w:szCs w:val="17"/>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71" w:lineRule="exact"/>
        <w:rPr>
          <w:sz w:val="20"/>
          <w:szCs w:val="20"/>
          <w:color w:val="auto"/>
        </w:rPr>
      </w:pPr>
    </w:p>
    <w:p>
      <w:pPr>
        <w:ind w:left="4" w:firstLine="436"/>
        <w:spacing w:after="0" w:line="286" w:lineRule="auto"/>
        <w:tabs>
          <w:tab w:leader="none" w:pos="624"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the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Arial" w:cs="Arial" w:eastAsia="Arial" w:hAnsi="Arial"/>
          <w:sz w:val="16"/>
          <w:szCs w:val="16"/>
          <w:b w:val="1"/>
          <w:bCs w:val="1"/>
          <w:i w:val="1"/>
          <w:iCs w:val="1"/>
          <w:u w:val="single" w:color="auto"/>
          <w:color w:val="auto"/>
        </w:rPr>
        <w:t>Change in Control Period</w:t>
      </w:r>
      <w:r>
        <w:rPr>
          <w:rFonts w:ascii="Arial" w:cs="Arial" w:eastAsia="Arial" w:hAnsi="Arial"/>
          <w:sz w:val="16"/>
          <w:szCs w:val="16"/>
          <w:color w:val="auto"/>
        </w:rPr>
        <w:t>” shall begin on the earlier of</w:t>
      </w:r>
    </w:p>
    <w:p>
      <w:pPr>
        <w:spacing w:after="0" w:line="1" w:lineRule="exact"/>
        <w:rPr>
          <w:rFonts w:ascii="Arial" w:cs="Arial" w:eastAsia="Arial" w:hAnsi="Arial"/>
          <w:sz w:val="16"/>
          <w:szCs w:val="16"/>
          <w:color w:val="auto"/>
        </w:rPr>
      </w:pPr>
    </w:p>
    <w:p>
      <w:pPr>
        <w:ind w:left="4" w:right="40" w:hanging="4"/>
        <w:spacing w:after="0" w:line="270" w:lineRule="auto"/>
        <w:tabs>
          <w:tab w:leader="none" w:pos="249"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78" w:lineRule="exact"/>
        <w:rPr>
          <w:sz w:val="20"/>
          <w:szCs w:val="20"/>
          <w:color w:val="auto"/>
        </w:rPr>
      </w:pPr>
    </w:p>
    <w:p>
      <w:pPr>
        <w:ind w:left="4" w:right="80"/>
        <w:spacing w:after="0" w:line="301" w:lineRule="auto"/>
        <w:rPr>
          <w:sz w:val="20"/>
          <w:szCs w:val="20"/>
          <w:color w:val="auto"/>
        </w:rPr>
      </w:pPr>
      <w:r>
        <w:rPr>
          <w:rFonts w:ascii="Arial" w:cs="Arial" w:eastAsia="Arial" w:hAnsi="Arial"/>
          <w:sz w:val="16"/>
          <w:szCs w:val="16"/>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157" w:lineRule="exact"/>
        <w:rPr>
          <w:sz w:val="20"/>
          <w:szCs w:val="20"/>
          <w:color w:val="auto"/>
        </w:rPr>
      </w:pPr>
    </w:p>
    <w:p>
      <w:pPr>
        <w:jc w:val="both"/>
        <w:ind w:left="4" w:right="80" w:firstLine="987"/>
        <w:spacing w:after="0" w:line="259"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20" w:firstLine="987"/>
        <w:spacing w:after="0" w:line="257" w:lineRule="auto"/>
        <w:tabs>
          <w:tab w:leader="none" w:pos="125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13" w:name="page14"/>
    <w:bookmarkEnd w:id="13"/>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76" w:lineRule="exact"/>
        <w:rPr>
          <w:sz w:val="20"/>
          <w:szCs w:val="20"/>
          <w:color w:val="auto"/>
        </w:rPr>
      </w:pPr>
    </w:p>
    <w:p>
      <w:pPr>
        <w:ind w:firstLine="987"/>
        <w:spacing w:after="0" w:line="270" w:lineRule="auto"/>
        <w:tabs>
          <w:tab w:leader="none" w:pos="1236"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0" w:lineRule="exact"/>
        <w:rPr>
          <w:rFonts w:ascii="Arial" w:cs="Arial" w:eastAsia="Arial" w:hAnsi="Arial"/>
          <w:sz w:val="17"/>
          <w:szCs w:val="17"/>
          <w:color w:val="auto"/>
        </w:rPr>
      </w:pPr>
    </w:p>
    <w:p>
      <w:pPr>
        <w:ind w:firstLine="987"/>
        <w:spacing w:after="0" w:line="301" w:lineRule="auto"/>
        <w:tabs>
          <w:tab w:leader="none" w:pos="1246"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57" w:lineRule="exact"/>
        <w:rPr>
          <w:rFonts w:ascii="Arial" w:cs="Arial" w:eastAsia="Arial" w:hAnsi="Arial"/>
          <w:sz w:val="16"/>
          <w:szCs w:val="16"/>
          <w:color w:val="auto"/>
        </w:rPr>
      </w:pPr>
    </w:p>
    <w:p>
      <w:pPr>
        <w:ind w:left="620" w:hanging="184"/>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280G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87"/>
        <w:spacing w:after="0" w:line="253" w:lineRule="auto"/>
        <w:tabs>
          <w:tab w:leader="none" w:pos="123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8"/>
          <w:szCs w:val="18"/>
          <w:b w:val="1"/>
          <w:bCs w:val="1"/>
          <w:i w:val="1"/>
          <w:iCs w:val="1"/>
          <w:u w:val="single" w:color="auto"/>
          <w:color w:val="auto"/>
        </w:rPr>
        <w:t>Aggregate Payments</w:t>
      </w:r>
      <w:r>
        <w:rPr>
          <w:rFonts w:ascii="Arial" w:cs="Arial" w:eastAsia="Arial" w:hAnsi="Arial"/>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4" w:name="page15"/>
    <w:bookmarkEnd w:id="1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from consummation of the transaction that is subject to Section 280G of the Code: (1) cash payments not subject to Section 409A of the Code;</w:t>
      </w:r>
    </w:p>
    <w:p>
      <w:pPr>
        <w:spacing w:after="0" w:line="46" w:lineRule="exact"/>
        <w:rPr>
          <w:sz w:val="20"/>
          <w:szCs w:val="20"/>
          <w:color w:val="auto"/>
        </w:rPr>
      </w:pPr>
    </w:p>
    <w:p>
      <w:pPr>
        <w:ind w:left="4" w:hanging="4"/>
        <w:spacing w:after="0" w:line="277"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2" w:lineRule="exact"/>
        <w:rPr>
          <w:rFonts w:ascii="Arial" w:cs="Arial" w:eastAsia="Arial" w:hAnsi="Arial"/>
          <w:sz w:val="17"/>
          <w:szCs w:val="17"/>
          <w:color w:val="auto"/>
        </w:rPr>
      </w:pPr>
    </w:p>
    <w:p>
      <w:pPr>
        <w:ind w:left="4" w:right="60" w:firstLine="987"/>
        <w:spacing w:after="0" w:line="255" w:lineRule="auto"/>
        <w:tabs>
          <w:tab w:leader="none" w:pos="1250" w:val="left"/>
        </w:tabs>
        <w:numPr>
          <w:ilvl w:val="2"/>
          <w:numId w:val="24"/>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18"/>
          <w:szCs w:val="18"/>
          <w:color w:val="auto"/>
        </w:rPr>
      </w:pPr>
    </w:p>
    <w:p>
      <w:pPr>
        <w:ind w:left="4" w:right="20" w:firstLine="987"/>
        <w:spacing w:after="0" w:line="284" w:lineRule="auto"/>
        <w:tabs>
          <w:tab w:leader="none" w:pos="1240" w:val="left"/>
        </w:tabs>
        <w:numPr>
          <w:ilvl w:val="2"/>
          <w:numId w:val="24"/>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93" w:lineRule="exact"/>
        <w:rPr>
          <w:rFonts w:ascii="Arial" w:cs="Arial" w:eastAsia="Arial" w:hAnsi="Arial"/>
          <w:sz w:val="16"/>
          <w:szCs w:val="16"/>
          <w:color w:val="auto"/>
        </w:rPr>
      </w:pPr>
    </w:p>
    <w:p>
      <w:pPr>
        <w:ind w:left="624" w:hanging="184"/>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79" w:lineRule="auto"/>
        <w:tabs>
          <w:tab w:leader="none" w:pos="1240" w:val="left"/>
        </w:tabs>
        <w:numPr>
          <w:ilvl w:val="2"/>
          <w:numId w:val="25"/>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5" w:name="page16"/>
    <w:bookmarkEnd w:id="15"/>
    <w:p>
      <w:pPr>
        <w:jc w:val="both"/>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76" w:lineRule="exact"/>
        <w:rPr>
          <w:sz w:val="20"/>
          <w:szCs w:val="20"/>
          <w:color w:val="auto"/>
        </w:rPr>
      </w:pPr>
    </w:p>
    <w:p>
      <w:pPr>
        <w:ind w:right="40" w:firstLine="987"/>
        <w:spacing w:after="0" w:line="273" w:lineRule="auto"/>
        <w:tabs>
          <w:tab w:leader="none" w:pos="124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jc w:val="both"/>
        <w:ind w:right="160" w:firstLine="987"/>
        <w:spacing w:after="0" w:line="279" w:lineRule="auto"/>
        <w:tabs>
          <w:tab w:leader="none" w:pos="12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right="220" w:firstLine="987"/>
        <w:spacing w:after="0" w:line="290" w:lineRule="auto"/>
        <w:tabs>
          <w:tab w:leader="none" w:pos="1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65" w:lineRule="exact"/>
        <w:rPr>
          <w:rFonts w:ascii="Arial" w:cs="Arial" w:eastAsia="Arial" w:hAnsi="Arial"/>
          <w:sz w:val="16"/>
          <w:szCs w:val="16"/>
          <w:color w:val="auto"/>
        </w:rPr>
      </w:pPr>
    </w:p>
    <w:p>
      <w:pPr>
        <w:ind w:firstLine="987"/>
        <w:spacing w:after="0" w:line="263"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40" w:top="274" w:right="519" w:bottom="1440" w:gutter="0" w:footer="0" w:header="0"/>
        </w:sectPr>
      </w:pPr>
    </w:p>
    <w:bookmarkStart w:id="16" w:name="page17"/>
    <w:bookmarkEnd w:id="16"/>
    <w:p>
      <w:pPr>
        <w:ind w:left="580" w:hanging="184"/>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987"/>
        <w:spacing w:after="0" w:line="257" w:lineRule="auto"/>
        <w:tabs>
          <w:tab w:leader="none" w:pos="119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As a condition of entering into this Agreement, Executive agrees to the terms of the Employee Proprietary Information and Inventions Assignment Agreement, dated August 5, 2021 between the Company and the Executive (the “</w:t>
      </w:r>
      <w:r>
        <w:rPr>
          <w:rFonts w:ascii="Arial" w:cs="Arial" w:eastAsia="Arial" w:hAnsi="Arial"/>
          <w:sz w:val="18"/>
          <w:szCs w:val="18"/>
          <w:b w:val="1"/>
          <w:bCs w:val="1"/>
          <w:i w:val="1"/>
          <w:iCs w:val="1"/>
          <w:u w:val="single" w:color="auto"/>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Covenants Agreement</w:t>
      </w:r>
      <w:r>
        <w:rPr>
          <w:rFonts w:ascii="Arial" w:cs="Arial" w:eastAsia="Arial" w:hAnsi="Arial"/>
          <w:sz w:val="18"/>
          <w:szCs w:val="18"/>
          <w:color w:val="auto"/>
        </w:rPr>
        <w:t>”). For purposes of this Agreement, the obligations in this Section 9 and those that arise in the Restrictive Covenants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any other agreement relating to confidentiality, assignment of inventions, or other restrictive covenants that may later be agreed to by the Executive shall collectively be referred to as the “</w:t>
      </w:r>
      <w:r>
        <w:rPr>
          <w:rFonts w:ascii="Arial" w:cs="Arial" w:eastAsia="Arial" w:hAnsi="Arial"/>
          <w:sz w:val="18"/>
          <w:szCs w:val="18"/>
          <w:b w:val="1"/>
          <w:bCs w:val="1"/>
          <w:i w:val="1"/>
          <w:iCs w:val="1"/>
          <w:u w:val="single" w:color="auto"/>
          <w:color w:val="auto"/>
        </w:rPr>
        <w:t>Continuing Obligations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0" w:right="100" w:firstLine="987"/>
        <w:spacing w:after="0" w:line="254" w:lineRule="auto"/>
        <w:tabs>
          <w:tab w:leader="none" w:pos="120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91" w:lineRule="exact"/>
        <w:rPr>
          <w:rFonts w:ascii="Arial" w:cs="Arial" w:eastAsia="Arial" w:hAnsi="Arial"/>
          <w:sz w:val="18"/>
          <w:szCs w:val="18"/>
          <w:color w:val="auto"/>
        </w:rPr>
      </w:pPr>
    </w:p>
    <w:p>
      <w:pPr>
        <w:ind w:left="-40" w:firstLine="987"/>
        <w:spacing w:after="0" w:line="269" w:lineRule="auto"/>
        <w:tabs>
          <w:tab w:leader="none" w:pos="1196"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181" w:lineRule="exact"/>
        <w:rPr>
          <w:rFonts w:ascii="Arial" w:cs="Arial" w:eastAsia="Arial" w:hAnsi="Arial"/>
          <w:sz w:val="17"/>
          <w:szCs w:val="17"/>
          <w:color w:val="auto"/>
        </w:rPr>
      </w:pPr>
    </w:p>
    <w:p>
      <w:pPr>
        <w:ind w:left="-40" w:right="120" w:firstLine="987"/>
        <w:spacing w:after="0" w:line="257" w:lineRule="auto"/>
        <w:tabs>
          <w:tab w:leader="none" w:pos="1206"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4" w:right="499" w:bottom="1440" w:gutter="0" w:footer="0" w:header="0"/>
        </w:sectPr>
      </w:pPr>
    </w:p>
    <w:bookmarkStart w:id="17" w:name="page18"/>
    <w:bookmarkEnd w:id="17"/>
    <w:p>
      <w:pPr>
        <w:ind w:left="4" w:right="20" w:firstLine="436"/>
        <w:spacing w:after="0" w:line="291" w:lineRule="auto"/>
        <w:tabs>
          <w:tab w:leader="none" w:pos="71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 to Jurisdiction</w:t>
      </w:r>
      <w:r>
        <w:rPr>
          <w:rFonts w:ascii="Arial" w:cs="Arial" w:eastAsia="Arial" w:hAnsi="Arial"/>
          <w:sz w:val="16"/>
          <w:szCs w:val="16"/>
          <w:color w:val="auto"/>
        </w:rPr>
        <w:t>. The parties hereby consent to the jurisdiction of the state and federal courts of the State of Vermont.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waives any other requirement (whether imposed by statute, rule of court, or otherwise) with respect to personal jurisdiction or service of process.</w:t>
      </w:r>
    </w:p>
    <w:p>
      <w:pPr>
        <w:spacing w:after="0" w:line="233" w:lineRule="exact"/>
        <w:rPr>
          <w:rFonts w:ascii="Arial" w:cs="Arial" w:eastAsia="Arial" w:hAnsi="Arial"/>
          <w:sz w:val="16"/>
          <w:szCs w:val="16"/>
          <w:color w:val="auto"/>
        </w:rPr>
      </w:pPr>
    </w:p>
    <w:p>
      <w:pPr>
        <w:ind w:left="4" w:right="20" w:firstLine="436"/>
        <w:spacing w:after="0" w:line="263" w:lineRule="auto"/>
        <w:tabs>
          <w:tab w:leader="none" w:pos="707"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Prior Agreement, provided that the Restrictive Covenants Agreement and the agreements governing any Equity Awards remain in full force and effect.</w:t>
      </w:r>
    </w:p>
    <w:p>
      <w:pPr>
        <w:spacing w:after="0" w:line="183" w:lineRule="exact"/>
        <w:rPr>
          <w:rFonts w:ascii="Arial" w:cs="Arial" w:eastAsia="Arial" w:hAnsi="Arial"/>
          <w:sz w:val="18"/>
          <w:szCs w:val="18"/>
          <w:color w:val="auto"/>
        </w:rPr>
      </w:pPr>
    </w:p>
    <w:p>
      <w:pPr>
        <w:ind w:left="4" w:right="20" w:firstLine="436"/>
        <w:spacing w:after="0" w:line="259" w:lineRule="auto"/>
        <w:tabs>
          <w:tab w:leader="none" w:pos="71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86" w:lineRule="exact"/>
        <w:rPr>
          <w:rFonts w:ascii="Arial" w:cs="Arial" w:eastAsia="Arial" w:hAnsi="Arial"/>
          <w:sz w:val="18"/>
          <w:szCs w:val="18"/>
          <w:color w:val="auto"/>
        </w:rPr>
      </w:pPr>
    </w:p>
    <w:p>
      <w:pPr>
        <w:ind w:left="4" w:right="140" w:firstLine="436"/>
        <w:spacing w:after="0" w:line="291" w:lineRule="auto"/>
        <w:tabs>
          <w:tab w:leader="none" w:pos="714"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67" w:lineRule="auto"/>
        <w:tabs>
          <w:tab w:leader="none" w:pos="25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8" w:name="page19"/>
    <w:bookmarkEnd w:id="18"/>
    <w:p>
      <w:pPr>
        <w:ind w:left="4" w:right="140" w:firstLine="436"/>
        <w:spacing w:after="0" w:line="279" w:lineRule="auto"/>
        <w:tabs>
          <w:tab w:leader="none" w:pos="71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80" w:firstLine="436"/>
        <w:spacing w:after="0" w:line="286" w:lineRule="auto"/>
        <w:tabs>
          <w:tab w:leader="none" w:pos="71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65" w:lineRule="exact"/>
        <w:rPr>
          <w:rFonts w:ascii="Arial" w:cs="Arial" w:eastAsia="Arial" w:hAnsi="Arial"/>
          <w:sz w:val="17"/>
          <w:szCs w:val="17"/>
          <w:color w:val="auto"/>
        </w:rPr>
      </w:pPr>
    </w:p>
    <w:p>
      <w:pPr>
        <w:ind w:left="4" w:firstLine="436"/>
        <w:spacing w:after="0" w:line="263" w:lineRule="auto"/>
        <w:tabs>
          <w:tab w:leader="none" w:pos="71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jc w:val="both"/>
        <w:ind w:left="4" w:right="160" w:hanging="4"/>
        <w:spacing w:after="0" w:line="253" w:lineRule="auto"/>
        <w:tabs>
          <w:tab w:leader="none" w:pos="2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92" w:lineRule="exact"/>
        <w:rPr>
          <w:rFonts w:ascii="Arial" w:cs="Arial" w:eastAsia="Arial" w:hAnsi="Arial"/>
          <w:sz w:val="18"/>
          <w:szCs w:val="18"/>
          <w:color w:val="auto"/>
        </w:rPr>
      </w:pPr>
    </w:p>
    <w:p>
      <w:pPr>
        <w:ind w:left="4" w:right="200" w:firstLine="436"/>
        <w:spacing w:after="0" w:line="277" w:lineRule="auto"/>
        <w:tabs>
          <w:tab w:leader="none" w:pos="714"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4" w:firstLine="436"/>
        <w:spacing w:after="0" w:line="270" w:lineRule="auto"/>
        <w:tabs>
          <w:tab w:leader="none" w:pos="714" w:val="left"/>
        </w:tabs>
        <w:numPr>
          <w:ilvl w:val="1"/>
          <w:numId w:val="32"/>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w:t>
      </w:r>
    </w:p>
    <w:p>
      <w:pPr>
        <w:spacing w:after="0" w:line="11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4"/>
          </w:cols>
          <w:pgMar w:left="436" w:top="274" w:right="579" w:bottom="144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shall limit any right that the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the Executive after his or her termination of employment.</w:t>
      </w:r>
    </w:p>
    <w:p>
      <w:pPr>
        <w:spacing w:after="0" w:line="187" w:lineRule="exact"/>
        <w:rPr>
          <w:sz w:val="20"/>
          <w:szCs w:val="20"/>
          <w:color w:val="auto"/>
        </w:rPr>
      </w:pPr>
    </w:p>
    <w:p>
      <w:pPr>
        <w:ind w:right="200" w:firstLine="436"/>
        <w:spacing w:after="0" w:line="301" w:lineRule="auto"/>
        <w:tabs>
          <w:tab w:leader="none" w:pos="71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Mitigation; Offset</w:t>
      </w:r>
      <w:r>
        <w:rPr>
          <w:rFonts w:ascii="Arial" w:cs="Arial" w:eastAsia="Arial" w:hAnsi="Arial"/>
          <w:sz w:val="16"/>
          <w:szCs w:val="16"/>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57" w:lineRule="exact"/>
        <w:rPr>
          <w:rFonts w:ascii="Arial" w:cs="Arial" w:eastAsia="Arial" w:hAnsi="Arial"/>
          <w:sz w:val="16"/>
          <w:szCs w:val="16"/>
          <w:color w:val="auto"/>
        </w:rPr>
      </w:pPr>
    </w:p>
    <w:p>
      <w:pPr>
        <w:ind w:firstLine="436"/>
        <w:spacing w:after="0" w:line="270" w:lineRule="auto"/>
        <w:tabs>
          <w:tab w:leader="none" w:pos="71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180" w:lineRule="exact"/>
        <w:rPr>
          <w:rFonts w:ascii="Arial" w:cs="Arial" w:eastAsia="Arial" w:hAnsi="Arial"/>
          <w:sz w:val="17"/>
          <w:szCs w:val="17"/>
          <w:color w:val="auto"/>
        </w:rPr>
      </w:pPr>
    </w:p>
    <w:p>
      <w:pPr>
        <w:ind w:left="700" w:hanging="264"/>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Governing Law; Venue and 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987"/>
        <w:spacing w:after="0" w:line="259" w:lineRule="auto"/>
        <w:tabs>
          <w:tab w:leader="none" w:pos="1236"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Agreement will be governed by and construed in accordance with applicable federal laws and, to the extent not inconsistent therewith or preempted thereby, with the laws of the State of Vermont, including any applicable statutes of limitation, without regard to any otherwise applicable principles of conflicts of laws or choice of law rules (whether of the State of Vermont or any other jurisdiction) that would result in the application of the substantive or procedural rules or law of any other jurisdiction.</w:t>
      </w:r>
    </w:p>
    <w:p>
      <w:pPr>
        <w:spacing w:after="0" w:line="186" w:lineRule="exact"/>
        <w:rPr>
          <w:rFonts w:ascii="Arial" w:cs="Arial" w:eastAsia="Arial" w:hAnsi="Arial"/>
          <w:sz w:val="18"/>
          <w:szCs w:val="18"/>
          <w:color w:val="auto"/>
        </w:rPr>
      </w:pPr>
    </w:p>
    <w:p>
      <w:pPr>
        <w:ind w:right="20" w:firstLine="987"/>
        <w:spacing w:after="0" w:line="257" w:lineRule="auto"/>
        <w:tabs>
          <w:tab w:leader="none" w:pos="1246"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Vermont, or if that court does not have or will not accept jurisdiction, in any court of general jurisdiction in the State of Vermont,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440" w:top="274" w:right="599" w:bottom="1440" w:gutter="0" w:footer="0" w:header="0"/>
        </w:sectPr>
      </w:pPr>
    </w:p>
    <w:bookmarkStart w:id="20" w:name="page21"/>
    <w:bookmarkEnd w:id="20"/>
    <w:p>
      <w:pPr>
        <w:ind w:left="4" w:right="20" w:firstLine="987"/>
        <w:spacing w:after="0" w:line="259" w:lineRule="auto"/>
        <w:tabs>
          <w:tab w:leader="none" w:pos="1240" w:val="left"/>
        </w:tabs>
        <w:numPr>
          <w:ilvl w:val="2"/>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6" w:lineRule="exact"/>
        <w:rPr>
          <w:rFonts w:ascii="Arial" w:cs="Arial" w:eastAsia="Arial" w:hAnsi="Arial"/>
          <w:sz w:val="18"/>
          <w:szCs w:val="18"/>
          <w:color w:val="auto"/>
        </w:rPr>
      </w:pPr>
    </w:p>
    <w:p>
      <w:pPr>
        <w:ind w:left="4" w:right="20" w:firstLine="987"/>
        <w:spacing w:after="0" w:line="269" w:lineRule="auto"/>
        <w:tabs>
          <w:tab w:leader="none" w:pos="1250" w:val="left"/>
        </w:tabs>
        <w:numPr>
          <w:ilvl w:val="2"/>
          <w:numId w:val="34"/>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5" w:lineRule="exact"/>
        <w:rPr>
          <w:rFonts w:ascii="Arial" w:cs="Arial" w:eastAsia="Arial" w:hAnsi="Arial"/>
          <w:sz w:val="17"/>
          <w:szCs w:val="17"/>
          <w:color w:val="auto"/>
        </w:rPr>
      </w:pPr>
    </w:p>
    <w:p>
      <w:pPr>
        <w:ind w:left="4" w:firstLine="436"/>
        <w:spacing w:after="0" w:line="285" w:lineRule="auto"/>
        <w:tabs>
          <w:tab w:leader="none" w:pos="714"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 w:name="page22"/>
    <w:bookmarkEnd w:id="21"/>
    <w:p>
      <w:pPr>
        <w:ind w:left="-180" w:firstLine="436"/>
        <w:spacing w:after="0" w:line="277" w:lineRule="auto"/>
        <w:tabs>
          <w:tab w:leader="none" w:pos="53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14605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Tillman U. Gerngross, Ph.D.</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Chief Executive Officer</w:t>
      </w:r>
    </w:p>
    <w:p>
      <w:pPr>
        <w:spacing w:after="0" w:line="23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4091940</wp:posOffset>
            </wp:positionH>
            <wp:positionV relativeFrom="paragraph">
              <wp:posOffset>14605</wp:posOffset>
            </wp:positionV>
            <wp:extent cx="2785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Hering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60"/>
          </w:cols>
          <w:pgMar w:left="620" w:top="274" w:right="61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70" w:right="1440" w:bottom="1440" w:gutter="0" w:footer="0" w:header="0"/>
        </w:sectPr>
      </w:pPr>
    </w:p>
    <w:bookmarkStart w:id="23" w:name="page24"/>
    <w:bookmarkEnd w:id="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Adagio Therapeutics, Inc. (the “Company”) is offering to you to aid in your employment transition.</w:t>
      </w:r>
    </w:p>
    <w:p>
      <w:pPr>
        <w:spacing w:after="0" w:line="166" w:lineRule="exact"/>
        <w:rPr>
          <w:sz w:val="20"/>
          <w:szCs w:val="20"/>
          <w:color w:val="auto"/>
        </w:rPr>
      </w:pPr>
    </w:p>
    <w:p>
      <w:pPr>
        <w:ind w:left="184" w:hanging="184"/>
        <w:spacing w:after="0"/>
        <w:tabs>
          <w:tab w:leader="none" w:pos="18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25"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139" w:lineRule="exact"/>
        <w:rPr>
          <w:rFonts w:ascii="Arial" w:cs="Arial" w:eastAsia="Arial" w:hAnsi="Arial"/>
          <w:sz w:val="17"/>
          <w:szCs w:val="17"/>
          <w:b w:val="1"/>
          <w:bCs w:val="1"/>
          <w:color w:val="auto"/>
        </w:rPr>
      </w:pPr>
    </w:p>
    <w:p>
      <w:pPr>
        <w:ind w:left="4" w:right="20" w:hanging="4"/>
        <w:spacing w:after="0" w:line="282" w:lineRule="auto"/>
        <w:tabs>
          <w:tab w:leader="none" w:pos="18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the Company will provide you with the following Severance Benefits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11" w:lineRule="exact"/>
        <w:rPr>
          <w:sz w:val="20"/>
          <w:szCs w:val="20"/>
          <w:color w:val="auto"/>
        </w:rPr>
      </w:pPr>
    </w:p>
    <w:p>
      <w:pPr>
        <w:ind w:left="544" w:hanging="544"/>
        <w:spacing w:after="0"/>
        <w:tabs>
          <w:tab w:leader="none" w:pos="54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4" w:name="page25"/>
    <w:bookmarkEnd w:id="24"/>
    <w:p>
      <w:pPr>
        <w:ind w:left="4" w:right="7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166" w:lineRule="exact"/>
        <w:rPr>
          <w:sz w:val="20"/>
          <w:szCs w:val="20"/>
          <w:color w:val="auto"/>
        </w:rPr>
      </w:pPr>
    </w:p>
    <w:p>
      <w:pPr>
        <w:ind w:left="4" w:right="60" w:hanging="4"/>
        <w:spacing w:after="0" w:line="347" w:lineRule="auto"/>
        <w:tabs>
          <w:tab w:leader="none" w:pos="184"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115" w:lineRule="exact"/>
        <w:rPr>
          <w:rFonts w:ascii="Arial" w:cs="Arial" w:eastAsia="Arial" w:hAnsi="Arial"/>
          <w:sz w:val="16"/>
          <w:szCs w:val="16"/>
          <w:b w:val="1"/>
          <w:bCs w:val="1"/>
          <w:color w:val="auto"/>
        </w:rPr>
      </w:pPr>
    </w:p>
    <w:p>
      <w:pPr>
        <w:ind w:left="4" w:right="560" w:hanging="4"/>
        <w:spacing w:after="0" w:line="282" w:lineRule="auto"/>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 not receive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severance or benefits after the Separation Date.</w:t>
      </w:r>
    </w:p>
    <w:p>
      <w:pPr>
        <w:spacing w:after="0" w:line="161" w:lineRule="exact"/>
        <w:rPr>
          <w:rFonts w:ascii="Arial" w:cs="Arial" w:eastAsia="Arial" w:hAnsi="Arial"/>
          <w:sz w:val="18"/>
          <w:szCs w:val="18"/>
          <w:b w:val="1"/>
          <w:bCs w:val="1"/>
          <w:color w:val="auto"/>
        </w:rPr>
      </w:pPr>
    </w:p>
    <w:p>
      <w:pPr>
        <w:ind w:left="4" w:right="420" w:hanging="4"/>
        <w:spacing w:after="0" w:line="266" w:lineRule="auto"/>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5" w:lineRule="exact"/>
        <w:rPr>
          <w:rFonts w:ascii="Arial" w:cs="Arial" w:eastAsia="Arial" w:hAnsi="Arial"/>
          <w:sz w:val="18"/>
          <w:szCs w:val="18"/>
          <w:b w:val="1"/>
          <w:bCs w:val="1"/>
          <w:color w:val="auto"/>
        </w:rPr>
      </w:pPr>
    </w:p>
    <w:p>
      <w:pPr>
        <w:ind w:left="4" w:right="300" w:hanging="4"/>
        <w:spacing w:after="0" w:line="294" w:lineRule="auto"/>
        <w:tabs>
          <w:tab w:leader="none" w:pos="184"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159" w:lineRule="exact"/>
        <w:rPr>
          <w:rFonts w:ascii="Arial" w:cs="Arial" w:eastAsia="Arial" w:hAnsi="Arial"/>
          <w:sz w:val="16"/>
          <w:szCs w:val="16"/>
          <w:b w:val="1"/>
          <w:bCs w:val="1"/>
          <w:color w:val="auto"/>
        </w:rPr>
      </w:pPr>
    </w:p>
    <w:p>
      <w:pPr>
        <w:ind w:left="4" w:hanging="4"/>
        <w:spacing w:after="0" w:line="271" w:lineRule="auto"/>
        <w:tabs>
          <w:tab w:leader="none" w:pos="184"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25" w:name="page26"/>
    <w:bookmarkEnd w:id="25"/>
    <w:p>
      <w:pPr>
        <w:ind w:left="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80" w:lineRule="exact"/>
        <w:rPr>
          <w:sz w:val="20"/>
          <w:szCs w:val="20"/>
          <w:color w:val="auto"/>
        </w:rPr>
      </w:pPr>
    </w:p>
    <w:p>
      <w:pPr>
        <w:ind w:left="4" w:right="60" w:hanging="4"/>
        <w:spacing w:after="0" w:line="271" w:lineRule="auto"/>
        <w:tabs>
          <w:tab w:leader="none" w:pos="274"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7"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0"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41"/>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42"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1" w:lineRule="exact"/>
        <w:rPr>
          <w:rFonts w:ascii="Arial" w:cs="Arial" w:eastAsia="Arial" w:hAnsi="Arial"/>
          <w:sz w:val="17"/>
          <w:szCs w:val="17"/>
          <w:b w:val="1"/>
          <w:bCs w:val="1"/>
          <w:color w:val="auto"/>
        </w:rPr>
      </w:pPr>
    </w:p>
    <w:p>
      <w:pPr>
        <w:ind w:left="4" w:right="120" w:hanging="4"/>
        <w:spacing w:after="0" w:line="256" w:lineRule="auto"/>
        <w:tabs>
          <w:tab w:leader="none" w:pos="27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and the Company’s attorneys, directors, managers, partners, employees,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6" w:name="page27"/>
    <w:bookmarkEnd w:id="26"/>
    <w:p>
      <w:pPr>
        <w:ind w:left="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83" w:lineRule="exact"/>
        <w:rPr>
          <w:sz w:val="20"/>
          <w:szCs w:val="20"/>
          <w:color w:val="auto"/>
        </w:rPr>
      </w:pPr>
    </w:p>
    <w:p>
      <w:pPr>
        <w:ind w:left="4" w:right="320" w:hanging="4"/>
        <w:spacing w:after="0" w:line="261" w:lineRule="auto"/>
        <w:tabs>
          <w:tab w:leader="none" w:pos="274"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9"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215" w:lineRule="exact"/>
        <w:rPr>
          <w:rFonts w:ascii="Arial" w:cs="Arial" w:eastAsia="Arial" w:hAnsi="Arial"/>
          <w:sz w:val="17"/>
          <w:szCs w:val="17"/>
          <w:b w:val="1"/>
          <w:bCs w:val="1"/>
          <w:color w:val="auto"/>
        </w:rPr>
      </w:pPr>
    </w:p>
    <w:p>
      <w:pPr>
        <w:ind w:left="964" w:hanging="424"/>
        <w:spacing w:after="0"/>
        <w:tabs>
          <w:tab w:leader="none" w:pos="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252" w:lineRule="exact"/>
        <w:rPr>
          <w:rFonts w:ascii="Arial" w:cs="Arial" w:eastAsia="Arial" w:hAnsi="Arial"/>
          <w:sz w:val="18"/>
          <w:szCs w:val="18"/>
          <w:color w:val="auto"/>
        </w:rPr>
      </w:pPr>
    </w:p>
    <w:p>
      <w:pPr>
        <w:ind w:left="964" w:right="60" w:hanging="424"/>
        <w:spacing w:after="0" w:line="255" w:lineRule="auto"/>
        <w:tabs>
          <w:tab w:leader="none" w:pos="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7" w:name="page28"/>
    <w:bookmarkEnd w:id="27"/>
    <w:p>
      <w:pPr>
        <w:ind w:left="98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72" w:lineRule="exact"/>
        <w:rPr>
          <w:sz w:val="20"/>
          <w:szCs w:val="20"/>
          <w:color w:val="auto"/>
        </w:rPr>
      </w:pPr>
    </w:p>
    <w:p>
      <w:pPr>
        <w:ind w:left="960" w:right="80" w:hanging="424"/>
        <w:spacing w:after="0" w:line="25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01" w:lineRule="exact"/>
        <w:rPr>
          <w:rFonts w:ascii="Arial" w:cs="Arial" w:eastAsia="Arial" w:hAnsi="Arial"/>
          <w:sz w:val="18"/>
          <w:szCs w:val="18"/>
          <w:color w:val="auto"/>
        </w:rPr>
      </w:pPr>
    </w:p>
    <w:p>
      <w:pPr>
        <w:ind w:left="960" w:hanging="424"/>
        <w:spacing w:after="0" w:line="272" w:lineRule="auto"/>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77"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70" w:lineRule="exact"/>
        <w:rPr>
          <w:sz w:val="20"/>
          <w:szCs w:val="20"/>
          <w:color w:val="auto"/>
        </w:rPr>
      </w:pPr>
    </w:p>
    <w:p>
      <w:pPr>
        <w:ind w:firstLine="436"/>
        <w:spacing w:after="0" w:line="285" w:lineRule="auto"/>
        <w:tabs>
          <w:tab w:leader="none" w:pos="71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Your Acknowledgments and Affirmations/ Effective Date of Agreement. </w:t>
      </w:r>
      <w:r>
        <w:rPr>
          <w:rFonts w:ascii="Arial" w:cs="Arial" w:eastAsia="Arial" w:hAnsi="Arial"/>
          <w:sz w:val="16"/>
          <w:szCs w:val="16"/>
          <w:color w:val="auto"/>
        </w:rPr>
        <w:t>You acknowledge that you are knowingly and voluntarily</w:t>
      </w:r>
      <w:r>
        <w:rPr>
          <w:rFonts w:ascii="Arial" w:cs="Arial" w:eastAsia="Arial" w:hAnsi="Arial"/>
          <w:sz w:val="16"/>
          <w:szCs w:val="16"/>
          <w:b w:val="1"/>
          <w:bCs w:val="1"/>
          <w:color w:val="auto"/>
        </w:rPr>
        <w:t xml:space="preserve"> </w:t>
      </w:r>
      <w:r>
        <w:rPr>
          <w:rFonts w:ascii="Arial" w:cs="Arial" w:eastAsia="Arial" w:hAnsi="Arial"/>
          <w:sz w:val="16"/>
          <w:szCs w:val="16"/>
          <w:color w:val="auto"/>
        </w:rPr>
        <w:t>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 w:name="page30"/>
    <w:bookmarkEnd w:id="29"/>
    <w:p>
      <w:pPr>
        <w:ind w:right="80" w:firstLine="436"/>
        <w:spacing w:after="0" w:line="266" w:lineRule="auto"/>
        <w:tabs>
          <w:tab w:leader="none" w:pos="71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w:t>
      </w:r>
      <w:r>
        <w:rPr>
          <w:rFonts w:ascii="Arial" w:cs="Arial" w:eastAsia="Arial" w:hAnsi="Arial"/>
          <w:sz w:val="18"/>
          <w:szCs w:val="18"/>
          <w:b w:val="1"/>
          <w:bCs w:val="1"/>
          <w:color w:val="auto"/>
        </w:rPr>
        <w:t xml:space="preserve"> </w:t>
      </w:r>
      <w:r>
        <w:rPr>
          <w:rFonts w:ascii="Arial" w:cs="Arial" w:eastAsia="Arial" w:hAnsi="Arial"/>
          <w:sz w:val="18"/>
          <w:szCs w:val="18"/>
          <w:color w:val="auto"/>
        </w:rPr>
        <w:t>local statute, or common law rights, including those relating to the provisions of any law or statute concerning employment actions, or of any other possible or claimed violation of law or rights.</w:t>
      </w:r>
    </w:p>
    <w:p>
      <w:pPr>
        <w:spacing w:after="0" w:line="175" w:lineRule="exact"/>
        <w:rPr>
          <w:rFonts w:ascii="Arial" w:cs="Arial" w:eastAsia="Arial" w:hAnsi="Arial"/>
          <w:sz w:val="18"/>
          <w:szCs w:val="18"/>
          <w:b w:val="1"/>
          <w:bCs w:val="1"/>
          <w:color w:val="auto"/>
        </w:rPr>
      </w:pPr>
    </w:p>
    <w:p>
      <w:pPr>
        <w:ind w:firstLine="436"/>
        <w:spacing w:after="0" w:line="254" w:lineRule="auto"/>
        <w:tabs>
          <w:tab w:leader="none" w:pos="71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91" w:lineRule="exact"/>
        <w:rPr>
          <w:rFonts w:ascii="Arial" w:cs="Arial" w:eastAsia="Arial" w:hAnsi="Arial"/>
          <w:sz w:val="18"/>
          <w:szCs w:val="18"/>
          <w:b w:val="1"/>
          <w:bCs w:val="1"/>
          <w:color w:val="auto"/>
        </w:rPr>
      </w:pPr>
    </w:p>
    <w:p>
      <w:pPr>
        <w:ind w:right="40" w:firstLine="436"/>
        <w:spacing w:after="0" w:line="271" w:lineRule="auto"/>
        <w:tabs>
          <w:tab w:leader="none" w:pos="71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any exhibits, constitutes the complete, final and exclusive embodiment of the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77" w:lineRule="exact"/>
        <w:rPr>
          <w:rFonts w:ascii="Arial" w:cs="Arial" w:eastAsia="Arial" w:hAnsi="Arial"/>
          <w:sz w:val="17"/>
          <w:szCs w:val="17"/>
          <w:b w:val="1"/>
          <w:bCs w:val="1"/>
          <w:color w:val="auto"/>
        </w:rPr>
      </w:pPr>
    </w:p>
    <w:p>
      <w:pPr>
        <w:ind w:firstLine="436"/>
        <w:spacing w:after="0" w:line="284" w:lineRule="auto"/>
        <w:tabs>
          <w:tab w:leader="none" w:pos="7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To ensure the rapid and economical resolution of disputes that may arise in connection with your employment with the Company, you and the 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Arial" w:cs="Arial" w:eastAsia="Arial" w:hAnsi="Arial"/>
          <w:sz w:val="16"/>
          <w:szCs w:val="16"/>
          <w:b w:val="1"/>
          <w:bCs w:val="1"/>
          <w:color w:val="auto"/>
        </w:rPr>
        <w:t>You acknowledge that by agreeing to this arbitration procedure, both you and the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0" w:name="page31"/>
    <w:bookmarkEnd w:id="30"/>
    <w:p>
      <w:pPr>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the right to resolve any such dispute through a trial by jury or judge or administrative proceeding. </w:t>
      </w:r>
      <w:r>
        <w:rPr>
          <w:rFonts w:ascii="Arial" w:cs="Arial" w:eastAsia="Arial" w:hAnsi="Arial"/>
          <w:sz w:val="18"/>
          <w:szCs w:val="18"/>
          <w:color w:val="auto"/>
        </w:rPr>
        <w:t>You will have the right to be represented</w:t>
      </w:r>
      <w:r>
        <w:rPr>
          <w:rFonts w:ascii="Arial" w:cs="Arial" w:eastAsia="Arial" w:hAnsi="Arial"/>
          <w:sz w:val="18"/>
          <w:szCs w:val="18"/>
          <w:b w:val="1"/>
          <w:bCs w:val="1"/>
          <w:color w:val="auto"/>
        </w:rPr>
        <w:t xml:space="preserve"> </w:t>
      </w:r>
      <w:r>
        <w:rPr>
          <w:rFonts w:ascii="Arial" w:cs="Arial" w:eastAsia="Arial" w:hAnsi="Arial"/>
          <w:sz w:val="18"/>
          <w:szCs w:val="18"/>
          <w:color w:val="auto"/>
        </w:rPr>
        <w:t>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 days to consider whether to sign this Agreement, which I received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___________ __, 20__. If I elect to sign this Agreement before 21 days have passed, I understand I am to sign and date below this paragraph to confirm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lvl w:ilvl="1">
      <w:lvlJc w:val="left"/>
      <w:lvlText w:val="(%2)"/>
      <w:numFmt w:val="lowerLetter"/>
      <w:start w:val="1"/>
    </w:lvl>
  </w:abstractNum>
  <w:abstractNum w:abstractNumId="2">
    <w:nsid w:val="75A2A8D4"/>
    <w:multiLevelType w:val="hybridMultilevel"/>
    <w:lvl w:ilvl="0">
      <w:lvlJc w:val="left"/>
      <w:lvlText w:val="(%1)"/>
      <w:numFmt w:val="lowerLetter"/>
      <w:start w:val="3"/>
    </w:lvl>
  </w:abstractNum>
  <w:abstractNum w:abstractNumId="3">
    <w:nsid w:val="8EDBDAB"/>
    <w:multiLevelType w:val="hybridMultilevel"/>
    <w:lvl w:ilvl="0">
      <w:lvlJc w:val="left"/>
      <w:lvlText w:val="%1."/>
      <w:numFmt w:val="decimal"/>
      <w:start w:val="2"/>
    </w:lvl>
    <w:lvl w:ilvl="1">
      <w:lvlJc w:val="left"/>
      <w:lvlText w:val="(%2)"/>
      <w:numFmt w:val="lowerLetter"/>
      <w:start w:val="1"/>
    </w:lvl>
  </w:abstractNum>
  <w:abstractNum w:abstractNumId="4">
    <w:nsid w:val="79838CB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
    <w:nsid w:val="4353D0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B03E0C6"/>
    <w:multiLevelType w:val="hybridMultilevel"/>
    <w:lvl w:ilvl="0">
      <w:lvlJc w:val="left"/>
      <w:lvlText w:val="(%1)"/>
      <w:numFmt w:val="lowerLetter"/>
      <w:start w:val="3"/>
    </w:lvl>
    <w:lvl w:ilvl="1">
      <w:lvlJc w:val="left"/>
      <w:lvlText w:val="(%2)"/>
      <w:numFmt w:val="lowerRoman"/>
      <w:start w:val="1"/>
    </w:lvl>
  </w:abstractNum>
  <w:abstractNum w:abstractNumId="7">
    <w:nsid w:val="189A769B"/>
    <w:multiLevelType w:val="hybridMultilevel"/>
    <w:lvl w:ilvl="0">
      <w:lvlJc w:val="left"/>
      <w:lvlText w:val="(%1)"/>
      <w:numFmt w:val="lowerRoman"/>
      <w:start w:val="6"/>
    </w:lvl>
  </w:abstractNum>
  <w:abstractNum w:abstractNumId="8">
    <w:nsid w:val="54E49EB4"/>
    <w:multiLevelType w:val="hybridMultilevel"/>
    <w:lvl w:ilvl="0">
      <w:lvlJc w:val="left"/>
      <w:lvlText w:val="(%1)"/>
      <w:numFmt w:val="lowerLetter"/>
      <w:start w:val="4"/>
    </w:lvl>
    <w:lvl w:ilvl="1">
      <w:lvlJc w:val="left"/>
      <w:lvlText w:val="(%2)"/>
      <w:numFmt w:val="lowerLetter"/>
      <w:start w:val="9"/>
    </w:lvl>
  </w:abstractNum>
  <w:abstractNum w:abstractNumId="9">
    <w:nsid w:val="71F32454"/>
    <w:multiLevelType w:val="hybridMultilevel"/>
    <w:lvl w:ilvl="0">
      <w:lvlJc w:val="left"/>
      <w:lvlText w:val="%1"/>
      <w:numFmt w:val="lowerLetter"/>
      <w:start w:val="1"/>
    </w:lvl>
    <w:lvl w:ilvl="1">
      <w:lvlJc w:val="left"/>
      <w:lvlText w:val="(%2)"/>
      <w:numFmt w:val="lowerRoman"/>
      <w:start w:val="2"/>
    </w:lvl>
  </w:abstractNum>
  <w:abstractNum w:abstractNumId="10">
    <w:nsid w:val="2CA88611"/>
    <w:multiLevelType w:val="hybridMultilevel"/>
    <w:lvl w:ilvl="0">
      <w:lvlJc w:val="left"/>
      <w:lvlText w:val="(%1)"/>
      <w:numFmt w:val="lowerLetter"/>
      <w:start w:val="6"/>
    </w:lvl>
    <w:lvl w:ilvl="1">
      <w:lvlJc w:val="left"/>
      <w:lvlText w:val="(%2)"/>
      <w:numFmt w:val="lowerRoman"/>
      <w:start w:val="1"/>
    </w:lvl>
  </w:abstractNum>
  <w:abstractNum w:abstractNumId="11">
    <w:nsid w:val="836C40E"/>
    <w:multiLevelType w:val="hybridMultilevel"/>
    <w:lvl w:ilvl="0">
      <w:lvlJc w:val="left"/>
      <w:lvlText w:val="%1."/>
      <w:numFmt w:val="decimal"/>
      <w:start w:val="4"/>
    </w:lvl>
    <w:lvl w:ilvl="1">
      <w:lvlJc w:val="left"/>
      <w:lvlText w:val="(%2)"/>
      <w:numFmt w:val="lowerLetter"/>
      <w:start w:val="1"/>
    </w:lvl>
  </w:abstractNum>
  <w:abstractNum w:abstractNumId="12">
    <w:nsid w:val="2901D82"/>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3">
    <w:nsid w:val="3A95F874"/>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4">
    <w:nsid w:val="8138641"/>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abstractNum>
  <w:abstractNum w:abstractNumId="15">
    <w:nsid w:val="1E7FF52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6">
    <w:nsid w:val="7C3DBD3D"/>
    <w:multiLevelType w:val="hybridMultilevel"/>
    <w:lvl w:ilvl="0">
      <w:lvlJc w:val="left"/>
      <w:lvlText w:val="%1"/>
      <w:numFmt w:val="upperLetter"/>
      <w:start w:val="1"/>
    </w:lvl>
    <w:lvl w:ilvl="1">
      <w:lvlJc w:val="left"/>
      <w:lvlText w:val="(%2)"/>
      <w:numFmt w:val="lowerLetter"/>
      <w:start w:val="2"/>
    </w:lvl>
  </w:abstractNum>
  <w:abstractNum w:abstractNumId="17">
    <w:nsid w:val="737B8DDC"/>
    <w:multiLevelType w:val="hybridMultilevel"/>
    <w:lvl w:ilvl="0">
      <w:lvlJc w:val="left"/>
      <w:lvlText w:val="(%1)"/>
      <w:numFmt w:val="upperLetter"/>
      <w:start w:val="1"/>
    </w:lvl>
    <w:lvl w:ilvl="1">
      <w:lvlJc w:val="left"/>
      <w:lvlText w:val="(%2)"/>
      <w:numFmt w:val="lowerLetter"/>
      <w:start w:val="3"/>
    </w:lvl>
  </w:abstractNum>
  <w:abstractNum w:abstractNumId="18">
    <w:nsid w:val="6CEAF087"/>
    <w:multiLevelType w:val="hybridMultilevel"/>
    <w:lvl w:ilvl="0">
      <w:lvlJc w:val="left"/>
      <w:lvlText w:val="%1"/>
      <w:numFmt w:val="lowerLetter"/>
      <w:start w:val="1"/>
    </w:lvl>
    <w:lvl w:ilvl="1">
      <w:lvlJc w:val="left"/>
      <w:lvlText w:val="%2."/>
      <w:numFmt w:val="decimal"/>
      <w:start w:val="6"/>
    </w:lvl>
  </w:abstractNum>
  <w:abstractNum w:abstractNumId="19">
    <w:nsid w:val="22221A70"/>
    <w:multiLevelType w:val="hybridMultilevel"/>
    <w:lvl w:ilvl="0">
      <w:lvlJc w:val="left"/>
      <w:lvlText w:val="(%1)"/>
      <w:numFmt w:val="lowerLetter"/>
      <w:start w:val="1"/>
    </w:lvl>
    <w:lvl w:ilvl="1">
      <w:lvlJc w:val="left"/>
      <w:lvlText w:val="%2"/>
      <w:numFmt w:val="decimal"/>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1"/>
      <w:numFmt w:val="decimal"/>
      <w:start w:val="1"/>
    </w:lvl>
    <w:lvl w:ilvl="1">
      <w:lvlJc w:val="left"/>
      <w:lvlText w:val="(%2)"/>
      <w:numFmt w:val="lowerLetter"/>
      <w:start w:val="3"/>
    </w:lvl>
  </w:abstractNum>
  <w:abstractNum w:abstractNumId="22">
    <w:nsid w:val="614FD4A1"/>
    <w:multiLevelType w:val="hybridMultilevel"/>
    <w:lvl w:ilvl="0">
      <w:lvlJc w:val="left"/>
      <w:lvlText w:val="%1."/>
      <w:numFmt w:val="decimal"/>
      <w:start w:val="7"/>
    </w:lvl>
    <w:lvl w:ilvl="1">
      <w:lvlJc w:val="left"/>
      <w:lvlText w:val="(%2)"/>
      <w:numFmt w:val="lowerLetter"/>
      <w:start w:val="1"/>
    </w:lvl>
  </w:abstractNum>
  <w:abstractNum w:abstractNumId="23">
    <w:nsid w:val="419AC241"/>
    <w:multiLevelType w:val="hybridMultilevel"/>
    <w:lvl w:ilvl="0">
      <w:lvlJc w:val="left"/>
      <w:lvlText w:val="(%1)"/>
      <w:numFmt w:val="decimal"/>
      <w:start w:val="2"/>
    </w:lvl>
    <w:lvl w:ilvl="1">
      <w:lvlJc w:val="left"/>
      <w:lvlText w:val="%2."/>
      <w:numFmt w:val="decimal"/>
      <w:start w:val="7"/>
    </w:lvl>
    <w:lvl w:ilvl="2">
      <w:lvlJc w:val="left"/>
      <w:lvlText w:val="(%3)"/>
      <w:numFmt w:val="lowerLetter"/>
      <w:start w:val="2"/>
    </w:lvl>
  </w:abstractNum>
  <w:abstractNum w:abstractNumId="24">
    <w:nsid w:val="5577F8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5">
    <w:nsid w:val="440BADFC"/>
    <w:multiLevelType w:val="hybridMultilevel"/>
    <w:lvl w:ilvl="0">
      <w:lvlJc w:val="left"/>
      <w:lvlText w:val="(%1)"/>
      <w:numFmt w:val="lowerLetter"/>
      <w:start w:val="2"/>
    </w:lvl>
  </w:abstractNum>
  <w:abstractNum w:abstractNumId="26">
    <w:nsid w:val="5072367"/>
    <w:multiLevelType w:val="hybridMultilevel"/>
    <w:lvl w:ilvl="0">
      <w:lvlJc w:val="left"/>
      <w:lvlText w:val="%1."/>
      <w:numFmt w:val="decimal"/>
      <w:start w:val="9"/>
    </w:lvl>
    <w:lvl w:ilvl="1">
      <w:lvlJc w:val="left"/>
      <w:lvlText w:val="(%2)"/>
      <w:numFmt w:val="lowerLetter"/>
      <w:start w:val="1"/>
    </w:lvl>
  </w:abstractNum>
  <w:abstractNum w:abstractNumId="27">
    <w:nsid w:val="3804823E"/>
    <w:multiLevelType w:val="hybridMultilevel"/>
    <w:lvl w:ilvl="0">
      <w:lvlJc w:val="left"/>
      <w:lvlText w:val="%1"/>
      <w:numFmt w:val="lowerLetter"/>
      <w:start w:val="1"/>
    </w:lvl>
    <w:lvl w:ilvl="1">
      <w:lvlJc w:val="left"/>
      <w:lvlText w:val="%2."/>
      <w:numFmt w:val="decimal"/>
      <w:start w:val="10"/>
    </w:lvl>
  </w:abstractNum>
  <w:abstractNum w:abstractNumId="28">
    <w:nsid w:val="77465F01"/>
    <w:multiLevelType w:val="hybridMultilevel"/>
    <w:lvl w:ilvl="0">
      <w:lvlJc w:val="left"/>
      <w:lvlText w:val="(%1)"/>
      <w:numFmt w:val="lowerLetter"/>
      <w:start w:val="3"/>
    </w:lvl>
    <w:lvl w:ilvl="1">
      <w:lvlJc w:val="left"/>
      <w:lvlText w:val="%2."/>
      <w:numFmt w:val="decimal"/>
      <w:start w:val="11"/>
    </w:lvl>
  </w:abstractNum>
  <w:abstractNum w:abstractNumId="29">
    <w:nsid w:val="7724C67E"/>
    <w:multiLevelType w:val="hybridMultilevel"/>
    <w:lvl w:ilvl="0">
      <w:lvlJc w:val="left"/>
      <w:lvlText w:val="(%1)"/>
      <w:numFmt w:val="lowerLetter"/>
      <w:start w:val="2"/>
    </w:lvl>
    <w:lvl w:ilvl="1">
      <w:lvlJc w:val="left"/>
      <w:lvlText w:val="%2"/>
      <w:numFmt w:val="decimal"/>
      <w:start w:val="1"/>
    </w:lvl>
  </w:abstractNum>
  <w:abstractNum w:abstractNumId="30">
    <w:nsid w:val="5C482A97"/>
    <w:multiLevelType w:val="hybridMultilevel"/>
    <w:lvl w:ilvl="0">
      <w:lvlJc w:val="left"/>
      <w:lvlText w:val="%1"/>
      <w:numFmt w:val="lowerRoman"/>
      <w:start w:val="1"/>
    </w:lvl>
    <w:lvl w:ilvl="1">
      <w:lvlJc w:val="left"/>
      <w:lvlText w:val="%2."/>
      <w:numFmt w:val="decimal"/>
      <w:start w:val="14"/>
    </w:lvl>
  </w:abstractNum>
  <w:abstractNum w:abstractNumId="31">
    <w:nsid w:val="2463B9EA"/>
    <w:multiLevelType w:val="hybridMultilevel"/>
    <w:lvl w:ilvl="0">
      <w:lvlJc w:val="left"/>
      <w:lvlText w:val="(%1)"/>
      <w:numFmt w:val="lowerRoman"/>
      <w:start w:val="1"/>
    </w:lvl>
    <w:lvl w:ilvl="1">
      <w:lvlJc w:val="left"/>
      <w:lvlText w:val="%2."/>
      <w:numFmt w:val="decimal"/>
      <w:start w:val="18"/>
    </w:lvl>
  </w:abstractNum>
  <w:abstractNum w:abstractNumId="32">
    <w:nsid w:val="5E884ADC"/>
    <w:multiLevelType w:val="hybridMultilevel"/>
    <w:lvl w:ilvl="0">
      <w:lvlJc w:val="left"/>
      <w:lvlText w:val="%1."/>
      <w:numFmt w:val="decimal"/>
      <w:start w:val="20"/>
    </w:lvl>
    <w:lvl w:ilvl="1">
      <w:lvlJc w:val="left"/>
      <w:lvlText w:val="(%2)"/>
      <w:numFmt w:val="lowerLetter"/>
      <w:start w:val="1"/>
    </w:lvl>
  </w:abstractNum>
  <w:abstractNum w:abstractNumId="33">
    <w:nsid w:val="51EAD36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4">
    <w:nsid w:val="2D517796"/>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35">
    <w:nsid w:val="580BD78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6">
    <w:nsid w:val="153EA438"/>
    <w:multiLevelType w:val="hybridMultilevel"/>
    <w:lvl w:ilvl="0">
      <w:lvlJc w:val="left"/>
      <w:lvlText w:val="%1."/>
      <w:numFmt w:val="decimal"/>
      <w:start w:val="24"/>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4"/>
    </w:lvl>
  </w:abstractNum>
  <w:abstractNum w:abstractNumId="39">
    <w:nsid w:val="6A2342EC"/>
    <w:multiLevelType w:val="hybridMultilevel"/>
    <w:lvl w:ilvl="0">
      <w:lvlJc w:val="left"/>
      <w:lvlText w:val="%1."/>
      <w:numFmt w:val="decimal"/>
      <w:start w:val="5"/>
    </w:lvl>
  </w:abstractNum>
  <w:abstractNum w:abstractNumId="40">
    <w:nsid w:val="2A487CB0"/>
    <w:multiLevelType w:val="hybridMultilevel"/>
    <w:lvl w:ilvl="0">
      <w:lvlJc w:val="left"/>
      <w:lvlText w:val="%1."/>
      <w:numFmt w:val="decimal"/>
      <w:start w:val="10"/>
    </w:lvl>
    <w:lvl w:ilvl="1">
      <w:lvlJc w:val="left"/>
      <w:lvlText w:val="%2)"/>
      <w:numFmt w:val="lowerLetter"/>
      <w:start w:val="1"/>
    </w:lvl>
  </w:abstractNum>
  <w:abstractNum w:abstractNumId="41">
    <w:nsid w:val="1D4ED43B"/>
    <w:multiLevelType w:val="hybridMultilevel"/>
    <w:lvl w:ilvl="0">
      <w:lvlJc w:val="left"/>
      <w:lvlText w:val="%1."/>
      <w:numFmt w:val="decimal"/>
      <w:start w:val="13"/>
    </w:lvl>
    <w:lvl w:ilvl="1">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5"/>
    </w:lvl>
  </w:abstractNum>
  <w:abstractNum w:abstractNumId="44">
    <w:nsid w:val="57E4CCAF"/>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2022-03-21T05:32:22Z</dcterms:created>
  <dcterms:modified xsi:type="dcterms:W3CDTF">2022-03-21T05:32:22Z</dcterms:modified>
</cp:coreProperties>
</file>