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ADAGIO THERAPEUTICS, INC.</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3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 $0.0001 par value per share</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00534A102</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Christopher Cox</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Population Health Partners, L.P.</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1200 Morris Turnpike, Suite 3005</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Short Hills, NJ 07078</w:t>
      </w:r>
    </w:p>
    <w:p>
      <w:pPr>
        <w:jc w:val="center"/>
        <w:ind w:right="-59"/>
        <w:spacing w:after="0" w:line="227" w:lineRule="auto"/>
        <w:rPr>
          <w:sz w:val="20"/>
          <w:szCs w:val="20"/>
          <w:color w:val="auto"/>
        </w:rPr>
      </w:pPr>
      <w:r>
        <w:rPr>
          <w:rFonts w:ascii="Times New Roman" w:cs="Times New Roman" w:eastAsia="Times New Roman" w:hAnsi="Times New Roman"/>
          <w:sz w:val="22"/>
          <w:szCs w:val="22"/>
          <w:b w:val="1"/>
          <w:bCs w:val="1"/>
          <w:color w:val="auto"/>
        </w:rPr>
        <w:t>(212) 993-3113</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3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June 22, 2022</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91" w:lineRule="exact"/>
        <w:rPr>
          <w:sz w:val="24"/>
          <w:szCs w:val="24"/>
          <w:color w:val="auto"/>
        </w:rPr>
      </w:pPr>
    </w:p>
    <w:p>
      <w:pPr>
        <w:ind w:right="120"/>
        <w:spacing w:after="0" w:line="263"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w:t>
      </w:r>
    </w:p>
    <w:p>
      <w:pPr>
        <w:spacing w:after="0" w:line="1" w:lineRule="exact"/>
        <w:rPr>
          <w:sz w:val="24"/>
          <w:szCs w:val="24"/>
          <w:color w:val="auto"/>
        </w:rPr>
      </w:pPr>
    </w:p>
    <w:p>
      <w:pPr>
        <w:ind w:left="460" w:right="1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or otherwise subject to the liabilities of that section of the Act but shall be subject to all other provisions of the Act (however, see the Notes).</w:t>
      </w:r>
    </w:p>
    <w:p>
      <w:pPr>
        <w:spacing w:after="0" w:line="1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7" w:right="379" w:bottom="1440" w:gutter="0" w:footer="0" w:header="0"/>
        </w:sectPr>
      </w:pPr>
    </w:p>
    <w:bookmarkStart w:id="1" w:name="page2"/>
    <w:bookmarkEnd w:id="1"/>
    <w:tbl>
      <w:tblPr>
        <w:tblLayout w:type="fixed"/>
        <w:tblInd w:w="8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660" w:type="dxa"/>
            <w:vAlign w:val="bottom"/>
          </w:tcPr>
          <w:p>
            <w:pPr>
              <w:ind w:left="4340"/>
              <w:spacing w:after="0"/>
              <w:rPr>
                <w:sz w:val="20"/>
                <w:szCs w:val="20"/>
                <w:color w:val="auto"/>
              </w:rPr>
            </w:pPr>
            <w:r>
              <w:rPr>
                <w:rFonts w:ascii="Arial" w:cs="Arial" w:eastAsia="Arial" w:hAnsi="Arial"/>
                <w:sz w:val="18"/>
                <w:szCs w:val="18"/>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5040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r>
    </w:p>
    <w:p>
      <w:pPr>
        <w:spacing w:after="0" w:line="119" w:lineRule="exact"/>
        <w:rPr>
          <w:sz w:val="20"/>
          <w:szCs w:val="20"/>
          <w:color w:val="auto"/>
        </w:rPr>
      </w:pPr>
    </w:p>
    <w:p>
      <w:pPr>
        <w:ind w:left="620" w:right="7320" w:hanging="399"/>
        <w:spacing w:after="0" w:line="301"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Population Health Equity Partners III, L.P.</w:t>
      </w:r>
    </w:p>
    <w:p>
      <w:pPr>
        <w:spacing w:after="0" w:line="90" w:lineRule="exact"/>
        <w:rPr>
          <w:sz w:val="20"/>
          <w:szCs w:val="20"/>
          <w:color w:val="auto"/>
        </w:rPr>
      </w:pPr>
    </w:p>
    <w:p>
      <w:pPr>
        <w:ind w:left="620" w:hanging="39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3" w:lineRule="exact"/>
        <w:rPr>
          <w:rFonts w:ascii="Arial" w:cs="Arial" w:eastAsia="Arial" w:hAnsi="Arial"/>
          <w:sz w:val="18"/>
          <w:szCs w:val="18"/>
          <w:color w:val="auto"/>
        </w:rPr>
      </w:pPr>
    </w:p>
    <w:p>
      <w:pPr>
        <w:ind w:left="6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53" w:lineRule="exact"/>
        <w:rPr>
          <w:sz w:val="20"/>
          <w:szCs w:val="20"/>
          <w:color w:val="auto"/>
        </w:rPr>
      </w:pPr>
    </w:p>
    <w:p>
      <w:pPr>
        <w:ind w:left="620" w:hanging="39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620" w:hanging="39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153" w:lineRule="exact"/>
        <w:rPr>
          <w:sz w:val="20"/>
          <w:szCs w:val="20"/>
          <w:color w:val="auto"/>
        </w:rPr>
      </w:pPr>
    </w:p>
    <w:p>
      <w:pPr>
        <w:ind w:left="620" w:hanging="39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84" w:lineRule="exact"/>
        <w:rPr>
          <w:sz w:val="20"/>
          <w:szCs w:val="20"/>
          <w:color w:val="auto"/>
        </w:rPr>
      </w:pPr>
    </w:p>
    <w:p>
      <w:pPr>
        <w:ind w:left="620" w:right="6840" w:hanging="399"/>
        <w:spacing w:after="0" w:line="271"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6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8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 OF</w:t>
            </w:r>
          </w:p>
        </w:tc>
        <w:tc>
          <w:tcPr>
            <w:tcW w:w="440" w:type="dxa"/>
            <w:vAlign w:val="bottom"/>
            <w:tcBorders>
              <w:right w:val="single" w:sz="8" w:color="auto"/>
            </w:tcBorders>
          </w:tcPr>
          <w:p>
            <w:pPr>
              <w:spacing w:after="0"/>
              <w:rPr>
                <w:sz w:val="22"/>
                <w:szCs w:val="22"/>
                <w:color w:val="auto"/>
              </w:rPr>
            </w:pPr>
          </w:p>
        </w:tc>
        <w:tc>
          <w:tcPr>
            <w:tcW w:w="8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6"/>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440" w:type="dxa"/>
            <w:vAlign w:val="bottom"/>
            <w:tcBorders>
              <w:bottom w:val="single" w:sz="8" w:color="auto"/>
              <w:right w:val="single" w:sz="8" w:color="auto"/>
            </w:tcBorders>
          </w:tcPr>
          <w:p>
            <w:pPr>
              <w:spacing w:after="0"/>
              <w:rPr>
                <w:sz w:val="3"/>
                <w:szCs w:val="3"/>
                <w:color w:val="auto"/>
              </w:rPr>
            </w:pPr>
          </w:p>
        </w:tc>
        <w:tc>
          <w:tcPr>
            <w:tcW w:w="8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6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8</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60" w:type="dxa"/>
            <w:vAlign w:val="bottom"/>
            <w:tcBorders>
              <w:right w:val="single" w:sz="8" w:color="auto"/>
            </w:tcBorders>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158"/>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440" w:type="dxa"/>
            <w:vAlign w:val="bottom"/>
            <w:tcBorders>
              <w:right w:val="single" w:sz="8" w:color="auto"/>
            </w:tcBorders>
          </w:tcPr>
          <w:p>
            <w:pPr>
              <w:spacing w:after="0"/>
              <w:rPr>
                <w:sz w:val="13"/>
                <w:szCs w:val="13"/>
                <w:color w:val="auto"/>
              </w:rPr>
            </w:pPr>
          </w:p>
        </w:tc>
        <w:tc>
          <w:tcPr>
            <w:tcW w:w="8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60" w:type="dxa"/>
            <w:vAlign w:val="bottom"/>
            <w:tcBorders>
              <w:right w:val="single" w:sz="8" w:color="auto"/>
            </w:tcBorders>
            <w:vMerge w:val="continue"/>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EACH</w:t>
            </w: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9</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REPORTING</w:t>
            </w:r>
          </w:p>
        </w:tc>
        <w:tc>
          <w:tcPr>
            <w:tcW w:w="440" w:type="dxa"/>
            <w:vAlign w:val="bottom"/>
            <w:tcBorders>
              <w:right w:val="single" w:sz="8" w:color="auto"/>
            </w:tcBorders>
            <w:vMerge w:val="continue"/>
          </w:tcPr>
          <w:p>
            <w:pPr>
              <w:spacing w:after="0"/>
              <w:rPr>
                <w:sz w:val="8"/>
                <w:szCs w:val="8"/>
                <w:color w:val="auto"/>
              </w:rPr>
            </w:pPr>
          </w:p>
        </w:tc>
        <w:tc>
          <w:tcPr>
            <w:tcW w:w="8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206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9"/>
              </w:rPr>
              <w:t>PERSON</w:t>
            </w:r>
          </w:p>
        </w:tc>
        <w:tc>
          <w:tcPr>
            <w:tcW w:w="440" w:type="dxa"/>
            <w:vAlign w:val="bottom"/>
            <w:tcBorders>
              <w:right w:val="single" w:sz="8" w:color="auto"/>
            </w:tcBorders>
          </w:tcPr>
          <w:p>
            <w:pPr>
              <w:spacing w:after="0"/>
              <w:rPr>
                <w:sz w:val="11"/>
                <w:szCs w:val="11"/>
                <w:color w:val="auto"/>
              </w:rPr>
            </w:pPr>
          </w:p>
        </w:tc>
        <w:tc>
          <w:tcPr>
            <w:tcW w:w="8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vMerge w:val="continue"/>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right w:val="single" w:sz="8" w:color="auto"/>
            </w:tcBorders>
          </w:tcPr>
          <w:p>
            <w:pPr>
              <w:spacing w:after="0"/>
              <w:rPr>
                <w:sz w:val="22"/>
                <w:szCs w:val="22"/>
                <w:color w:val="auto"/>
              </w:rPr>
            </w:pPr>
          </w:p>
        </w:tc>
        <w:tc>
          <w:tcPr>
            <w:tcW w:w="8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9"/>
        </w:trPr>
        <w:tc>
          <w:tcPr>
            <w:tcW w:w="20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8740" w:type="dxa"/>
            <w:vAlign w:val="bottom"/>
          </w:tcPr>
          <w:p>
            <w:pPr>
              <w:ind w:left="8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3"/>
        </w:trPr>
        <w:tc>
          <w:tcPr>
            <w:tcW w:w="206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20" w:right="3860" w:hanging="442"/>
        <w:spacing w:after="0" w:line="271" w:lineRule="auto"/>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359,662 Shares of Common Stock (1)</w:t>
      </w:r>
    </w:p>
    <w:p>
      <w:pPr>
        <w:spacing w:after="0" w:line="113" w:lineRule="exact"/>
        <w:rPr>
          <w:rFonts w:ascii="Arial" w:cs="Arial" w:eastAsia="Arial" w:hAnsi="Arial"/>
          <w:sz w:val="18"/>
          <w:szCs w:val="18"/>
          <w:color w:val="auto"/>
        </w:rPr>
      </w:pPr>
    </w:p>
    <w:p>
      <w:pPr>
        <w:ind w:left="620" w:hanging="449"/>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84" w:lineRule="exact"/>
        <w:rPr>
          <w:rFonts w:ascii="Arial" w:cs="Arial" w:eastAsia="Arial" w:hAnsi="Arial"/>
          <w:sz w:val="18"/>
          <w:szCs w:val="18"/>
          <w:color w:val="auto"/>
        </w:rPr>
      </w:pPr>
    </w:p>
    <w:p>
      <w:pPr>
        <w:ind w:left="620" w:hanging="449"/>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.33% (2)</w:t>
      </w:r>
    </w:p>
    <w:p>
      <w:pPr>
        <w:spacing w:after="0" w:line="153" w:lineRule="exact"/>
        <w:rPr>
          <w:rFonts w:ascii="Arial" w:cs="Arial" w:eastAsia="Arial" w:hAnsi="Arial"/>
          <w:sz w:val="18"/>
          <w:szCs w:val="18"/>
          <w:color w:val="auto"/>
        </w:rPr>
      </w:pPr>
    </w:p>
    <w:p>
      <w:pPr>
        <w:ind w:left="620" w:hanging="449"/>
        <w:spacing w:after="0"/>
        <w:tabs>
          <w:tab w:leader="none" w:pos="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72" w:lineRule="exact"/>
        <w:rPr>
          <w:rFonts w:ascii="Arial" w:cs="Arial" w:eastAsia="Arial" w:hAnsi="Arial"/>
          <w:sz w:val="18"/>
          <w:szCs w:val="18"/>
          <w:color w:val="auto"/>
        </w:rPr>
      </w:pPr>
    </w:p>
    <w:p>
      <w:pPr>
        <w:ind w:left="460" w:right="8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shares are held of record by PH III (as defined in Item 2(a) of the Original 13D). PH III GP (as defined in Item 2(a) of the Original 13D) is the general partner of PH III and PH III GP may be deemed to have shared voting, investment and dispositive power with respect to these securities. Clive Meanwell and Christopher Cox are the managing members of PH III GP and may be deemed to have shared voting, investment and dispositive power with respect to these securities.</w:t>
      </w:r>
    </w:p>
    <w:p>
      <w:pPr>
        <w:ind w:left="460" w:right="20" w:hanging="452"/>
        <w:spacing w:after="0" w:line="242"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109,740,173 shares of Common Stock (as defined in Item 1 of the Original 13D) outstanding as of June 2, 2022, as reported by the Issuer in its Schedule 14C Definitive Information Statement filed with the Commission (as defined in the Original 13D) on June 2, 2022 (the “</w:t>
      </w:r>
      <w:r>
        <w:rPr>
          <w:rFonts w:ascii="Arial" w:cs="Arial" w:eastAsia="Arial" w:hAnsi="Arial"/>
          <w:sz w:val="18"/>
          <w:szCs w:val="18"/>
          <w:u w:val="single" w:color="auto"/>
          <w:color w:val="auto"/>
        </w:rPr>
        <w:t>Information Statement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tbl>
      <w:tblPr>
        <w:tblLayout w:type="fixed"/>
        <w:tblInd w:w="8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660" w:type="dxa"/>
            <w:vAlign w:val="bottom"/>
          </w:tcPr>
          <w:p>
            <w:pPr>
              <w:ind w:left="4340"/>
              <w:spacing w:after="0"/>
              <w:rPr>
                <w:sz w:val="20"/>
                <w:szCs w:val="20"/>
                <w:color w:val="auto"/>
              </w:rPr>
            </w:pPr>
            <w:r>
              <w:rPr>
                <w:rFonts w:ascii="Arial" w:cs="Arial" w:eastAsia="Arial" w:hAnsi="Arial"/>
                <w:sz w:val="18"/>
                <w:szCs w:val="18"/>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5040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040630"/>
                    </a:xfrm>
                    <a:prstGeom prst="rect">
                      <a:avLst/>
                    </a:prstGeom>
                    <a:noFill/>
                  </pic:spPr>
                </pic:pic>
              </a:graphicData>
            </a:graphic>
          </wp:anchor>
        </w:drawing>
      </w:r>
    </w:p>
    <w:p>
      <w:pPr>
        <w:spacing w:after="0" w:line="119" w:lineRule="exact"/>
        <w:rPr>
          <w:sz w:val="20"/>
          <w:szCs w:val="20"/>
          <w:color w:val="auto"/>
        </w:rPr>
      </w:pPr>
    </w:p>
    <w:p>
      <w:pPr>
        <w:ind w:left="560" w:right="7060" w:hanging="366"/>
        <w:spacing w:after="0" w:line="301" w:lineRule="auto"/>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NAMES OF REPORTING PERSONS Population Health Equity Partners III GP, LLC</w:t>
      </w:r>
    </w:p>
    <w:p>
      <w:pPr>
        <w:spacing w:after="0" w:line="90" w:lineRule="exact"/>
        <w:rPr>
          <w:sz w:val="20"/>
          <w:szCs w:val="20"/>
          <w:color w:val="auto"/>
        </w:rPr>
      </w:pPr>
    </w:p>
    <w:p>
      <w:pPr>
        <w:ind w:left="560" w:hanging="366"/>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53" w:lineRule="exact"/>
        <w:rPr>
          <w:sz w:val="20"/>
          <w:szCs w:val="20"/>
          <w:color w:val="auto"/>
        </w:rPr>
      </w:pPr>
    </w:p>
    <w:p>
      <w:pPr>
        <w:ind w:left="560" w:hanging="366"/>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560" w:hanging="366"/>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153" w:lineRule="exact"/>
        <w:rPr>
          <w:sz w:val="20"/>
          <w:szCs w:val="20"/>
          <w:color w:val="auto"/>
        </w:rPr>
      </w:pPr>
    </w:p>
    <w:p>
      <w:pPr>
        <w:ind w:left="560" w:hanging="36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9" w:lineRule="exact"/>
        <w:rPr>
          <w:rFonts w:ascii="Arial" w:cs="Arial" w:eastAsia="Arial" w:hAnsi="Arial"/>
          <w:sz w:val="18"/>
          <w:szCs w:val="18"/>
          <w:color w:val="auto"/>
        </w:rPr>
      </w:pPr>
    </w:p>
    <w:p>
      <w:pPr>
        <w:ind w:left="5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84" w:lineRule="exact"/>
        <w:rPr>
          <w:sz w:val="20"/>
          <w:szCs w:val="20"/>
          <w:color w:val="auto"/>
        </w:rPr>
      </w:pPr>
    </w:p>
    <w:p>
      <w:pPr>
        <w:ind w:left="560" w:right="6900" w:hanging="366"/>
        <w:spacing w:after="0" w:line="271"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6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8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 OF</w:t>
            </w:r>
          </w:p>
        </w:tc>
        <w:tc>
          <w:tcPr>
            <w:tcW w:w="440" w:type="dxa"/>
            <w:vAlign w:val="bottom"/>
            <w:tcBorders>
              <w:right w:val="single" w:sz="8" w:color="auto"/>
            </w:tcBorders>
          </w:tcPr>
          <w:p>
            <w:pPr>
              <w:spacing w:after="0"/>
              <w:rPr>
                <w:sz w:val="22"/>
                <w:szCs w:val="22"/>
                <w:color w:val="auto"/>
              </w:rPr>
            </w:pPr>
          </w:p>
        </w:tc>
        <w:tc>
          <w:tcPr>
            <w:tcW w:w="874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6"/>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440" w:type="dxa"/>
            <w:vAlign w:val="bottom"/>
            <w:tcBorders>
              <w:bottom w:val="single" w:sz="8" w:color="auto"/>
              <w:right w:val="single" w:sz="8" w:color="auto"/>
            </w:tcBorders>
          </w:tcPr>
          <w:p>
            <w:pPr>
              <w:spacing w:after="0"/>
              <w:rPr>
                <w:sz w:val="3"/>
                <w:szCs w:val="3"/>
                <w:color w:val="auto"/>
              </w:rPr>
            </w:pPr>
          </w:p>
        </w:tc>
        <w:tc>
          <w:tcPr>
            <w:tcW w:w="8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6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8</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60" w:type="dxa"/>
            <w:vAlign w:val="bottom"/>
            <w:tcBorders>
              <w:right w:val="single" w:sz="8" w:color="auto"/>
            </w:tcBorders>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158"/>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440" w:type="dxa"/>
            <w:vAlign w:val="bottom"/>
            <w:tcBorders>
              <w:right w:val="single" w:sz="8" w:color="auto"/>
            </w:tcBorders>
          </w:tcPr>
          <w:p>
            <w:pPr>
              <w:spacing w:after="0"/>
              <w:rPr>
                <w:sz w:val="13"/>
                <w:szCs w:val="13"/>
                <w:color w:val="auto"/>
              </w:rPr>
            </w:pPr>
          </w:p>
        </w:tc>
        <w:tc>
          <w:tcPr>
            <w:tcW w:w="8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60" w:type="dxa"/>
            <w:vAlign w:val="bottom"/>
            <w:tcBorders>
              <w:right w:val="single" w:sz="8" w:color="auto"/>
            </w:tcBorders>
            <w:vMerge w:val="continue"/>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EACH</w:t>
            </w: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9</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REPORTING</w:t>
            </w:r>
          </w:p>
        </w:tc>
        <w:tc>
          <w:tcPr>
            <w:tcW w:w="440" w:type="dxa"/>
            <w:vAlign w:val="bottom"/>
            <w:tcBorders>
              <w:right w:val="single" w:sz="8" w:color="auto"/>
            </w:tcBorders>
            <w:vMerge w:val="continue"/>
          </w:tcPr>
          <w:p>
            <w:pPr>
              <w:spacing w:after="0"/>
              <w:rPr>
                <w:sz w:val="8"/>
                <w:szCs w:val="8"/>
                <w:color w:val="auto"/>
              </w:rPr>
            </w:pPr>
          </w:p>
        </w:tc>
        <w:tc>
          <w:tcPr>
            <w:tcW w:w="8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1"/>
        </w:trPr>
        <w:tc>
          <w:tcPr>
            <w:tcW w:w="206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9"/>
              </w:rPr>
              <w:t>PERSON</w:t>
            </w:r>
          </w:p>
        </w:tc>
        <w:tc>
          <w:tcPr>
            <w:tcW w:w="440" w:type="dxa"/>
            <w:vAlign w:val="bottom"/>
            <w:tcBorders>
              <w:right w:val="single" w:sz="8" w:color="auto"/>
            </w:tcBorders>
          </w:tcPr>
          <w:p>
            <w:pPr>
              <w:spacing w:after="0"/>
              <w:rPr>
                <w:sz w:val="11"/>
                <w:szCs w:val="11"/>
                <w:color w:val="auto"/>
              </w:rPr>
            </w:pPr>
          </w:p>
        </w:tc>
        <w:tc>
          <w:tcPr>
            <w:tcW w:w="8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vMerge w:val="continue"/>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right w:val="single" w:sz="8" w:color="auto"/>
            </w:tcBorders>
          </w:tcPr>
          <w:p>
            <w:pPr>
              <w:spacing w:after="0"/>
              <w:rPr>
                <w:sz w:val="22"/>
                <w:szCs w:val="22"/>
                <w:color w:val="auto"/>
              </w:rPr>
            </w:pPr>
          </w:p>
        </w:tc>
        <w:tc>
          <w:tcPr>
            <w:tcW w:w="8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9"/>
        </w:trPr>
        <w:tc>
          <w:tcPr>
            <w:tcW w:w="20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8740" w:type="dxa"/>
            <w:vAlign w:val="bottom"/>
          </w:tcPr>
          <w:p>
            <w:pPr>
              <w:ind w:left="80"/>
              <w:spacing w:after="0"/>
              <w:rPr>
                <w:sz w:val="20"/>
                <w:szCs w:val="20"/>
                <w:color w:val="auto"/>
              </w:rPr>
            </w:pPr>
            <w:r>
              <w:rPr>
                <w:rFonts w:ascii="Arial" w:cs="Arial" w:eastAsia="Arial" w:hAnsi="Arial"/>
                <w:sz w:val="18"/>
                <w:szCs w:val="18"/>
                <w:color w:val="auto"/>
              </w:rPr>
              <w:t>359,662 Shares of Common Stock (1)</w:t>
            </w:r>
          </w:p>
        </w:tc>
        <w:tc>
          <w:tcPr>
            <w:tcW w:w="0" w:type="dxa"/>
            <w:vAlign w:val="bottom"/>
          </w:tcPr>
          <w:p>
            <w:pPr>
              <w:spacing w:after="0"/>
              <w:rPr>
                <w:sz w:val="1"/>
                <w:szCs w:val="1"/>
                <w:color w:val="auto"/>
              </w:rPr>
            </w:pPr>
          </w:p>
        </w:tc>
      </w:tr>
      <w:tr>
        <w:trPr>
          <w:trHeight w:val="63"/>
        </w:trPr>
        <w:tc>
          <w:tcPr>
            <w:tcW w:w="206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60" w:right="3900" w:hanging="409"/>
        <w:spacing w:after="0" w:line="271" w:lineRule="auto"/>
        <w:tabs>
          <w:tab w:leader="none" w:pos="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359,662 Shares of Common Stock (1)</w:t>
      </w:r>
    </w:p>
    <w:p>
      <w:pPr>
        <w:spacing w:after="0" w:line="113" w:lineRule="exact"/>
        <w:rPr>
          <w:rFonts w:ascii="Arial" w:cs="Arial" w:eastAsia="Arial" w:hAnsi="Arial"/>
          <w:sz w:val="18"/>
          <w:szCs w:val="18"/>
          <w:color w:val="auto"/>
        </w:rPr>
      </w:pPr>
    </w:p>
    <w:p>
      <w:pPr>
        <w:ind w:left="560" w:hanging="416"/>
        <w:spacing w:after="0"/>
        <w:tabs>
          <w:tab w:leader="none" w:pos="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9" w:lineRule="exact"/>
        <w:rPr>
          <w:rFonts w:ascii="Arial" w:cs="Arial" w:eastAsia="Arial" w:hAnsi="Arial"/>
          <w:sz w:val="18"/>
          <w:szCs w:val="18"/>
          <w:color w:val="auto"/>
        </w:rPr>
      </w:pPr>
    </w:p>
    <w:p>
      <w:pPr>
        <w:ind w:left="5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84" w:lineRule="exact"/>
        <w:rPr>
          <w:rFonts w:ascii="Arial" w:cs="Arial" w:eastAsia="Arial" w:hAnsi="Arial"/>
          <w:sz w:val="18"/>
          <w:szCs w:val="18"/>
          <w:color w:val="auto"/>
        </w:rPr>
      </w:pPr>
    </w:p>
    <w:p>
      <w:pPr>
        <w:ind w:left="560" w:hanging="416"/>
        <w:spacing w:after="0"/>
        <w:tabs>
          <w:tab w:leader="none" w:pos="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.33% (2)</w:t>
      </w:r>
    </w:p>
    <w:p>
      <w:pPr>
        <w:spacing w:after="0" w:line="153" w:lineRule="exact"/>
        <w:rPr>
          <w:rFonts w:ascii="Arial" w:cs="Arial" w:eastAsia="Arial" w:hAnsi="Arial"/>
          <w:sz w:val="18"/>
          <w:szCs w:val="18"/>
          <w:color w:val="auto"/>
        </w:rPr>
      </w:pPr>
    </w:p>
    <w:p>
      <w:pPr>
        <w:ind w:left="560" w:hanging="416"/>
        <w:spacing w:after="0"/>
        <w:tabs>
          <w:tab w:leader="none" w:pos="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72" w:lineRule="exact"/>
        <w:rPr>
          <w:rFonts w:ascii="Arial" w:cs="Arial" w:eastAsia="Arial" w:hAnsi="Arial"/>
          <w:sz w:val="18"/>
          <w:szCs w:val="18"/>
          <w:color w:val="auto"/>
        </w:rPr>
      </w:pPr>
    </w:p>
    <w:p>
      <w:pPr>
        <w:jc w:val="both"/>
        <w:ind w:left="460" w:right="160" w:hanging="452"/>
        <w:spacing w:after="0" w:line="24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shares are held of record by PH III. PH III GP is the general partner of PH III and PH III GP may be deemed to have shared voting, investment and dispositive power with respect to these securities. Clive Meanwell and Christopher Cox are the managing members of PH III GP and may be deemed to have shared voting, investment and dispositive power with respect to these securities.</w:t>
      </w:r>
    </w:p>
    <w:p>
      <w:pPr>
        <w:spacing w:after="0" w:line="1" w:lineRule="exact"/>
        <w:rPr>
          <w:rFonts w:ascii="Arial" w:cs="Arial" w:eastAsia="Arial" w:hAnsi="Arial"/>
          <w:sz w:val="18"/>
          <w:szCs w:val="18"/>
          <w:color w:val="auto"/>
        </w:rPr>
      </w:pPr>
    </w:p>
    <w:p>
      <w:pPr>
        <w:ind w:left="460" w:right="8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109,740,173 shares of Common Stock outstanding as of June 2, 2022, as reported by the Issuer in the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tbl>
      <w:tblPr>
        <w:tblLayout w:type="fixed"/>
        <w:tblInd w:w="8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660" w:type="dxa"/>
            <w:vAlign w:val="bottom"/>
          </w:tcPr>
          <w:p>
            <w:pPr>
              <w:ind w:left="4340"/>
              <w:spacing w:after="0"/>
              <w:rPr>
                <w:sz w:val="20"/>
                <w:szCs w:val="20"/>
                <w:color w:val="auto"/>
              </w:rPr>
            </w:pPr>
            <w:r>
              <w:rPr>
                <w:rFonts w:ascii="Arial" w:cs="Arial" w:eastAsia="Arial" w:hAnsi="Arial"/>
                <w:sz w:val="18"/>
                <w:szCs w:val="18"/>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5134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134610"/>
                    </a:xfrm>
                    <a:prstGeom prst="rect">
                      <a:avLst/>
                    </a:prstGeom>
                    <a:noFill/>
                  </pic:spPr>
                </pic:pic>
              </a:graphicData>
            </a:graphic>
          </wp:anchor>
        </w:drawing>
      </w:r>
    </w:p>
    <w:p>
      <w:pPr>
        <w:spacing w:after="0" w:line="119" w:lineRule="exact"/>
        <w:rPr>
          <w:sz w:val="20"/>
          <w:szCs w:val="20"/>
          <w:color w:val="auto"/>
        </w:rPr>
      </w:pPr>
    </w:p>
    <w:p>
      <w:pPr>
        <w:ind w:left="560" w:right="7320" w:hanging="366"/>
        <w:spacing w:after="0" w:line="301" w:lineRule="auto"/>
        <w:tabs>
          <w:tab w:leader="none" w:pos="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NAMES OF REPORTING PERSONS Population Health Equity Partners VII, L.P.</w:t>
      </w:r>
    </w:p>
    <w:p>
      <w:pPr>
        <w:spacing w:after="0" w:line="90" w:lineRule="exact"/>
        <w:rPr>
          <w:sz w:val="20"/>
          <w:szCs w:val="20"/>
          <w:color w:val="auto"/>
        </w:rPr>
      </w:pPr>
    </w:p>
    <w:p>
      <w:pPr>
        <w:ind w:left="560" w:hanging="366"/>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53" w:lineRule="exact"/>
        <w:rPr>
          <w:sz w:val="20"/>
          <w:szCs w:val="20"/>
          <w:color w:val="auto"/>
        </w:rPr>
      </w:pPr>
    </w:p>
    <w:p>
      <w:pPr>
        <w:ind w:left="560" w:hanging="366"/>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560" w:hanging="366"/>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153" w:lineRule="exact"/>
        <w:rPr>
          <w:sz w:val="20"/>
          <w:szCs w:val="20"/>
          <w:color w:val="auto"/>
        </w:rPr>
      </w:pPr>
    </w:p>
    <w:p>
      <w:pPr>
        <w:ind w:left="560" w:hanging="366"/>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16" w:lineRule="exact"/>
        <w:rPr>
          <w:sz w:val="20"/>
          <w:szCs w:val="20"/>
          <w:color w:val="auto"/>
        </w:rPr>
      </w:pPr>
    </w:p>
    <w:p>
      <w:pPr>
        <w:ind w:left="560"/>
        <w:spacing w:after="0" w:line="221" w:lineRule="exact"/>
        <w:rPr>
          <w:sz w:val="20"/>
          <w:szCs w:val="20"/>
          <w:color w:val="auto"/>
        </w:rPr>
      </w:pPr>
      <w:r>
        <w:rPr>
          <w:rFonts w:ascii="MS PGothic" w:cs="MS PGothic" w:eastAsia="MS PGothic" w:hAnsi="MS PGothic"/>
          <w:sz w:val="22"/>
          <w:szCs w:val="22"/>
          <w:color w:val="auto"/>
        </w:rPr>
        <w:t>☐</w:t>
      </w:r>
    </w:p>
    <w:p>
      <w:pPr>
        <w:spacing w:after="0" w:line="191" w:lineRule="exact"/>
        <w:rPr>
          <w:sz w:val="20"/>
          <w:szCs w:val="20"/>
          <w:color w:val="auto"/>
        </w:rPr>
      </w:pPr>
    </w:p>
    <w:p>
      <w:pPr>
        <w:ind w:left="560" w:right="6900" w:hanging="366"/>
        <w:spacing w:after="0" w:line="271"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60" w:type="dxa"/>
            <w:vAlign w:val="bottom"/>
            <w:tcBorders>
              <w:top w:val="single" w:sz="8" w:color="auto"/>
              <w:right w:val="single" w:sz="8" w:color="auto"/>
            </w:tcBorders>
          </w:tcPr>
          <w:p>
            <w:pPr>
              <w:spacing w:after="0"/>
              <w:rPr>
                <w:sz w:val="23"/>
                <w:szCs w:val="23"/>
                <w:color w:val="auto"/>
              </w:rPr>
            </w:pPr>
          </w:p>
        </w:tc>
        <w:tc>
          <w:tcPr>
            <w:tcW w:w="44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8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1"/>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 OF</w:t>
            </w:r>
          </w:p>
        </w:tc>
        <w:tc>
          <w:tcPr>
            <w:tcW w:w="440" w:type="dxa"/>
            <w:vAlign w:val="bottom"/>
            <w:tcBorders>
              <w:right w:val="single" w:sz="8" w:color="auto"/>
            </w:tcBorders>
          </w:tcPr>
          <w:p>
            <w:pPr>
              <w:spacing w:after="0"/>
              <w:rPr>
                <w:sz w:val="24"/>
                <w:szCs w:val="24"/>
                <w:color w:val="auto"/>
              </w:rPr>
            </w:pPr>
          </w:p>
        </w:tc>
        <w:tc>
          <w:tcPr>
            <w:tcW w:w="874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9"/>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6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8</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6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203"/>
        </w:trPr>
        <w:tc>
          <w:tcPr>
            <w:tcW w:w="2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440" w:type="dxa"/>
            <w:vAlign w:val="bottom"/>
            <w:tcBorders>
              <w:right w:val="single" w:sz="8" w:color="auto"/>
            </w:tcBorders>
          </w:tcPr>
          <w:p>
            <w:pPr>
              <w:spacing w:after="0"/>
              <w:rPr>
                <w:sz w:val="17"/>
                <w:szCs w:val="17"/>
                <w:color w:val="auto"/>
              </w:rPr>
            </w:pPr>
          </w:p>
        </w:tc>
        <w:tc>
          <w:tcPr>
            <w:tcW w:w="8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440" w:type="dxa"/>
            <w:vAlign w:val="bottom"/>
            <w:tcBorders>
              <w:bottom w:val="single" w:sz="8" w:color="auto"/>
              <w:right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60" w:type="dxa"/>
            <w:vAlign w:val="bottom"/>
            <w:tcBorders>
              <w:right w:val="single" w:sz="8" w:color="auto"/>
            </w:tcBorders>
            <w:vMerge w:val="continue"/>
          </w:tcPr>
          <w:p>
            <w:pPr>
              <w:spacing w:after="0"/>
              <w:rPr>
                <w:sz w:val="13"/>
                <w:szCs w:val="13"/>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9</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REPORTING</w:t>
            </w:r>
          </w:p>
        </w:tc>
        <w:tc>
          <w:tcPr>
            <w:tcW w:w="440" w:type="dxa"/>
            <w:vAlign w:val="bottom"/>
            <w:tcBorders>
              <w:right w:val="single" w:sz="8" w:color="auto"/>
            </w:tcBorders>
            <w:vMerge w:val="continue"/>
          </w:tcPr>
          <w:p>
            <w:pPr>
              <w:spacing w:after="0"/>
              <w:rPr>
                <w:sz w:val="9"/>
                <w:szCs w:val="9"/>
                <w:color w:val="auto"/>
              </w:rPr>
            </w:pPr>
          </w:p>
        </w:tc>
        <w:tc>
          <w:tcPr>
            <w:tcW w:w="8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60" w:type="dxa"/>
            <w:vAlign w:val="bottom"/>
            <w:tcBorders>
              <w:right w:val="single" w:sz="8" w:color="auto"/>
            </w:tcBorders>
            <w:vMerge w:val="continue"/>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PERSON</w:t>
            </w:r>
          </w:p>
        </w:tc>
        <w:tc>
          <w:tcPr>
            <w:tcW w:w="440" w:type="dxa"/>
            <w:vAlign w:val="bottom"/>
            <w:tcBorders>
              <w:right w:val="single" w:sz="8" w:color="auto"/>
            </w:tcBorders>
          </w:tcPr>
          <w:p>
            <w:pPr>
              <w:spacing w:after="0"/>
              <w:rPr>
                <w:sz w:val="12"/>
                <w:szCs w:val="12"/>
                <w:color w:val="auto"/>
              </w:rPr>
            </w:pPr>
          </w:p>
        </w:tc>
        <w:tc>
          <w:tcPr>
            <w:tcW w:w="8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vMerge w:val="continue"/>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right w:val="single" w:sz="8" w:color="auto"/>
            </w:tcBorders>
          </w:tcPr>
          <w:p>
            <w:pPr>
              <w:spacing w:after="0"/>
              <w:rPr>
                <w:sz w:val="19"/>
                <w:szCs w:val="19"/>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
        </w:trPr>
        <w:tc>
          <w:tcPr>
            <w:tcW w:w="206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8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8740" w:type="dxa"/>
            <w:vAlign w:val="bottom"/>
          </w:tcPr>
          <w:p>
            <w:pPr>
              <w:ind w:left="8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3"/>
        </w:trPr>
        <w:tc>
          <w:tcPr>
            <w:tcW w:w="206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60" w:right="3900" w:hanging="409"/>
        <w:spacing w:after="0" w:line="271"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320,160 Shares of Common Stock (1)</w:t>
      </w:r>
    </w:p>
    <w:p>
      <w:pPr>
        <w:spacing w:after="0" w:line="113" w:lineRule="exact"/>
        <w:rPr>
          <w:rFonts w:ascii="Arial" w:cs="Arial" w:eastAsia="Arial" w:hAnsi="Arial"/>
          <w:sz w:val="18"/>
          <w:szCs w:val="18"/>
          <w:color w:val="auto"/>
        </w:rPr>
      </w:pPr>
    </w:p>
    <w:p>
      <w:pPr>
        <w:ind w:left="560" w:hanging="41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6" w:lineRule="exact"/>
        <w:rPr>
          <w:sz w:val="20"/>
          <w:szCs w:val="20"/>
          <w:color w:val="auto"/>
        </w:rPr>
      </w:pPr>
    </w:p>
    <w:p>
      <w:pPr>
        <w:ind w:left="560"/>
        <w:spacing w:after="0" w:line="221" w:lineRule="exact"/>
        <w:rPr>
          <w:sz w:val="20"/>
          <w:szCs w:val="20"/>
          <w:color w:val="auto"/>
        </w:rPr>
      </w:pPr>
      <w:r>
        <w:rPr>
          <w:rFonts w:ascii="MS PGothic" w:cs="MS PGothic" w:eastAsia="MS PGothic" w:hAnsi="MS PGothic"/>
          <w:sz w:val="22"/>
          <w:szCs w:val="22"/>
          <w:color w:val="auto"/>
        </w:rPr>
        <w:t>☐</w:t>
      </w:r>
    </w:p>
    <w:p>
      <w:pPr>
        <w:spacing w:after="0" w:line="191" w:lineRule="exact"/>
        <w:rPr>
          <w:sz w:val="20"/>
          <w:szCs w:val="20"/>
          <w:color w:val="auto"/>
        </w:rPr>
      </w:pPr>
    </w:p>
    <w:p>
      <w:pPr>
        <w:ind w:left="560" w:hanging="416"/>
        <w:spacing w:after="0"/>
        <w:tabs>
          <w:tab w:leader="none" w:pos="5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.29% (2)</w:t>
      </w:r>
    </w:p>
    <w:p>
      <w:pPr>
        <w:spacing w:after="0" w:line="153" w:lineRule="exact"/>
        <w:rPr>
          <w:rFonts w:ascii="Arial" w:cs="Arial" w:eastAsia="Arial" w:hAnsi="Arial"/>
          <w:sz w:val="18"/>
          <w:szCs w:val="18"/>
          <w:color w:val="auto"/>
        </w:rPr>
      </w:pPr>
    </w:p>
    <w:p>
      <w:pPr>
        <w:ind w:left="560" w:hanging="416"/>
        <w:spacing w:after="0"/>
        <w:tabs>
          <w:tab w:leader="none" w:pos="5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72" w:lineRule="exact"/>
        <w:rPr>
          <w:rFonts w:ascii="Arial" w:cs="Arial" w:eastAsia="Arial" w:hAnsi="Arial"/>
          <w:sz w:val="18"/>
          <w:szCs w:val="18"/>
          <w:color w:val="auto"/>
        </w:rPr>
      </w:pPr>
    </w:p>
    <w:p>
      <w:pPr>
        <w:ind w:left="460" w:right="2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shares are held of record by PH VII (as defined in Item 2(a) of the Original 13D). PH VII GP (as defined in Item 2(a) of the Original 13D) is the general partner of PH VII and PH VII GP may be deemed to have shared voting, investment and dispositive power with respect to these securities. Clive Meanwell and Christopher Cox are the managing members of PH VII GP and may be deemed to have shared voting, investment and dispositive power with respect to these securities.</w:t>
      </w:r>
    </w:p>
    <w:p>
      <w:pPr>
        <w:ind w:left="460" w:right="8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109,740,173 shares of Common Stock outstanding as of June 2, 2022, as reported by the Issuer in the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 w:name="page5"/>
    <w:bookmarkEnd w:id="4"/>
    <w:tbl>
      <w:tblPr>
        <w:tblLayout w:type="fixed"/>
        <w:tblInd w:w="8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660" w:type="dxa"/>
            <w:vAlign w:val="bottom"/>
          </w:tcPr>
          <w:p>
            <w:pPr>
              <w:ind w:left="4340"/>
              <w:spacing w:after="0"/>
              <w:rPr>
                <w:sz w:val="20"/>
                <w:szCs w:val="20"/>
                <w:color w:val="auto"/>
              </w:rPr>
            </w:pPr>
            <w:r>
              <w:rPr>
                <w:rFonts w:ascii="Arial" w:cs="Arial" w:eastAsia="Arial" w:hAnsi="Arial"/>
                <w:sz w:val="18"/>
                <w:szCs w:val="18"/>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5134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134610"/>
                    </a:xfrm>
                    <a:prstGeom prst="rect">
                      <a:avLst/>
                    </a:prstGeom>
                    <a:noFill/>
                  </pic:spPr>
                </pic:pic>
              </a:graphicData>
            </a:graphic>
          </wp:anchor>
        </w:drawing>
      </w:r>
    </w:p>
    <w:p>
      <w:pPr>
        <w:spacing w:after="0" w:line="119" w:lineRule="exact"/>
        <w:rPr>
          <w:sz w:val="20"/>
          <w:szCs w:val="20"/>
          <w:color w:val="auto"/>
        </w:rPr>
      </w:pPr>
    </w:p>
    <w:p>
      <w:pPr>
        <w:ind w:left="540" w:right="7000" w:hanging="352"/>
        <w:spacing w:after="0" w:line="301"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NAMES OF REPORTING PERSONS Population Health Equity Partners VII GP, LLC</w:t>
      </w:r>
    </w:p>
    <w:p>
      <w:pPr>
        <w:spacing w:after="0" w:line="90" w:lineRule="exact"/>
        <w:rPr>
          <w:sz w:val="20"/>
          <w:szCs w:val="20"/>
          <w:color w:val="auto"/>
        </w:rPr>
      </w:pPr>
    </w:p>
    <w:p>
      <w:pPr>
        <w:ind w:left="540" w:hanging="35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53" w:lineRule="exact"/>
        <w:rPr>
          <w:sz w:val="20"/>
          <w:szCs w:val="20"/>
          <w:color w:val="auto"/>
        </w:rPr>
      </w:pPr>
    </w:p>
    <w:p>
      <w:pPr>
        <w:ind w:left="540" w:hanging="35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540" w:hanging="35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153" w:lineRule="exact"/>
        <w:rPr>
          <w:sz w:val="20"/>
          <w:szCs w:val="20"/>
          <w:color w:val="auto"/>
        </w:rPr>
      </w:pPr>
    </w:p>
    <w:p>
      <w:pPr>
        <w:ind w:left="540" w:hanging="35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16" w:lineRule="exact"/>
        <w:rPr>
          <w:sz w:val="20"/>
          <w:szCs w:val="20"/>
          <w:color w:val="auto"/>
        </w:rPr>
      </w:pPr>
    </w:p>
    <w:p>
      <w:pPr>
        <w:ind w:left="540"/>
        <w:spacing w:after="0" w:line="221" w:lineRule="exact"/>
        <w:rPr>
          <w:sz w:val="20"/>
          <w:szCs w:val="20"/>
          <w:color w:val="auto"/>
        </w:rPr>
      </w:pPr>
      <w:r>
        <w:rPr>
          <w:rFonts w:ascii="MS PGothic" w:cs="MS PGothic" w:eastAsia="MS PGothic" w:hAnsi="MS PGothic"/>
          <w:sz w:val="22"/>
          <w:szCs w:val="22"/>
          <w:color w:val="auto"/>
        </w:rPr>
        <w:t>☐</w:t>
      </w:r>
    </w:p>
    <w:p>
      <w:pPr>
        <w:spacing w:after="0" w:line="191" w:lineRule="exact"/>
        <w:rPr>
          <w:sz w:val="20"/>
          <w:szCs w:val="20"/>
          <w:color w:val="auto"/>
        </w:rPr>
      </w:pPr>
    </w:p>
    <w:p>
      <w:pPr>
        <w:ind w:left="540" w:right="6900" w:hanging="352"/>
        <w:spacing w:after="0" w:line="271"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60" w:type="dxa"/>
            <w:vAlign w:val="bottom"/>
            <w:tcBorders>
              <w:top w:val="single" w:sz="8" w:color="auto"/>
              <w:right w:val="single" w:sz="8" w:color="auto"/>
            </w:tcBorders>
          </w:tcPr>
          <w:p>
            <w:pPr>
              <w:spacing w:after="0"/>
              <w:rPr>
                <w:sz w:val="23"/>
                <w:szCs w:val="23"/>
                <w:color w:val="auto"/>
              </w:rPr>
            </w:pPr>
          </w:p>
        </w:tc>
        <w:tc>
          <w:tcPr>
            <w:tcW w:w="44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8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1"/>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 OF</w:t>
            </w:r>
          </w:p>
        </w:tc>
        <w:tc>
          <w:tcPr>
            <w:tcW w:w="440" w:type="dxa"/>
            <w:vAlign w:val="bottom"/>
            <w:tcBorders>
              <w:right w:val="single" w:sz="8" w:color="auto"/>
            </w:tcBorders>
          </w:tcPr>
          <w:p>
            <w:pPr>
              <w:spacing w:after="0"/>
              <w:rPr>
                <w:sz w:val="24"/>
                <w:szCs w:val="24"/>
                <w:color w:val="auto"/>
              </w:rPr>
            </w:pPr>
          </w:p>
        </w:tc>
        <w:tc>
          <w:tcPr>
            <w:tcW w:w="874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9"/>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6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8</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6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203"/>
        </w:trPr>
        <w:tc>
          <w:tcPr>
            <w:tcW w:w="2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440" w:type="dxa"/>
            <w:vAlign w:val="bottom"/>
            <w:tcBorders>
              <w:right w:val="single" w:sz="8" w:color="auto"/>
            </w:tcBorders>
          </w:tcPr>
          <w:p>
            <w:pPr>
              <w:spacing w:after="0"/>
              <w:rPr>
                <w:sz w:val="17"/>
                <w:szCs w:val="17"/>
                <w:color w:val="auto"/>
              </w:rPr>
            </w:pPr>
          </w:p>
        </w:tc>
        <w:tc>
          <w:tcPr>
            <w:tcW w:w="8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440" w:type="dxa"/>
            <w:vAlign w:val="bottom"/>
            <w:tcBorders>
              <w:bottom w:val="single" w:sz="8" w:color="auto"/>
              <w:right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60" w:type="dxa"/>
            <w:vAlign w:val="bottom"/>
            <w:tcBorders>
              <w:right w:val="single" w:sz="8" w:color="auto"/>
            </w:tcBorders>
            <w:vMerge w:val="continue"/>
          </w:tcPr>
          <w:p>
            <w:pPr>
              <w:spacing w:after="0"/>
              <w:rPr>
                <w:sz w:val="13"/>
                <w:szCs w:val="13"/>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9</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REPORTING</w:t>
            </w:r>
          </w:p>
        </w:tc>
        <w:tc>
          <w:tcPr>
            <w:tcW w:w="440" w:type="dxa"/>
            <w:vAlign w:val="bottom"/>
            <w:tcBorders>
              <w:right w:val="single" w:sz="8" w:color="auto"/>
            </w:tcBorders>
            <w:vMerge w:val="continue"/>
          </w:tcPr>
          <w:p>
            <w:pPr>
              <w:spacing w:after="0"/>
              <w:rPr>
                <w:sz w:val="9"/>
                <w:szCs w:val="9"/>
                <w:color w:val="auto"/>
              </w:rPr>
            </w:pPr>
          </w:p>
        </w:tc>
        <w:tc>
          <w:tcPr>
            <w:tcW w:w="8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60" w:type="dxa"/>
            <w:vAlign w:val="bottom"/>
            <w:tcBorders>
              <w:right w:val="single" w:sz="8" w:color="auto"/>
            </w:tcBorders>
            <w:vMerge w:val="continue"/>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PERSON</w:t>
            </w:r>
          </w:p>
        </w:tc>
        <w:tc>
          <w:tcPr>
            <w:tcW w:w="440" w:type="dxa"/>
            <w:vAlign w:val="bottom"/>
            <w:tcBorders>
              <w:right w:val="single" w:sz="8" w:color="auto"/>
            </w:tcBorders>
          </w:tcPr>
          <w:p>
            <w:pPr>
              <w:spacing w:after="0"/>
              <w:rPr>
                <w:sz w:val="12"/>
                <w:szCs w:val="12"/>
                <w:color w:val="auto"/>
              </w:rPr>
            </w:pPr>
          </w:p>
        </w:tc>
        <w:tc>
          <w:tcPr>
            <w:tcW w:w="8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vMerge w:val="continue"/>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right w:val="single" w:sz="8" w:color="auto"/>
            </w:tcBorders>
          </w:tcPr>
          <w:p>
            <w:pPr>
              <w:spacing w:after="0"/>
              <w:rPr>
                <w:sz w:val="19"/>
                <w:szCs w:val="19"/>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
        </w:trPr>
        <w:tc>
          <w:tcPr>
            <w:tcW w:w="206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8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8740" w:type="dxa"/>
            <w:vAlign w:val="bottom"/>
          </w:tcPr>
          <w:p>
            <w:pPr>
              <w:ind w:left="80"/>
              <w:spacing w:after="0"/>
              <w:rPr>
                <w:sz w:val="20"/>
                <w:szCs w:val="20"/>
                <w:color w:val="auto"/>
              </w:rPr>
            </w:pPr>
            <w:r>
              <w:rPr>
                <w:rFonts w:ascii="Arial" w:cs="Arial" w:eastAsia="Arial" w:hAnsi="Arial"/>
                <w:sz w:val="18"/>
                <w:szCs w:val="18"/>
                <w:color w:val="auto"/>
              </w:rPr>
              <w:t>320,160 Shares of Common Stock (1)</w:t>
            </w:r>
          </w:p>
        </w:tc>
        <w:tc>
          <w:tcPr>
            <w:tcW w:w="0" w:type="dxa"/>
            <w:vAlign w:val="bottom"/>
          </w:tcPr>
          <w:p>
            <w:pPr>
              <w:spacing w:after="0"/>
              <w:rPr>
                <w:sz w:val="1"/>
                <w:szCs w:val="1"/>
                <w:color w:val="auto"/>
              </w:rPr>
            </w:pPr>
          </w:p>
        </w:tc>
      </w:tr>
      <w:tr>
        <w:trPr>
          <w:trHeight w:val="63"/>
        </w:trPr>
        <w:tc>
          <w:tcPr>
            <w:tcW w:w="206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60" w:right="3900" w:hanging="409"/>
        <w:spacing w:after="0" w:line="271"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320,160 Shares of Common Stock (1)</w:t>
      </w:r>
    </w:p>
    <w:p>
      <w:pPr>
        <w:spacing w:after="0" w:line="113" w:lineRule="exact"/>
        <w:rPr>
          <w:rFonts w:ascii="Arial" w:cs="Arial" w:eastAsia="Arial" w:hAnsi="Arial"/>
          <w:sz w:val="18"/>
          <w:szCs w:val="18"/>
          <w:color w:val="auto"/>
        </w:rPr>
      </w:pPr>
    </w:p>
    <w:p>
      <w:pPr>
        <w:ind w:left="560" w:hanging="416"/>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6" w:lineRule="exact"/>
        <w:rPr>
          <w:sz w:val="20"/>
          <w:szCs w:val="20"/>
          <w:color w:val="auto"/>
        </w:rPr>
      </w:pPr>
    </w:p>
    <w:p>
      <w:pPr>
        <w:ind w:left="560"/>
        <w:spacing w:after="0" w:line="221" w:lineRule="exact"/>
        <w:rPr>
          <w:sz w:val="20"/>
          <w:szCs w:val="20"/>
          <w:color w:val="auto"/>
        </w:rPr>
      </w:pPr>
      <w:r>
        <w:rPr>
          <w:rFonts w:ascii="MS PGothic" w:cs="MS PGothic" w:eastAsia="MS PGothic" w:hAnsi="MS PGothic"/>
          <w:sz w:val="22"/>
          <w:szCs w:val="22"/>
          <w:color w:val="auto"/>
        </w:rPr>
        <w:t>☐</w:t>
      </w:r>
    </w:p>
    <w:p>
      <w:pPr>
        <w:spacing w:after="0" w:line="191" w:lineRule="exact"/>
        <w:rPr>
          <w:sz w:val="20"/>
          <w:szCs w:val="20"/>
          <w:color w:val="auto"/>
        </w:rPr>
      </w:pPr>
    </w:p>
    <w:p>
      <w:pPr>
        <w:ind w:left="560" w:hanging="416"/>
        <w:spacing w:after="0"/>
        <w:tabs>
          <w:tab w:leader="none" w:pos="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.29% (2)</w:t>
      </w:r>
    </w:p>
    <w:p>
      <w:pPr>
        <w:spacing w:after="0" w:line="153" w:lineRule="exact"/>
        <w:rPr>
          <w:rFonts w:ascii="Arial" w:cs="Arial" w:eastAsia="Arial" w:hAnsi="Arial"/>
          <w:sz w:val="18"/>
          <w:szCs w:val="18"/>
          <w:color w:val="auto"/>
        </w:rPr>
      </w:pPr>
    </w:p>
    <w:p>
      <w:pPr>
        <w:ind w:left="560" w:hanging="416"/>
        <w:spacing w:after="0"/>
        <w:tabs>
          <w:tab w:leader="none" w:pos="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72"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shares are held of record by PH VII. PH VII GP is the general partner of PH VII and PH VII GP may be deemed to have shared voting, investment and dispositive power with respect to these securities. Clive Meanwell and Christopher Cox are the managing members of PH VII GP and may be deemed to have shared voting, investment and dispositive power with respect to these securities.</w:t>
      </w:r>
    </w:p>
    <w:p>
      <w:pPr>
        <w:spacing w:after="0" w:line="2" w:lineRule="exact"/>
        <w:rPr>
          <w:rFonts w:ascii="Arial" w:cs="Arial" w:eastAsia="Arial" w:hAnsi="Arial"/>
          <w:sz w:val="17"/>
          <w:szCs w:val="17"/>
          <w:color w:val="auto"/>
        </w:rPr>
      </w:pPr>
    </w:p>
    <w:p>
      <w:pPr>
        <w:ind w:left="460" w:right="8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109,740,173 shares of Common Stock outstanding as of June 2, 2022, as reported by the Issuer in the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tbl>
      <w:tblPr>
        <w:tblLayout w:type="fixed"/>
        <w:tblInd w:w="8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660" w:type="dxa"/>
            <w:vAlign w:val="bottom"/>
          </w:tcPr>
          <w:p>
            <w:pPr>
              <w:ind w:left="4340"/>
              <w:spacing w:after="0"/>
              <w:rPr>
                <w:sz w:val="20"/>
                <w:szCs w:val="20"/>
                <w:color w:val="auto"/>
              </w:rPr>
            </w:pPr>
            <w:r>
              <w:rPr>
                <w:rFonts w:ascii="Arial" w:cs="Arial" w:eastAsia="Arial" w:hAnsi="Arial"/>
                <w:sz w:val="18"/>
                <w:szCs w:val="18"/>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5109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109210"/>
                    </a:xfrm>
                    <a:prstGeom prst="rect">
                      <a:avLst/>
                    </a:prstGeom>
                    <a:noFill/>
                  </pic:spPr>
                </pic:pic>
              </a:graphicData>
            </a:graphic>
          </wp:anchor>
        </w:drawing>
      </w:r>
    </w:p>
    <w:p>
      <w:pPr>
        <w:spacing w:after="0" w:line="119" w:lineRule="exact"/>
        <w:rPr>
          <w:sz w:val="20"/>
          <w:szCs w:val="20"/>
          <w:color w:val="auto"/>
        </w:rPr>
      </w:pPr>
    </w:p>
    <w:p>
      <w:pPr>
        <w:ind w:left="560" w:right="7700" w:hanging="366"/>
        <w:spacing w:after="0" w:line="271" w:lineRule="auto"/>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NAMES OF REPORTING PERSONS Clive Meanwell</w:t>
      </w:r>
    </w:p>
    <w:p>
      <w:pPr>
        <w:spacing w:after="0" w:line="113" w:lineRule="exact"/>
        <w:rPr>
          <w:sz w:val="20"/>
          <w:szCs w:val="20"/>
          <w:color w:val="auto"/>
        </w:rPr>
      </w:pPr>
    </w:p>
    <w:p>
      <w:pPr>
        <w:ind w:left="560" w:hanging="366"/>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53" w:lineRule="exact"/>
        <w:rPr>
          <w:sz w:val="20"/>
          <w:szCs w:val="20"/>
          <w:color w:val="auto"/>
        </w:rPr>
      </w:pPr>
    </w:p>
    <w:p>
      <w:pPr>
        <w:ind w:left="560" w:hanging="366"/>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560" w:hanging="366"/>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153" w:lineRule="exact"/>
        <w:rPr>
          <w:sz w:val="20"/>
          <w:szCs w:val="20"/>
          <w:color w:val="auto"/>
        </w:rPr>
      </w:pPr>
    </w:p>
    <w:p>
      <w:pPr>
        <w:ind w:left="560" w:hanging="366"/>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16" w:lineRule="exact"/>
        <w:rPr>
          <w:sz w:val="20"/>
          <w:szCs w:val="20"/>
          <w:color w:val="auto"/>
        </w:rPr>
      </w:pPr>
    </w:p>
    <w:p>
      <w:pPr>
        <w:ind w:left="560"/>
        <w:spacing w:after="0" w:line="221" w:lineRule="exact"/>
        <w:rPr>
          <w:sz w:val="20"/>
          <w:szCs w:val="20"/>
          <w:color w:val="auto"/>
        </w:rPr>
      </w:pPr>
      <w:r>
        <w:rPr>
          <w:rFonts w:ascii="MS PGothic" w:cs="MS PGothic" w:eastAsia="MS PGothic" w:hAnsi="MS PGothic"/>
          <w:sz w:val="22"/>
          <w:szCs w:val="22"/>
          <w:color w:val="auto"/>
        </w:rPr>
        <w:t>☐</w:t>
      </w:r>
    </w:p>
    <w:p>
      <w:pPr>
        <w:spacing w:after="0" w:line="191" w:lineRule="exact"/>
        <w:rPr>
          <w:sz w:val="20"/>
          <w:szCs w:val="20"/>
          <w:color w:val="auto"/>
        </w:rPr>
      </w:pPr>
    </w:p>
    <w:p>
      <w:pPr>
        <w:ind w:left="560" w:right="6900" w:hanging="366"/>
        <w:spacing w:after="0" w:line="271"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 United Kingdom</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6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8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 OF</w:t>
            </w:r>
          </w:p>
        </w:tc>
        <w:tc>
          <w:tcPr>
            <w:tcW w:w="440" w:type="dxa"/>
            <w:vAlign w:val="bottom"/>
            <w:tcBorders>
              <w:right w:val="single" w:sz="8" w:color="auto"/>
            </w:tcBorders>
          </w:tcPr>
          <w:p>
            <w:pPr>
              <w:spacing w:after="0"/>
              <w:rPr>
                <w:sz w:val="22"/>
                <w:szCs w:val="22"/>
                <w:color w:val="auto"/>
              </w:rPr>
            </w:pPr>
          </w:p>
        </w:tc>
        <w:tc>
          <w:tcPr>
            <w:tcW w:w="8740" w:type="dxa"/>
            <w:vAlign w:val="bottom"/>
          </w:tcPr>
          <w:p>
            <w:pPr>
              <w:ind w:left="80"/>
              <w:spacing w:after="0"/>
              <w:rPr>
                <w:sz w:val="20"/>
                <w:szCs w:val="20"/>
                <w:color w:val="auto"/>
              </w:rPr>
            </w:pPr>
            <w:r>
              <w:rPr>
                <w:rFonts w:ascii="Arial" w:cs="Arial" w:eastAsia="Arial" w:hAnsi="Arial"/>
                <w:sz w:val="18"/>
                <w:szCs w:val="18"/>
                <w:color w:val="auto"/>
              </w:rPr>
              <w:t>521,858 Shares of Common Stock (1)</w:t>
            </w:r>
          </w:p>
        </w:tc>
        <w:tc>
          <w:tcPr>
            <w:tcW w:w="0" w:type="dxa"/>
            <w:vAlign w:val="bottom"/>
          </w:tcPr>
          <w:p>
            <w:pPr>
              <w:spacing w:after="0"/>
              <w:rPr>
                <w:sz w:val="1"/>
                <w:szCs w:val="1"/>
                <w:color w:val="auto"/>
              </w:rPr>
            </w:pPr>
          </w:p>
        </w:tc>
      </w:tr>
      <w:tr>
        <w:trPr>
          <w:trHeight w:val="46"/>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440" w:type="dxa"/>
            <w:vAlign w:val="bottom"/>
            <w:tcBorders>
              <w:bottom w:val="single" w:sz="8" w:color="auto"/>
              <w:right w:val="single" w:sz="8" w:color="auto"/>
            </w:tcBorders>
          </w:tcPr>
          <w:p>
            <w:pPr>
              <w:spacing w:after="0"/>
              <w:rPr>
                <w:sz w:val="3"/>
                <w:szCs w:val="3"/>
                <w:color w:val="auto"/>
              </w:rPr>
            </w:pPr>
          </w:p>
        </w:tc>
        <w:tc>
          <w:tcPr>
            <w:tcW w:w="8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06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8</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1"/>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60" w:type="dxa"/>
            <w:vAlign w:val="bottom"/>
            <w:tcBorders>
              <w:right w:val="single" w:sz="8" w:color="auto"/>
            </w:tcBorders>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158"/>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440" w:type="dxa"/>
            <w:vAlign w:val="bottom"/>
            <w:tcBorders>
              <w:right w:val="single" w:sz="8" w:color="auto"/>
            </w:tcBorders>
          </w:tcPr>
          <w:p>
            <w:pPr>
              <w:spacing w:after="0"/>
              <w:rPr>
                <w:sz w:val="13"/>
                <w:szCs w:val="13"/>
                <w:color w:val="auto"/>
              </w:rPr>
            </w:pPr>
          </w:p>
        </w:tc>
        <w:tc>
          <w:tcPr>
            <w:tcW w:w="8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60" w:type="dxa"/>
            <w:vAlign w:val="bottom"/>
            <w:tcBorders>
              <w:right w:val="single" w:sz="8" w:color="auto"/>
            </w:tcBorders>
            <w:vMerge w:val="continue"/>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8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EACH</w:t>
            </w: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9</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REPORTING</w:t>
            </w:r>
          </w:p>
        </w:tc>
        <w:tc>
          <w:tcPr>
            <w:tcW w:w="440" w:type="dxa"/>
            <w:vAlign w:val="bottom"/>
            <w:tcBorders>
              <w:right w:val="single" w:sz="8" w:color="auto"/>
            </w:tcBorders>
            <w:vMerge w:val="continue"/>
          </w:tcPr>
          <w:p>
            <w:pPr>
              <w:spacing w:after="0"/>
              <w:rPr>
                <w:sz w:val="8"/>
                <w:szCs w:val="8"/>
                <w:color w:val="auto"/>
              </w:rPr>
            </w:pPr>
          </w:p>
        </w:tc>
        <w:tc>
          <w:tcPr>
            <w:tcW w:w="8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continue"/>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521,858 Shares of Common Stock (1)</w:t>
            </w:r>
          </w:p>
        </w:tc>
        <w:tc>
          <w:tcPr>
            <w:tcW w:w="0" w:type="dxa"/>
            <w:vAlign w:val="bottom"/>
          </w:tcPr>
          <w:p>
            <w:pPr>
              <w:spacing w:after="0"/>
              <w:rPr>
                <w:sz w:val="1"/>
                <w:szCs w:val="1"/>
                <w:color w:val="auto"/>
              </w:rPr>
            </w:pPr>
          </w:p>
        </w:tc>
      </w:tr>
      <w:tr>
        <w:trPr>
          <w:trHeight w:val="131"/>
        </w:trPr>
        <w:tc>
          <w:tcPr>
            <w:tcW w:w="206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9"/>
              </w:rPr>
              <w:t>PERSON</w:t>
            </w:r>
          </w:p>
        </w:tc>
        <w:tc>
          <w:tcPr>
            <w:tcW w:w="440" w:type="dxa"/>
            <w:vAlign w:val="bottom"/>
            <w:tcBorders>
              <w:right w:val="single" w:sz="8" w:color="auto"/>
            </w:tcBorders>
          </w:tcPr>
          <w:p>
            <w:pPr>
              <w:spacing w:after="0"/>
              <w:rPr>
                <w:sz w:val="11"/>
                <w:szCs w:val="11"/>
                <w:color w:val="auto"/>
              </w:rPr>
            </w:pPr>
          </w:p>
        </w:tc>
        <w:tc>
          <w:tcPr>
            <w:tcW w:w="8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vMerge w:val="continue"/>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right w:val="single" w:sz="8" w:color="auto"/>
            </w:tcBorders>
          </w:tcPr>
          <w:p>
            <w:pPr>
              <w:spacing w:after="0"/>
              <w:rPr>
                <w:sz w:val="22"/>
                <w:szCs w:val="22"/>
                <w:color w:val="auto"/>
              </w:rPr>
            </w:pPr>
          </w:p>
        </w:tc>
        <w:tc>
          <w:tcPr>
            <w:tcW w:w="8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9"/>
        </w:trPr>
        <w:tc>
          <w:tcPr>
            <w:tcW w:w="20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8740" w:type="dxa"/>
            <w:vAlign w:val="bottom"/>
          </w:tcPr>
          <w:p>
            <w:pPr>
              <w:ind w:left="8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63"/>
        </w:trPr>
        <w:tc>
          <w:tcPr>
            <w:tcW w:w="206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60" w:right="3900" w:hanging="409"/>
        <w:spacing w:after="0" w:line="271"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1,201,680 Shares of Common Stock (1)</w:t>
      </w:r>
    </w:p>
    <w:p>
      <w:pPr>
        <w:spacing w:after="0" w:line="113" w:lineRule="exact"/>
        <w:rPr>
          <w:rFonts w:ascii="Arial" w:cs="Arial" w:eastAsia="Arial" w:hAnsi="Arial"/>
          <w:sz w:val="18"/>
          <w:szCs w:val="18"/>
          <w:color w:val="auto"/>
        </w:rPr>
      </w:pPr>
    </w:p>
    <w:p>
      <w:pPr>
        <w:ind w:left="560" w:hanging="416"/>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6" w:lineRule="exact"/>
        <w:rPr>
          <w:sz w:val="20"/>
          <w:szCs w:val="20"/>
          <w:color w:val="auto"/>
        </w:rPr>
      </w:pPr>
    </w:p>
    <w:p>
      <w:pPr>
        <w:ind w:left="560"/>
        <w:spacing w:after="0" w:line="221" w:lineRule="exact"/>
        <w:rPr>
          <w:sz w:val="20"/>
          <w:szCs w:val="20"/>
          <w:color w:val="auto"/>
        </w:rPr>
      </w:pPr>
      <w:r>
        <w:rPr>
          <w:rFonts w:ascii="MS PGothic" w:cs="MS PGothic" w:eastAsia="MS PGothic" w:hAnsi="MS PGothic"/>
          <w:sz w:val="22"/>
          <w:szCs w:val="22"/>
          <w:color w:val="auto"/>
        </w:rPr>
        <w:t>☐</w:t>
      </w:r>
    </w:p>
    <w:p>
      <w:pPr>
        <w:spacing w:after="0" w:line="191" w:lineRule="exact"/>
        <w:rPr>
          <w:sz w:val="20"/>
          <w:szCs w:val="20"/>
          <w:color w:val="auto"/>
        </w:rPr>
      </w:pPr>
    </w:p>
    <w:p>
      <w:pPr>
        <w:ind w:left="560" w:right="5400" w:hanging="416"/>
        <w:spacing w:after="0" w:line="271" w:lineRule="auto"/>
        <w:tabs>
          <w:tab w:leader="none" w:pos="5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 (2)</w:t>
      </w:r>
    </w:p>
    <w:p>
      <w:pPr>
        <w:spacing w:after="0" w:line="113" w:lineRule="exact"/>
        <w:rPr>
          <w:rFonts w:ascii="Arial" w:cs="Arial" w:eastAsia="Arial" w:hAnsi="Arial"/>
          <w:sz w:val="18"/>
          <w:szCs w:val="18"/>
          <w:color w:val="auto"/>
        </w:rPr>
      </w:pPr>
    </w:p>
    <w:p>
      <w:pPr>
        <w:ind w:left="560" w:hanging="416"/>
        <w:spacing w:after="0"/>
        <w:tabs>
          <w:tab w:leader="none" w:pos="5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72" w:lineRule="exact"/>
        <w:rPr>
          <w:rFonts w:ascii="Arial" w:cs="Arial" w:eastAsia="Arial" w:hAnsi="Arial"/>
          <w:sz w:val="18"/>
          <w:szCs w:val="18"/>
          <w:color w:val="auto"/>
        </w:rPr>
      </w:pPr>
    </w:p>
    <w:p>
      <w:pPr>
        <w:ind w:left="460" w:right="8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shares are held of record by PH III and PH VII. PH III GP is the general partner of PH III and PH VII GP is the general partner of PH VII. PH III GP and PH VII GP may be deemed to have shared voting, investment and dispositive power with respect to these securities. Clive Meanwell and Christopher Cox are the managing members of both PH III GP and PH VII GP and may be deemed to have shared voting, investment and dispositive power with respect to these securities.</w:t>
      </w:r>
    </w:p>
    <w:p>
      <w:pPr>
        <w:ind w:left="460" w:right="8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109,740,173 shares of Common Stock outstanding as of June 2, 2022, as reported by the Issuer in the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tbl>
      <w:tblPr>
        <w:tblLayout w:type="fixed"/>
        <w:tblInd w:w="8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660" w:type="dxa"/>
            <w:vAlign w:val="bottom"/>
          </w:tcPr>
          <w:p>
            <w:pPr>
              <w:ind w:left="4340"/>
              <w:spacing w:after="0"/>
              <w:rPr>
                <w:sz w:val="20"/>
                <w:szCs w:val="20"/>
                <w:color w:val="auto"/>
              </w:rPr>
            </w:pPr>
            <w:r>
              <w:rPr>
                <w:rFonts w:ascii="Arial" w:cs="Arial" w:eastAsia="Arial" w:hAnsi="Arial"/>
                <w:sz w:val="18"/>
                <w:szCs w:val="18"/>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513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134610"/>
                    </a:xfrm>
                    <a:prstGeom prst="rect">
                      <a:avLst/>
                    </a:prstGeom>
                    <a:noFill/>
                  </pic:spPr>
                </pic:pic>
              </a:graphicData>
            </a:graphic>
          </wp:anchor>
        </w:drawing>
      </w:r>
    </w:p>
    <w:p>
      <w:pPr>
        <w:spacing w:after="0" w:line="119" w:lineRule="exact"/>
        <w:rPr>
          <w:sz w:val="20"/>
          <w:szCs w:val="20"/>
          <w:color w:val="auto"/>
        </w:rPr>
      </w:pPr>
    </w:p>
    <w:p>
      <w:pPr>
        <w:ind w:left="560" w:right="7700" w:hanging="366"/>
        <w:spacing w:after="0" w:line="271"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NAMES OF REPORTING PERSONS Christopher Cox</w:t>
      </w:r>
    </w:p>
    <w:p>
      <w:pPr>
        <w:spacing w:after="0" w:line="113" w:lineRule="exact"/>
        <w:rPr>
          <w:sz w:val="20"/>
          <w:szCs w:val="20"/>
          <w:color w:val="auto"/>
        </w:rPr>
      </w:pPr>
    </w:p>
    <w:p>
      <w:pPr>
        <w:ind w:left="560" w:hanging="366"/>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3" w:lineRule="exact"/>
        <w:rPr>
          <w:rFonts w:ascii="Arial" w:cs="Arial" w:eastAsia="Arial" w:hAnsi="Arial"/>
          <w:sz w:val="18"/>
          <w:szCs w:val="18"/>
          <w:color w:val="auto"/>
        </w:rPr>
      </w:pPr>
    </w:p>
    <w:p>
      <w:pPr>
        <w:ind w:left="5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53" w:lineRule="exact"/>
        <w:rPr>
          <w:sz w:val="20"/>
          <w:szCs w:val="20"/>
          <w:color w:val="auto"/>
        </w:rPr>
      </w:pPr>
    </w:p>
    <w:p>
      <w:pPr>
        <w:ind w:left="560" w:hanging="366"/>
        <w:spacing w:after="0"/>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560" w:hanging="36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153" w:lineRule="exact"/>
        <w:rPr>
          <w:sz w:val="20"/>
          <w:szCs w:val="20"/>
          <w:color w:val="auto"/>
        </w:rPr>
      </w:pPr>
    </w:p>
    <w:p>
      <w:pPr>
        <w:ind w:left="560" w:hanging="366"/>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16" w:lineRule="exact"/>
        <w:rPr>
          <w:sz w:val="20"/>
          <w:szCs w:val="20"/>
          <w:color w:val="auto"/>
        </w:rPr>
      </w:pPr>
    </w:p>
    <w:p>
      <w:pPr>
        <w:ind w:left="560"/>
        <w:spacing w:after="0" w:line="221" w:lineRule="exact"/>
        <w:rPr>
          <w:sz w:val="20"/>
          <w:szCs w:val="20"/>
          <w:color w:val="auto"/>
        </w:rPr>
      </w:pPr>
      <w:r>
        <w:rPr>
          <w:rFonts w:ascii="MS PGothic" w:cs="MS PGothic" w:eastAsia="MS PGothic" w:hAnsi="MS PGothic"/>
          <w:sz w:val="22"/>
          <w:szCs w:val="22"/>
          <w:color w:val="auto"/>
        </w:rPr>
        <w:t>☐</w:t>
      </w:r>
    </w:p>
    <w:p>
      <w:pPr>
        <w:spacing w:after="0" w:line="191" w:lineRule="exact"/>
        <w:rPr>
          <w:sz w:val="20"/>
          <w:szCs w:val="20"/>
          <w:color w:val="auto"/>
        </w:rPr>
      </w:pPr>
    </w:p>
    <w:p>
      <w:pPr>
        <w:ind w:left="560" w:right="6900" w:hanging="366"/>
        <w:spacing w:after="0" w:line="271"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60" w:type="dxa"/>
            <w:vAlign w:val="bottom"/>
            <w:tcBorders>
              <w:top w:val="single" w:sz="8" w:color="auto"/>
              <w:right w:val="single" w:sz="8" w:color="auto"/>
            </w:tcBorders>
          </w:tcPr>
          <w:p>
            <w:pPr>
              <w:spacing w:after="0"/>
              <w:rPr>
                <w:sz w:val="23"/>
                <w:szCs w:val="23"/>
                <w:color w:val="auto"/>
              </w:rPr>
            </w:pPr>
          </w:p>
        </w:tc>
        <w:tc>
          <w:tcPr>
            <w:tcW w:w="44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8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1"/>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 OF</w:t>
            </w:r>
          </w:p>
        </w:tc>
        <w:tc>
          <w:tcPr>
            <w:tcW w:w="440" w:type="dxa"/>
            <w:vAlign w:val="bottom"/>
            <w:tcBorders>
              <w:right w:val="single" w:sz="8" w:color="auto"/>
            </w:tcBorders>
          </w:tcPr>
          <w:p>
            <w:pPr>
              <w:spacing w:after="0"/>
              <w:rPr>
                <w:sz w:val="24"/>
                <w:szCs w:val="24"/>
                <w:color w:val="auto"/>
              </w:rPr>
            </w:pPr>
          </w:p>
        </w:tc>
        <w:tc>
          <w:tcPr>
            <w:tcW w:w="874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9"/>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6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8</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440" w:type="dxa"/>
            <w:vAlign w:val="bottom"/>
            <w:tcBorders>
              <w:right w:val="single" w:sz="8" w:color="auto"/>
            </w:tcBorders>
            <w:vMerge w:val="continue"/>
          </w:tcPr>
          <w:p>
            <w:pPr>
              <w:spacing w:after="0"/>
              <w:rPr>
                <w:sz w:val="11"/>
                <w:szCs w:val="11"/>
                <w:color w:val="auto"/>
              </w:rPr>
            </w:pPr>
          </w:p>
        </w:tc>
        <w:tc>
          <w:tcPr>
            <w:tcW w:w="8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6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203"/>
        </w:trPr>
        <w:tc>
          <w:tcPr>
            <w:tcW w:w="2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440" w:type="dxa"/>
            <w:vAlign w:val="bottom"/>
            <w:tcBorders>
              <w:right w:val="single" w:sz="8" w:color="auto"/>
            </w:tcBorders>
          </w:tcPr>
          <w:p>
            <w:pPr>
              <w:spacing w:after="0"/>
              <w:rPr>
                <w:sz w:val="17"/>
                <w:szCs w:val="17"/>
                <w:color w:val="auto"/>
              </w:rPr>
            </w:pPr>
          </w:p>
        </w:tc>
        <w:tc>
          <w:tcPr>
            <w:tcW w:w="8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440" w:type="dxa"/>
            <w:vAlign w:val="bottom"/>
            <w:tcBorders>
              <w:bottom w:val="single" w:sz="8" w:color="auto"/>
              <w:right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60" w:type="dxa"/>
            <w:vAlign w:val="bottom"/>
            <w:tcBorders>
              <w:right w:val="single" w:sz="8" w:color="auto"/>
            </w:tcBorders>
            <w:vMerge w:val="continue"/>
          </w:tcPr>
          <w:p>
            <w:pPr>
              <w:spacing w:after="0"/>
              <w:rPr>
                <w:sz w:val="13"/>
                <w:szCs w:val="13"/>
                <w:color w:val="auto"/>
              </w:rPr>
            </w:pPr>
          </w:p>
        </w:tc>
        <w:tc>
          <w:tcPr>
            <w:tcW w:w="4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9</w:t>
            </w: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99"/>
              </w:rPr>
              <w:t>REPORTING</w:t>
            </w:r>
          </w:p>
        </w:tc>
        <w:tc>
          <w:tcPr>
            <w:tcW w:w="440" w:type="dxa"/>
            <w:vAlign w:val="bottom"/>
            <w:tcBorders>
              <w:right w:val="single" w:sz="8" w:color="auto"/>
            </w:tcBorders>
            <w:vMerge w:val="continue"/>
          </w:tcPr>
          <w:p>
            <w:pPr>
              <w:spacing w:after="0"/>
              <w:rPr>
                <w:sz w:val="9"/>
                <w:szCs w:val="9"/>
                <w:color w:val="auto"/>
              </w:rPr>
            </w:pPr>
          </w:p>
        </w:tc>
        <w:tc>
          <w:tcPr>
            <w:tcW w:w="8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60" w:type="dxa"/>
            <w:vAlign w:val="bottom"/>
            <w:tcBorders>
              <w:right w:val="single" w:sz="8" w:color="auto"/>
            </w:tcBorders>
            <w:vMerge w:val="continue"/>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4"/>
        </w:trPr>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PERSON</w:t>
            </w:r>
          </w:p>
        </w:tc>
        <w:tc>
          <w:tcPr>
            <w:tcW w:w="440" w:type="dxa"/>
            <w:vAlign w:val="bottom"/>
            <w:tcBorders>
              <w:right w:val="single" w:sz="8" w:color="auto"/>
            </w:tcBorders>
          </w:tcPr>
          <w:p>
            <w:pPr>
              <w:spacing w:after="0"/>
              <w:rPr>
                <w:sz w:val="12"/>
                <w:szCs w:val="12"/>
                <w:color w:val="auto"/>
              </w:rPr>
            </w:pPr>
          </w:p>
        </w:tc>
        <w:tc>
          <w:tcPr>
            <w:tcW w:w="8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60" w:type="dxa"/>
            <w:vAlign w:val="bottom"/>
            <w:tcBorders>
              <w:right w:val="single" w:sz="8" w:color="auto"/>
            </w:tcBorders>
            <w:vMerge w:val="continue"/>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right w:val="single" w:sz="8" w:color="auto"/>
            </w:tcBorders>
          </w:tcPr>
          <w:p>
            <w:pPr>
              <w:spacing w:after="0"/>
              <w:rPr>
                <w:sz w:val="19"/>
                <w:szCs w:val="19"/>
                <w:color w:val="auto"/>
              </w:rPr>
            </w:pPr>
          </w:p>
        </w:tc>
        <w:tc>
          <w:tcPr>
            <w:tcW w:w="87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
        </w:trPr>
        <w:tc>
          <w:tcPr>
            <w:tcW w:w="2060" w:type="dxa"/>
            <w:vAlign w:val="bottom"/>
            <w:tcBorders>
              <w:right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8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8740" w:type="dxa"/>
            <w:vAlign w:val="bottom"/>
          </w:tcPr>
          <w:p>
            <w:pPr>
              <w:ind w:left="80"/>
              <w:spacing w:after="0"/>
              <w:rPr>
                <w:sz w:val="20"/>
                <w:szCs w:val="20"/>
                <w:color w:val="auto"/>
              </w:rPr>
            </w:pPr>
            <w:r>
              <w:rPr>
                <w:rFonts w:ascii="Arial" w:cs="Arial" w:eastAsia="Arial" w:hAnsi="Arial"/>
                <w:sz w:val="18"/>
                <w:szCs w:val="18"/>
                <w:color w:val="auto"/>
              </w:rPr>
              <w:t>679,822 Shares of Common Stock (1)</w:t>
            </w:r>
          </w:p>
        </w:tc>
        <w:tc>
          <w:tcPr>
            <w:tcW w:w="0" w:type="dxa"/>
            <w:vAlign w:val="bottom"/>
          </w:tcPr>
          <w:p>
            <w:pPr>
              <w:spacing w:after="0"/>
              <w:rPr>
                <w:sz w:val="1"/>
                <w:szCs w:val="1"/>
                <w:color w:val="auto"/>
              </w:rPr>
            </w:pPr>
          </w:p>
        </w:tc>
      </w:tr>
      <w:tr>
        <w:trPr>
          <w:trHeight w:val="63"/>
        </w:trPr>
        <w:tc>
          <w:tcPr>
            <w:tcW w:w="206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60" w:right="3900" w:hanging="409"/>
        <w:spacing w:after="0" w:line="271"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679,822 Shares of Common Stock (1)</w:t>
      </w:r>
    </w:p>
    <w:p>
      <w:pPr>
        <w:spacing w:after="0" w:line="113" w:lineRule="exact"/>
        <w:rPr>
          <w:rFonts w:ascii="Arial" w:cs="Arial" w:eastAsia="Arial" w:hAnsi="Arial"/>
          <w:sz w:val="18"/>
          <w:szCs w:val="18"/>
          <w:color w:val="auto"/>
        </w:rPr>
      </w:pPr>
    </w:p>
    <w:p>
      <w:pPr>
        <w:ind w:left="560" w:hanging="416"/>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6" w:lineRule="exact"/>
        <w:rPr>
          <w:sz w:val="20"/>
          <w:szCs w:val="20"/>
          <w:color w:val="auto"/>
        </w:rPr>
      </w:pPr>
    </w:p>
    <w:p>
      <w:pPr>
        <w:ind w:left="560"/>
        <w:spacing w:after="0" w:line="221" w:lineRule="exact"/>
        <w:rPr>
          <w:sz w:val="20"/>
          <w:szCs w:val="20"/>
          <w:color w:val="auto"/>
        </w:rPr>
      </w:pPr>
      <w:r>
        <w:rPr>
          <w:rFonts w:ascii="MS PGothic" w:cs="MS PGothic" w:eastAsia="MS PGothic" w:hAnsi="MS PGothic"/>
          <w:sz w:val="22"/>
          <w:szCs w:val="22"/>
          <w:color w:val="auto"/>
        </w:rPr>
        <w:t>☐</w:t>
      </w:r>
    </w:p>
    <w:p>
      <w:pPr>
        <w:spacing w:after="0" w:line="191" w:lineRule="exact"/>
        <w:rPr>
          <w:sz w:val="20"/>
          <w:szCs w:val="20"/>
          <w:color w:val="auto"/>
        </w:rPr>
      </w:pPr>
    </w:p>
    <w:p>
      <w:pPr>
        <w:ind w:left="560" w:hanging="416"/>
        <w:spacing w:after="0"/>
        <w:tabs>
          <w:tab w:leader="none" w:pos="5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.62% (2)</w:t>
      </w:r>
    </w:p>
    <w:p>
      <w:pPr>
        <w:spacing w:after="0" w:line="153" w:lineRule="exact"/>
        <w:rPr>
          <w:rFonts w:ascii="Arial" w:cs="Arial" w:eastAsia="Arial" w:hAnsi="Arial"/>
          <w:sz w:val="18"/>
          <w:szCs w:val="18"/>
          <w:color w:val="auto"/>
        </w:rPr>
      </w:pPr>
    </w:p>
    <w:p>
      <w:pPr>
        <w:ind w:left="560" w:hanging="416"/>
        <w:spacing w:after="0"/>
        <w:tabs>
          <w:tab w:leader="none" w:pos="5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72" w:lineRule="exact"/>
        <w:rPr>
          <w:rFonts w:ascii="Arial" w:cs="Arial" w:eastAsia="Arial" w:hAnsi="Arial"/>
          <w:sz w:val="18"/>
          <w:szCs w:val="18"/>
          <w:color w:val="auto"/>
        </w:rPr>
      </w:pPr>
    </w:p>
    <w:p>
      <w:pPr>
        <w:ind w:left="460" w:right="8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shares are held of record by PH III and PH VII. PH III GP is the general partner of PH III and PH VII GP is the general partner of PH VII. PH III GP and PH VII GP may be deemed to have shared voting, investment and dispositive power with respect to these securities. Clive Meanwell and Christopher Cox are the managing members of both PH III GP and PH VII GP and may be deemed to have shared voting, investment and dispositive power with respect to these securities.</w:t>
      </w:r>
    </w:p>
    <w:p>
      <w:pPr>
        <w:ind w:left="460" w:right="8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109,740,173 shares of Common Stock outstanding as of June 2, 2022, as reported by the Issuer in the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6380" w:type="dxa"/>
            <w:vAlign w:val="bottom"/>
          </w:tcPr>
          <w:p>
            <w:pPr>
              <w:spacing w:after="0"/>
              <w:rPr>
                <w:sz w:val="20"/>
                <w:szCs w:val="20"/>
                <w:color w:val="auto"/>
              </w:rPr>
            </w:pPr>
            <w:r>
              <w:rPr>
                <w:rFonts w:ascii="Arial" w:cs="Arial" w:eastAsia="Arial" w:hAnsi="Arial"/>
                <w:sz w:val="18"/>
                <w:szCs w:val="18"/>
                <w:color w:val="auto"/>
              </w:rPr>
              <w:t>CUSIP No. 00534A102</w:t>
            </w:r>
          </w:p>
        </w:tc>
        <w:tc>
          <w:tcPr>
            <w:tcW w:w="4860" w:type="dxa"/>
            <w:vAlign w:val="bottom"/>
          </w:tcPr>
          <w:p>
            <w:pPr>
              <w:ind w:left="4540"/>
              <w:spacing w:after="0"/>
              <w:rPr>
                <w:sz w:val="20"/>
                <w:szCs w:val="20"/>
                <w:color w:val="auto"/>
              </w:rPr>
            </w:pPr>
            <w:r>
              <w:rPr>
                <w:rFonts w:ascii="Arial" w:cs="Arial" w:eastAsia="Arial" w:hAnsi="Arial"/>
                <w:sz w:val="18"/>
                <w:szCs w:val="18"/>
                <w:color w:val="auto"/>
                <w:w w:val="90"/>
              </w:rPr>
              <w:t>13D</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102"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Amendment No. 2 (“</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amends and supplements the Schedule 13D originally filed by the Reporting Persons with the Commission on April 7, 2022, as amended and supplemented by Amendment No. 1 thereto, filed with the Commission on April 26, 2022 (as so amended through April 26, 2022, the “</w:t>
      </w:r>
      <w:r>
        <w:rPr>
          <w:rFonts w:ascii="Times New Roman" w:cs="Times New Roman" w:eastAsia="Times New Roman" w:hAnsi="Times New Roman"/>
          <w:sz w:val="22"/>
          <w:szCs w:val="22"/>
          <w:u w:val="single" w:color="auto"/>
          <w:color w:val="auto"/>
        </w:rPr>
        <w:t>Original 13D</w:t>
      </w:r>
      <w:r>
        <w:rPr>
          <w:rFonts w:ascii="Times New Roman" w:cs="Times New Roman" w:eastAsia="Times New Roman" w:hAnsi="Times New Roman"/>
          <w:sz w:val="22"/>
          <w:szCs w:val="22"/>
          <w:color w:val="auto"/>
        </w:rPr>
        <w:t>”, and together with this Amendment No. 2,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Only those items that are hereby reported are amended; all other items reported in the Original 13D (as amended and/or supplemented by Amendment No. 1) remain unchanged. Information given in response to each item shall be deemed incorporated by reference in all other items, as applicable. Capitalized terms not defined in this Amendment No. 2 have the meanings ascribed to them in the Original 13D.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Purpose of Transaction.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of the Schedule 13D is hereby amended and supplemented as set forth below:</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“On June 22, 2022, the Nominees (Reporting Person Dr. Clive A. Meanwell, Mr. Marc Elia and Ms. Tamsin Berry), were elected to the Issuer’s Board at the 2022 Annual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Interest in Securities of the Issuer.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5(a) and Item 5(b) of the Schedule 13D are hereby amended and supplemented as set forth below:</w:t>
      </w:r>
    </w:p>
    <w:p>
      <w:pPr>
        <w:spacing w:after="0" w:line="23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“As a result of the completion of the 2022 Annual Meeting, the obligations of the Reporting Persons and the Stockholders under the previously disclosed voting agreements, memorialized via email on March 28, 2022 and April 25, 2022, have been satisfied, and the Reporting Persons have therefore ceased to be part of any “group” (within the meaning of Section 13(d)(3) of the Act) with the Stockholders that may have been deemed to exist.”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Contracts, Arrangements, Understandings or Relationships With Respect to Securities of the Issuer.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of the Schedule 13D is hereby amended and supplemented as set forth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set forth in Item 4, Item 5(a) and Item 5(b) of this Amendment No. 2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24, 2022</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III,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Population Health Equity Partners III GP, LLC</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9914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III GP, LLC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9914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 Equity Partners VII,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Population Health Equity Partners VII GP, LLC</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9914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Population Healthy Equity Partners VII GP, LLC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9914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Cox, Managing Member</w:t>
      </w: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Clive Meanwell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8890</wp:posOffset>
            </wp:positionV>
            <wp:extent cx="320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Clive Meanwell</w:t>
      </w: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8890</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Christopher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00"/>
      </w:cols>
      <w:pgMar w:left="320" w:top="59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bullet"/>
      <w:start w:val="1"/>
    </w:lvl>
  </w:abstractNum>
  <w:abstractNum w:abstractNumId="2">
    <w:nsid w:val="2CA88611"/>
    <w:multiLevelType w:val="hybridMultilevel"/>
    <w:lvl w:ilvl="0">
      <w:lvlJc w:val="left"/>
      <w:lvlText w:val="2"/>
      <w:numFmt w:val="bullet"/>
      <w:start w:val="1"/>
    </w:lvl>
  </w:abstractNum>
  <w:abstractNum w:abstractNumId="3">
    <w:nsid w:val="836C40E"/>
    <w:multiLevelType w:val="hybridMultilevel"/>
    <w:lvl w:ilvl="0">
      <w:lvlJc w:val="left"/>
      <w:lvlText w:val="3"/>
      <w:numFmt w:val="bullet"/>
      <w:start w:val="1"/>
    </w:lvl>
  </w:abstractNum>
  <w:abstractNum w:abstractNumId="4">
    <w:nsid w:val="2901D82"/>
    <w:multiLevelType w:val="hybridMultilevel"/>
    <w:lvl w:ilvl="0">
      <w:lvlJc w:val="left"/>
      <w:lvlText w:val="4"/>
      <w:numFmt w:val="bullet"/>
      <w:start w:val="1"/>
    </w:lvl>
  </w:abstractNum>
  <w:abstractNum w:abstractNumId="5">
    <w:nsid w:val="3A95F874"/>
    <w:multiLevelType w:val="hybridMultilevel"/>
    <w:lvl w:ilvl="0">
      <w:lvlJc w:val="left"/>
      <w:lvlText w:val="5"/>
      <w:numFmt w:val="bullet"/>
      <w:start w:val="1"/>
    </w:lvl>
  </w:abstractNum>
  <w:abstractNum w:abstractNumId="6">
    <w:nsid w:val="8138641"/>
    <w:multiLevelType w:val="hybridMultilevel"/>
    <w:lvl w:ilvl="0">
      <w:lvlJc w:val="left"/>
      <w:lvlText w:val="6"/>
      <w:numFmt w:val="bullet"/>
      <w:start w:val="1"/>
    </w:lvl>
  </w:abstractNum>
  <w:abstractNum w:abstractNumId="7">
    <w:nsid w:val="1E7FF521"/>
    <w:multiLevelType w:val="hybridMultilevel"/>
    <w:lvl w:ilvl="0">
      <w:lvlJc w:val="left"/>
      <w:lvlText w:val="%1"/>
      <w:numFmt w:val="decimal"/>
      <w:start w:val="1"/>
    </w:lvl>
    <w:lvl w:ilvl="1">
      <w:lvlJc w:val="left"/>
      <w:lvlText w:val="%2"/>
      <w:numFmt w:val="decimal"/>
      <w:start w:val="11"/>
    </w:lvl>
  </w:abstractNum>
  <w:abstractNum w:abstractNumId="8">
    <w:nsid w:val="7C3DBD3D"/>
    <w:multiLevelType w:val="hybridMultilevel"/>
    <w:lvl w:ilvl="0">
      <w:lvlJc w:val="left"/>
      <w:lvlText w:val="(%1)"/>
      <w:numFmt w:val="decimal"/>
      <w:start w:val="1"/>
    </w:lvl>
    <w:lvl w:ilvl="1">
      <w:lvlJc w:val="left"/>
      <w:lvlText w:val="%2"/>
      <w:numFmt w:val="decimal"/>
      <w:start w:val="1"/>
    </w:lvl>
  </w:abstractNum>
  <w:abstractNum w:abstractNumId="9">
    <w:nsid w:val="737B8DDC"/>
    <w:multiLevelType w:val="hybridMultilevel"/>
    <w:lvl w:ilvl="0">
      <w:lvlJc w:val="left"/>
      <w:lvlText w:val="1"/>
      <w:numFmt w:val="bullet"/>
      <w:start w:val="1"/>
    </w:lvl>
  </w:abstractNum>
  <w:abstractNum w:abstractNumId="10">
    <w:nsid w:val="6CEAF087"/>
    <w:multiLevelType w:val="hybridMultilevel"/>
    <w:lvl w:ilvl="0">
      <w:lvlJc w:val="left"/>
      <w:lvlText w:val="2"/>
      <w:numFmt w:val="bullet"/>
      <w:start w:val="1"/>
    </w:lvl>
  </w:abstractNum>
  <w:abstractNum w:abstractNumId="11">
    <w:nsid w:val="22221A70"/>
    <w:multiLevelType w:val="hybridMultilevel"/>
    <w:lvl w:ilvl="0">
      <w:lvlJc w:val="left"/>
      <w:lvlText w:val="3"/>
      <w:numFmt w:val="bullet"/>
      <w:start w:val="1"/>
    </w:lvl>
  </w:abstractNum>
  <w:abstractNum w:abstractNumId="12">
    <w:nsid w:val="4516DDE9"/>
    <w:multiLevelType w:val="hybridMultilevel"/>
    <w:lvl w:ilvl="0">
      <w:lvlJc w:val="left"/>
      <w:lvlText w:val="4"/>
      <w:numFmt w:val="bullet"/>
      <w:start w:val="1"/>
    </w:lvl>
  </w:abstractNum>
  <w:abstractNum w:abstractNumId="13">
    <w:nsid w:val="3006C83E"/>
    <w:multiLevelType w:val="hybridMultilevel"/>
    <w:lvl w:ilvl="0">
      <w:lvlJc w:val="left"/>
      <w:lvlText w:val="5"/>
      <w:numFmt w:val="bullet"/>
      <w:start w:val="1"/>
    </w:lvl>
  </w:abstractNum>
  <w:abstractNum w:abstractNumId="14">
    <w:nsid w:val="614FD4A1"/>
    <w:multiLevelType w:val="hybridMultilevel"/>
    <w:lvl w:ilvl="0">
      <w:lvlJc w:val="left"/>
      <w:lvlText w:val="6"/>
      <w:numFmt w:val="bullet"/>
      <w:start w:val="1"/>
    </w:lvl>
  </w:abstractNum>
  <w:abstractNum w:abstractNumId="15">
    <w:nsid w:val="419AC241"/>
    <w:multiLevelType w:val="hybridMultilevel"/>
    <w:lvl w:ilvl="0">
      <w:lvlJc w:val="left"/>
      <w:lvlText w:val="%1"/>
      <w:numFmt w:val="decimal"/>
      <w:start w:val="1"/>
    </w:lvl>
    <w:lvl w:ilvl="1">
      <w:lvlJc w:val="left"/>
      <w:lvlText w:val="%2"/>
      <w:numFmt w:val="decimal"/>
      <w:start w:val="11"/>
    </w:lvl>
  </w:abstractNum>
  <w:abstractNum w:abstractNumId="16">
    <w:nsid w:val="5577F8E1"/>
    <w:multiLevelType w:val="hybridMultilevel"/>
    <w:lvl w:ilvl="0">
      <w:lvlJc w:val="left"/>
      <w:lvlText w:val="(%1)"/>
      <w:numFmt w:val="decimal"/>
      <w:start w:val="1"/>
    </w:lvl>
    <w:lvl w:ilvl="1">
      <w:lvlJc w:val="left"/>
      <w:lvlText w:val="%2"/>
      <w:numFmt w:val="decimal"/>
      <w:start w:val="1"/>
    </w:lvl>
  </w:abstractNum>
  <w:abstractNum w:abstractNumId="17">
    <w:nsid w:val="440BADFC"/>
    <w:multiLevelType w:val="hybridMultilevel"/>
    <w:lvl w:ilvl="0">
      <w:lvlJc w:val="left"/>
      <w:lvlText w:val="1"/>
      <w:numFmt w:val="bullet"/>
      <w:start w:val="1"/>
    </w:lvl>
  </w:abstractNum>
  <w:abstractNum w:abstractNumId="18">
    <w:nsid w:val="5072367"/>
    <w:multiLevelType w:val="hybridMultilevel"/>
    <w:lvl w:ilvl="0">
      <w:lvlJc w:val="left"/>
      <w:lvlText w:val="2"/>
      <w:numFmt w:val="bullet"/>
      <w:start w:val="1"/>
    </w:lvl>
  </w:abstractNum>
  <w:abstractNum w:abstractNumId="19">
    <w:nsid w:val="3804823E"/>
    <w:multiLevelType w:val="hybridMultilevel"/>
    <w:lvl w:ilvl="0">
      <w:lvlJc w:val="left"/>
      <w:lvlText w:val="3"/>
      <w:numFmt w:val="bullet"/>
      <w:start w:val="1"/>
    </w:lvl>
  </w:abstractNum>
  <w:abstractNum w:abstractNumId="20">
    <w:nsid w:val="77465F01"/>
    <w:multiLevelType w:val="hybridMultilevel"/>
    <w:lvl w:ilvl="0">
      <w:lvlJc w:val="left"/>
      <w:lvlText w:val="4"/>
      <w:numFmt w:val="bullet"/>
      <w:start w:val="1"/>
    </w:lvl>
  </w:abstractNum>
  <w:abstractNum w:abstractNumId="21">
    <w:nsid w:val="7724C67E"/>
    <w:multiLevelType w:val="hybridMultilevel"/>
    <w:lvl w:ilvl="0">
      <w:lvlJc w:val="left"/>
      <w:lvlText w:val="5"/>
      <w:numFmt w:val="bullet"/>
      <w:start w:val="1"/>
    </w:lvl>
  </w:abstractNum>
  <w:abstractNum w:abstractNumId="22">
    <w:nsid w:val="5C482A97"/>
    <w:multiLevelType w:val="hybridMultilevel"/>
    <w:lvl w:ilvl="0">
      <w:lvlJc w:val="left"/>
      <w:lvlText w:val="6"/>
      <w:numFmt w:val="bullet"/>
      <w:start w:val="1"/>
    </w:lvl>
  </w:abstractNum>
  <w:abstractNum w:abstractNumId="23">
    <w:nsid w:val="2463B9EA"/>
    <w:multiLevelType w:val="hybridMultilevel"/>
    <w:lvl w:ilvl="0">
      <w:lvlJc w:val="left"/>
      <w:lvlText w:val="%1"/>
      <w:numFmt w:val="decimal"/>
      <w:start w:val="11"/>
    </w:lvl>
  </w:abstractNum>
  <w:abstractNum w:abstractNumId="24">
    <w:nsid w:val="5E884ADC"/>
    <w:multiLevelType w:val="hybridMultilevel"/>
    <w:lvl w:ilvl="0">
      <w:lvlJc w:val="left"/>
      <w:lvlText w:val="%1"/>
      <w:numFmt w:val="decimal"/>
      <w:start w:val="1"/>
    </w:lvl>
    <w:lvl w:ilvl="1">
      <w:lvlJc w:val="left"/>
      <w:lvlText w:val="%2"/>
      <w:numFmt w:val="decimal"/>
      <w:start w:val="13"/>
    </w:lvl>
  </w:abstractNum>
  <w:abstractNum w:abstractNumId="25">
    <w:nsid w:val="51EAD36B"/>
    <w:multiLevelType w:val="hybridMultilevel"/>
    <w:lvl w:ilvl="0">
      <w:lvlJc w:val="left"/>
      <w:lvlText w:val="(%1)"/>
      <w:numFmt w:val="decimal"/>
      <w:start w:val="1"/>
    </w:lvl>
    <w:lvl w:ilvl="1">
      <w:lvlJc w:val="left"/>
      <w:lvlText w:val="%2"/>
      <w:numFmt w:val="decimal"/>
      <w:start w:val="1"/>
    </w:lvl>
  </w:abstractNum>
  <w:abstractNum w:abstractNumId="26">
    <w:nsid w:val="2D517796"/>
    <w:multiLevelType w:val="hybridMultilevel"/>
    <w:lvl w:ilvl="0">
      <w:lvlJc w:val="left"/>
      <w:lvlText w:val="1"/>
      <w:numFmt w:val="bullet"/>
      <w:start w:val="1"/>
    </w:lvl>
  </w:abstractNum>
  <w:abstractNum w:abstractNumId="27">
    <w:nsid w:val="580BD78F"/>
    <w:multiLevelType w:val="hybridMultilevel"/>
    <w:lvl w:ilvl="0">
      <w:lvlJc w:val="left"/>
      <w:lvlText w:val="2"/>
      <w:numFmt w:val="bullet"/>
      <w:start w:val="1"/>
    </w:lvl>
  </w:abstractNum>
  <w:abstractNum w:abstractNumId="28">
    <w:nsid w:val="153EA438"/>
    <w:multiLevelType w:val="hybridMultilevel"/>
    <w:lvl w:ilvl="0">
      <w:lvlJc w:val="left"/>
      <w:lvlText w:val="3"/>
      <w:numFmt w:val="bullet"/>
      <w:start w:val="1"/>
    </w:lvl>
  </w:abstractNum>
  <w:abstractNum w:abstractNumId="29">
    <w:nsid w:val="3855585C"/>
    <w:multiLevelType w:val="hybridMultilevel"/>
    <w:lvl w:ilvl="0">
      <w:lvlJc w:val="left"/>
      <w:lvlText w:val="4"/>
      <w:numFmt w:val="bullet"/>
      <w:start w:val="1"/>
    </w:lvl>
  </w:abstractNum>
  <w:abstractNum w:abstractNumId="30">
    <w:nsid w:val="70A64E2A"/>
    <w:multiLevelType w:val="hybridMultilevel"/>
    <w:lvl w:ilvl="0">
      <w:lvlJc w:val="left"/>
      <w:lvlText w:val="5"/>
      <w:numFmt w:val="bullet"/>
      <w:start w:val="1"/>
    </w:lvl>
  </w:abstractNum>
  <w:abstractNum w:abstractNumId="31">
    <w:nsid w:val="6A2342EC"/>
    <w:multiLevelType w:val="hybridMultilevel"/>
    <w:lvl w:ilvl="0">
      <w:lvlJc w:val="left"/>
      <w:lvlText w:val="6"/>
      <w:numFmt w:val="bullet"/>
      <w:start w:val="1"/>
    </w:lvl>
  </w:abstractNum>
  <w:abstractNum w:abstractNumId="32">
    <w:nsid w:val="2A487CB0"/>
    <w:multiLevelType w:val="hybridMultilevel"/>
    <w:lvl w:ilvl="0">
      <w:lvlJc w:val="left"/>
      <w:lvlText w:val="%1"/>
      <w:numFmt w:val="decimal"/>
      <w:start w:val="11"/>
    </w:lvl>
  </w:abstractNum>
  <w:abstractNum w:abstractNumId="33">
    <w:nsid w:val="1D4ED43B"/>
    <w:multiLevelType w:val="hybridMultilevel"/>
    <w:lvl w:ilvl="0">
      <w:lvlJc w:val="left"/>
      <w:lvlText w:val="%1"/>
      <w:numFmt w:val="decimal"/>
      <w:start w:val="1"/>
    </w:lvl>
    <w:lvl w:ilvl="1">
      <w:lvlJc w:val="left"/>
      <w:lvlText w:val="%2"/>
      <w:numFmt w:val="decimal"/>
      <w:start w:val="13"/>
    </w:lvl>
  </w:abstractNum>
  <w:abstractNum w:abstractNumId="34">
    <w:nsid w:val="725A06FB"/>
    <w:multiLevelType w:val="hybridMultilevel"/>
    <w:lvl w:ilvl="0">
      <w:lvlJc w:val="left"/>
      <w:lvlText w:val="(%1)"/>
      <w:numFmt w:val="decimal"/>
      <w:start w:val="1"/>
    </w:lvl>
    <w:lvl w:ilvl="1">
      <w:lvlJc w:val="left"/>
      <w:lvlText w:val="%2"/>
      <w:numFmt w:val="decimal"/>
      <w:start w:val="1"/>
    </w:lvl>
  </w:abstractNum>
  <w:abstractNum w:abstractNumId="35">
    <w:nsid w:val="2CD89A32"/>
    <w:multiLevelType w:val="hybridMultilevel"/>
    <w:lvl w:ilvl="0">
      <w:lvlJc w:val="left"/>
      <w:lvlText w:val="1"/>
      <w:numFmt w:val="bullet"/>
      <w:start w:val="1"/>
    </w:lvl>
  </w:abstractNum>
  <w:abstractNum w:abstractNumId="36">
    <w:nsid w:val="57E4CCAF"/>
    <w:multiLevelType w:val="hybridMultilevel"/>
    <w:lvl w:ilvl="0">
      <w:lvlJc w:val="left"/>
      <w:lvlText w:val="2"/>
      <w:numFmt w:val="bullet"/>
      <w:start w:val="1"/>
    </w:lvl>
  </w:abstractNum>
  <w:abstractNum w:abstractNumId="37">
    <w:nsid w:val="7A6D8D3C"/>
    <w:multiLevelType w:val="hybridMultilevel"/>
    <w:lvl w:ilvl="0">
      <w:lvlJc w:val="left"/>
      <w:lvlText w:val="3"/>
      <w:numFmt w:val="bullet"/>
      <w:start w:val="1"/>
    </w:lvl>
  </w:abstractNum>
  <w:abstractNum w:abstractNumId="38">
    <w:nsid w:val="4B588F54"/>
    <w:multiLevelType w:val="hybridMultilevel"/>
    <w:lvl w:ilvl="0">
      <w:lvlJc w:val="left"/>
      <w:lvlText w:val="4"/>
      <w:numFmt w:val="bullet"/>
      <w:start w:val="1"/>
    </w:lvl>
  </w:abstractNum>
  <w:abstractNum w:abstractNumId="39">
    <w:nsid w:val="542289EC"/>
    <w:multiLevelType w:val="hybridMultilevel"/>
    <w:lvl w:ilvl="0">
      <w:lvlJc w:val="left"/>
      <w:lvlText w:val="5"/>
      <w:numFmt w:val="bullet"/>
      <w:start w:val="1"/>
    </w:lvl>
  </w:abstractNum>
  <w:abstractNum w:abstractNumId="40">
    <w:nsid w:val="6DE91B18"/>
    <w:multiLevelType w:val="hybridMultilevel"/>
    <w:lvl w:ilvl="0">
      <w:lvlJc w:val="left"/>
      <w:lvlText w:val="6"/>
      <w:numFmt w:val="bullet"/>
      <w:start w:val="1"/>
    </w:lvl>
  </w:abstractNum>
  <w:abstractNum w:abstractNumId="41">
    <w:nsid w:val="38437FDB"/>
    <w:multiLevelType w:val="hybridMultilevel"/>
    <w:lvl w:ilvl="0">
      <w:lvlJc w:val="left"/>
      <w:lvlText w:val="%1"/>
      <w:numFmt w:val="decimal"/>
      <w:start w:val="11"/>
    </w:lvl>
  </w:abstractNum>
  <w:abstractNum w:abstractNumId="42">
    <w:nsid w:val="7644A45C"/>
    <w:multiLevelType w:val="hybridMultilevel"/>
    <w:lvl w:ilvl="0">
      <w:lvlJc w:val="left"/>
      <w:lvlText w:val="%1"/>
      <w:numFmt w:val="decimal"/>
      <w:start w:val="1"/>
    </w:lvl>
    <w:lvl w:ilvl="1">
      <w:lvlJc w:val="left"/>
      <w:lvlText w:val="%2"/>
      <w:numFmt w:val="decimal"/>
      <w:start w:val="13"/>
    </w:lvl>
  </w:abstractNum>
  <w:abstractNum w:abstractNumId="43">
    <w:nsid w:val="32FFF902"/>
    <w:multiLevelType w:val="hybridMultilevel"/>
    <w:lvl w:ilvl="0">
      <w:lvlJc w:val="left"/>
      <w:lvlText w:val="(%1)"/>
      <w:numFmt w:val="decimal"/>
      <w:start w:val="1"/>
    </w:lvl>
    <w:lvl w:ilvl="1">
      <w:lvlJc w:val="left"/>
      <w:lvlText w:val="%2"/>
      <w:numFmt w:val="decimal"/>
      <w:start w:val="1"/>
    </w:lvl>
  </w:abstractNum>
  <w:abstractNum w:abstractNumId="44">
    <w:nsid w:val="684A481A"/>
    <w:multiLevelType w:val="hybridMultilevel"/>
    <w:lvl w:ilvl="0">
      <w:lvlJc w:val="left"/>
      <w:lvlText w:val="1"/>
      <w:numFmt w:val="bullet"/>
      <w:start w:val="1"/>
    </w:lvl>
  </w:abstractNum>
  <w:abstractNum w:abstractNumId="45">
    <w:nsid w:val="579478FE"/>
    <w:multiLevelType w:val="hybridMultilevel"/>
    <w:lvl w:ilvl="0">
      <w:lvlJc w:val="left"/>
      <w:lvlText w:val="2"/>
      <w:numFmt w:val="bullet"/>
      <w:start w:val="1"/>
    </w:lvl>
  </w:abstractNum>
  <w:abstractNum w:abstractNumId="46">
    <w:nsid w:val="749ABB43"/>
    <w:multiLevelType w:val="hybridMultilevel"/>
    <w:lvl w:ilvl="0">
      <w:lvlJc w:val="left"/>
      <w:lvlText w:val="3"/>
      <w:numFmt w:val="bullet"/>
      <w:start w:val="1"/>
    </w:lvl>
  </w:abstractNum>
  <w:abstractNum w:abstractNumId="47">
    <w:nsid w:val="3DC240FB"/>
    <w:multiLevelType w:val="hybridMultilevel"/>
    <w:lvl w:ilvl="0">
      <w:lvlJc w:val="left"/>
      <w:lvlText w:val="4"/>
      <w:numFmt w:val="bullet"/>
      <w:start w:val="1"/>
    </w:lvl>
  </w:abstractNum>
  <w:abstractNum w:abstractNumId="48">
    <w:nsid w:val="1BA026FA"/>
    <w:multiLevelType w:val="hybridMultilevel"/>
    <w:lvl w:ilvl="0">
      <w:lvlJc w:val="left"/>
      <w:lvlText w:val="5"/>
      <w:numFmt w:val="bullet"/>
      <w:start w:val="1"/>
    </w:lvl>
  </w:abstractNum>
  <w:abstractNum w:abstractNumId="49">
    <w:nsid w:val="79A1DEAA"/>
    <w:multiLevelType w:val="hybridMultilevel"/>
    <w:lvl w:ilvl="0">
      <w:lvlJc w:val="left"/>
      <w:lvlText w:val="6"/>
      <w:numFmt w:val="bullet"/>
      <w:start w:val="1"/>
    </w:lvl>
  </w:abstractNum>
  <w:abstractNum w:abstractNumId="50">
    <w:nsid w:val="75C6C33A"/>
    <w:multiLevelType w:val="hybridMultilevel"/>
    <w:lvl w:ilvl="0">
      <w:lvlJc w:val="left"/>
      <w:lvlText w:val="%1"/>
      <w:numFmt w:val="decimal"/>
      <w:start w:val="11"/>
    </w:lvl>
  </w:abstractNum>
  <w:abstractNum w:abstractNumId="51">
    <w:nsid w:val="12E685FB"/>
    <w:multiLevelType w:val="hybridMultilevel"/>
    <w:lvl w:ilvl="0">
      <w:lvlJc w:val="left"/>
      <w:lvlText w:val="%1"/>
      <w:numFmt w:val="decimal"/>
      <w:start w:val="1"/>
    </w:lvl>
    <w:lvl w:ilvl="1">
      <w:lvlJc w:val="left"/>
      <w:lvlText w:val="%2"/>
      <w:numFmt w:val="decimal"/>
      <w:start w:val="13"/>
    </w:lvl>
  </w:abstractNum>
  <w:abstractNum w:abstractNumId="52">
    <w:nsid w:val="70C6A529"/>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2022-06-24T16:11:15Z</dcterms:created>
  <dcterms:modified xsi:type="dcterms:W3CDTF">2022-06-24T16:11:15Z</dcterms:modified>
</cp:coreProperties>
</file>