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FORM S-8</w:t>
      </w:r>
    </w:p>
    <w:p>
      <w:pPr>
        <w:spacing w:after="0" w:line="3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6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36"/>
          <w:szCs w:val="36"/>
          <w:b w:val="1"/>
          <w:bCs w:val="1"/>
          <w:color w:val="auto"/>
        </w:rPr>
        <w:t>Invivyd, Inc.</w:t>
      </w:r>
    </w:p>
    <w:p>
      <w:pPr>
        <w:spacing w:after="0" w:line="5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940"/>
          </w:cols>
          <w:pgMar w:left="580" w:top="873" w:right="379" w:bottom="1440" w:gutter="0" w:footer="0" w:header="0"/>
        </w:sectPr>
      </w:pPr>
    </w:p>
    <w:p>
      <w:pPr>
        <w:spacing w:after="0" w:line="174"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45" w:lineRule="exact"/>
        <w:rPr>
          <w:sz w:val="24"/>
          <w:szCs w:val="24"/>
          <w:color w:val="auto"/>
        </w:rPr>
      </w:pPr>
    </w:p>
    <w:p>
      <w:pPr>
        <w:sectPr>
          <w:pgSz w:w="11900" w:h="16838" w:orient="portrait"/>
          <w:cols w:equalWidth="0" w:num="2">
            <w:col w:w="7760" w:space="720"/>
            <w:col w:w="2460"/>
          </w:cols>
          <w:pgMar w:left="580" w:top="873" w:right="3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620" w:space="720"/>
            <w:col w:w="2600"/>
          </w:cols>
          <w:pgMar w:left="580" w:top="873" w:right="37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38" w:orient="portrait"/>
          <w:cols w:equalWidth="0" w:num="1">
            <w:col w:w="10940"/>
          </w:cols>
          <w:pgMar w:left="580" w:top="873" w:right="379" w:bottom="1440" w:gutter="0" w:footer="0" w:header="0"/>
          <w:type w:val="continuous"/>
        </w:sectPr>
      </w:pPr>
    </w:p>
    <w:p>
      <w:pPr>
        <w:spacing w:after="0" w:line="12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Jeremy Gowler</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Chief Operating Officer and Chief Commercial Officer</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0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(781) 819-0080</w:t>
      </w:r>
    </w:p>
    <w:p>
      <w:pPr>
        <w:spacing w:after="0" w:line="2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2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Jill Andersen</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88" w:lineRule="exact"/>
        <w:rPr>
          <w:sz w:val="24"/>
          <w:szCs w:val="24"/>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80" w:top="873" w:right="37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register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3,304,820 additional shares of its common stock, par value $0.0001 per share, issuable under the Registrant’s 2021 Equity Incentive Plan (the “</w:t>
      </w:r>
      <w:r>
        <w:rPr>
          <w:rFonts w:ascii="Times New Roman" w:cs="Times New Roman" w:eastAsia="Times New Roman" w:hAnsi="Times New Roman"/>
          <w:sz w:val="18"/>
          <w:szCs w:val="18"/>
          <w:b w:val="1"/>
          <w:bCs w:val="1"/>
          <w:i w:val="1"/>
          <w:iCs w:val="1"/>
          <w:color w:val="auto"/>
        </w:rPr>
        <w:t>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pursuant to the provisions of the 2021 Plan providing for an automatic increase in the number of shares of common stock reserved and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under the 2021 Plan on January 1, 2024.</w:t>
      </w:r>
    </w:p>
    <w:p>
      <w:pPr>
        <w:spacing w:after="0" w:line="20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incorporates by reference the contents of (i) the Registration Statement on Form S-8 filed with the Commission by the Registrant on August 23, 2021 (File No. 333-259008) and (ii) the Registration Statement on Form S-8 filed with the Commission by the Registrant on May 13, 2022 (File No. 333-264920), in each case, except to the extent supplemented, amended or superseded by the information set forth herein.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66"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117" w:lineRule="exact"/>
        <w:rPr>
          <w:sz w:val="20"/>
          <w:szCs w:val="20"/>
          <w:color w:val="auto"/>
        </w:rPr>
      </w:pPr>
    </w:p>
    <w:p>
      <w:pPr>
        <w:ind w:right="60" w:firstLine="517"/>
        <w:spacing w:after="0" w:line="282" w:lineRule="auto"/>
        <w:tabs>
          <w:tab w:leader="none" w:pos="7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28, 2024 (File No. 001-40703) (the “</w:t>
      </w:r>
      <w:r>
        <w:rPr>
          <w:rFonts w:ascii="Times New Roman" w:cs="Times New Roman" w:eastAsia="Times New Roman" w:hAnsi="Times New Roman"/>
          <w:sz w:val="18"/>
          <w:szCs w:val="18"/>
          <w:b w:val="1"/>
          <w:bCs w:val="1"/>
          <w:i w:val="1"/>
          <w:iCs w:val="1"/>
          <w:color w:val="auto"/>
        </w:rPr>
        <w:t>Form 10-K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940" w:firstLine="517"/>
        <w:spacing w:after="0" w:line="282" w:lineRule="auto"/>
        <w:tabs>
          <w:tab w:leader="none" w:pos="7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w:t>
      </w:r>
      <w:hyperlink r:id="rId10">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Commission on April 18, 2024, that are incorporated by reference into Part III of the Form 10-K;</w:t>
      </w:r>
    </w:p>
    <w:p>
      <w:pPr>
        <w:spacing w:after="0" w:line="53"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1">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2024, filed with the Commission on May 9, 2024;</w:t>
      </w:r>
    </w:p>
    <w:p>
      <w:pPr>
        <w:spacing w:after="0" w:line="11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0"/>
          <w:numId w:val="1"/>
        </w:numPr>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auto"/>
          </w:rPr>
          <w:t xml:space="preserve">The Registrant’s Current Reports on Form 8-K (File No. 001-40703) filed with the Commission on </w:t>
        </w:r>
        <w:r>
          <w:rPr>
            <w:rFonts w:ascii="Times New Roman" w:cs="Times New Roman" w:eastAsia="Times New Roman" w:hAnsi="Times New Roman"/>
            <w:sz w:val="18"/>
            <w:szCs w:val="18"/>
            <w:u w:val="single" w:color="auto"/>
            <w:color w:val="0000FF"/>
          </w:rPr>
          <w:t>January 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3">
        <w:r>
          <w:rPr>
            <w:rFonts w:ascii="Times New Roman" w:cs="Times New Roman" w:eastAsia="Times New Roman" w:hAnsi="Times New Roman"/>
            <w:sz w:val="18"/>
            <w:szCs w:val="18"/>
            <w:u w:val="single" w:color="auto"/>
            <w:color w:val="0000FF"/>
          </w:rPr>
          <w:t>March 25, 2024</w:t>
        </w:r>
      </w:hyperlink>
      <w:hyperlink r:id="rId1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4">
        <w:r>
          <w:rPr>
            <w:rFonts w:ascii="Times New Roman" w:cs="Times New Roman" w:eastAsia="Times New Roman" w:hAnsi="Times New Roman"/>
            <w:sz w:val="18"/>
            <w:szCs w:val="18"/>
            <w:u w:val="single" w:color="auto"/>
            <w:color w:val="0000FF"/>
          </w:rPr>
          <w:t>April 4, 2024</w:t>
        </w:r>
      </w:hyperlink>
      <w:hyperlink r:id="rId1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5">
        <w:r>
          <w:rPr>
            <w:rFonts w:ascii="Times New Roman" w:cs="Times New Roman" w:eastAsia="Times New Roman" w:hAnsi="Times New Roman"/>
            <w:sz w:val="18"/>
            <w:szCs w:val="18"/>
            <w:u w:val="single" w:color="auto"/>
            <w:color w:val="0000FF"/>
          </w:rPr>
          <w:t>April 12, 2024</w:t>
        </w:r>
      </w:hyperlink>
      <w:hyperlink r:id="rId1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6">
        <w:r>
          <w:rPr>
            <w:rFonts w:ascii="Times New Roman" w:cs="Times New Roman" w:eastAsia="Times New Roman" w:hAnsi="Times New Roman"/>
            <w:sz w:val="18"/>
            <w:szCs w:val="18"/>
            <w:u w:val="single" w:color="auto"/>
            <w:color w:val="0000FF"/>
          </w:rPr>
          <w:t xml:space="preserve">May 7, 2024 </w:t>
        </w:r>
      </w:hyperlink>
      <w:hyperlink r:id="rId1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7">
        <w:r>
          <w:rPr>
            <w:rFonts w:ascii="Times New Roman" w:cs="Times New Roman" w:eastAsia="Times New Roman" w:hAnsi="Times New Roman"/>
            <w:sz w:val="18"/>
            <w:szCs w:val="18"/>
            <w:u w:val="single" w:color="auto"/>
            <w:color w:val="0000FF"/>
          </w:rPr>
          <w:t xml:space="preserve">May 9, 2024 </w:t>
        </w:r>
      </w:hyperlink>
      <w:hyperlink r:id="rId12">
        <w:r>
          <w:rPr>
            <w:rFonts w:ascii="Times New Roman" w:cs="Times New Roman" w:eastAsia="Times New Roman" w:hAnsi="Times New Roman"/>
            <w:sz w:val="18"/>
            <w:szCs w:val="18"/>
            <w:color w:val="000000"/>
          </w:rPr>
          <w:t>to the extent the information in and exhibits to such reports are filed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not furnished; and</w:t>
      </w:r>
    </w:p>
    <w:p>
      <w:pPr>
        <w:spacing w:after="0" w:line="67" w:lineRule="exact"/>
        <w:rPr>
          <w:rFonts w:ascii="Times New Roman" w:cs="Times New Roman" w:eastAsia="Times New Roman" w:hAnsi="Times New Roman"/>
          <w:sz w:val="18"/>
          <w:szCs w:val="18"/>
          <w:color w:val="0000FF"/>
        </w:rPr>
      </w:pPr>
    </w:p>
    <w:p>
      <w:pPr>
        <w:ind w:right="40" w:firstLine="517"/>
        <w:spacing w:after="0" w:line="261" w:lineRule="auto"/>
        <w:tabs>
          <w:tab w:leader="none" w:pos="7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8">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3, 2021 (File No. 001-40703)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as the description therein has been updated and superseded by the description of the Registrant’s common stock contained in </w:t>
      </w:r>
      <w:hyperlink r:id="rId19">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10-K,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12"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40" w:type="dxa"/>
            <w:vAlign w:val="bottom"/>
          </w:tcPr>
          <w:p>
            <w:pPr>
              <w:spacing w:after="0"/>
              <w:rPr>
                <w:sz w:val="20"/>
                <w:szCs w:val="20"/>
                <w:color w:val="auto"/>
              </w:rPr>
            </w:pPr>
          </w:p>
        </w:tc>
        <w:tc>
          <w:tcPr>
            <w:tcW w:w="10340" w:type="dxa"/>
            <w:vAlign w:val="bottom"/>
            <w:gridSpan w:val="18"/>
          </w:tcPr>
          <w:p>
            <w:pPr>
              <w:ind w:left="5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2"/>
        </w:trPr>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5960" w:type="dxa"/>
            <w:vAlign w:val="bottom"/>
            <w:gridSpan w:val="1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102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and Restated Certificate of Incorporation (incorporated by reference to Exhibit 3.1 of the Registrant’s Current Report on Form 8-K</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(File No. 001-40703), filed with the Securities and Exchange Commission on August 10, 2021).</w:t>
              </w:r>
            </w:hyperlink>
          </w:p>
        </w:tc>
        <w:tc>
          <w:tcPr>
            <w:tcW w:w="3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95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7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gridSpan w:val="18"/>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Registrant’s Current Report on Form 8-K (File No. 001-40703), filed with the Securities and Exchange Commission on September 13, 2022).</w:t>
              </w:r>
            </w:hyperlink>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956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620" w:type="dxa"/>
            <w:vAlign w:val="bottom"/>
            <w:tcBorders>
              <w:top w:val="single" w:sz="8" w:color="0000FF"/>
            </w:tcBorders>
            <w:gridSpan w:val="3"/>
          </w:tcPr>
          <w:p>
            <w:pPr>
              <w:spacing w:after="0"/>
              <w:rPr>
                <w:sz w:val="19"/>
                <w:szCs w:val="19"/>
                <w:color w:val="auto"/>
              </w:rPr>
            </w:pPr>
          </w:p>
        </w:tc>
        <w:tc>
          <w:tcPr>
            <w:tcW w:w="1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gridSpan w:val="18"/>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Registrant’s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3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gridSpan w:val="18"/>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10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Amended and Restated Bylaws (incorporated by reference to Exhibit 3.2 of the Registrant’s Current Report on Form 8-K (File No. 001-40703),</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filed with the Securities and Exchange Commission on September 13, 2022).</w:t>
              </w:r>
            </w:hyperlink>
          </w:p>
        </w:tc>
        <w:tc>
          <w:tcPr>
            <w:tcW w:w="4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02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Amendment No. 1 to the Amended and Restated Bylaws (incorporated by reference to Exhibit 3.2 of the Registrant’s Current Report on Form</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gridSpan w:val="18"/>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10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2021 Equity Incentive Plan and Forms of Stock Option Grant Notice, Stock Option Agreement, Exercise Notice, RSU Award Grant Notice and</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RSU Award Agreement (incorporated by reference to Exhibit 10.2 of the Registrant’s Annual Report on Form 10-K (file No. 001-40703),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gridSpan w:val="18"/>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with the Securities and Exchange Commission on March 28, 2024).</w:t>
              </w:r>
            </w:hyperlink>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2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Opinion of Hogan Lovells US LLP.</w:t>
            </w:r>
          </w:p>
        </w:tc>
        <w:tc>
          <w:tcPr>
            <w:tcW w:w="2300" w:type="dxa"/>
            <w:vAlign w:val="bottom"/>
            <w:tcBorders>
              <w:top w:val="single" w:sz="8" w:color="0000FF"/>
            </w:tcBorders>
            <w:gridSpan w:val="2"/>
          </w:tcPr>
          <w:p>
            <w:pPr>
              <w:spacing w:after="0"/>
              <w:rPr>
                <w:sz w:val="19"/>
                <w:szCs w:val="19"/>
                <w:color w:val="auto"/>
              </w:rPr>
            </w:pPr>
          </w:p>
        </w:tc>
        <w:tc>
          <w:tcPr>
            <w:tcW w:w="54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0"/>
                <w:szCs w:val="20"/>
                <w:color w:val="auto"/>
              </w:rPr>
            </w:pPr>
          </w:p>
        </w:tc>
        <w:tc>
          <w:tcPr>
            <w:tcW w:w="6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Hogan Lovells US LLP (included in Exhibit 5.1).</w:t>
            </w:r>
          </w:p>
        </w:tc>
        <w:tc>
          <w:tcPr>
            <w:tcW w:w="39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p>
        </w:tc>
        <w:tc>
          <w:tcPr>
            <w:tcW w:w="5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of Registration Statement).</w:t>
            </w:r>
          </w:p>
        </w:tc>
        <w:tc>
          <w:tcPr>
            <w:tcW w:w="49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91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2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000" w:hanging="24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460" w:hanging="206"/>
        <w:spacing w:after="0"/>
        <w:tabs>
          <w:tab w:leader="none" w:pos="2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firstLine="2254"/>
        <w:spacing w:after="0" w:line="255" w:lineRule="auto"/>
        <w:tabs>
          <w:tab w:leader="none" w:pos="25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188" w:lineRule="exact"/>
        <w:rPr>
          <w:rFonts w:ascii="Times New Roman" w:cs="Times New Roman" w:eastAsia="Times New Roman" w:hAnsi="Times New Roman"/>
          <w:sz w:val="18"/>
          <w:szCs w:val="18"/>
          <w:color w:val="auto"/>
        </w:rPr>
      </w:pPr>
    </w:p>
    <w:p>
      <w:pPr>
        <w:ind w:right="80" w:firstLine="2254"/>
        <w:spacing w:after="0" w:line="282" w:lineRule="auto"/>
        <w:tabs>
          <w:tab w:leader="none" w:pos="256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15(d) of the Exchange Act that are incorporated by reference in this registration statement.</w:t>
      </w:r>
    </w:p>
    <w:p>
      <w:pPr>
        <w:spacing w:after="0" w:line="175" w:lineRule="exact"/>
        <w:rPr>
          <w:sz w:val="20"/>
          <w:szCs w:val="20"/>
          <w:color w:val="auto"/>
        </w:rPr>
      </w:pPr>
    </w:p>
    <w:p>
      <w:pPr>
        <w:ind w:right="20" w:firstLine="1505"/>
        <w:spacing w:after="0" w:line="266" w:lineRule="auto"/>
        <w:tabs>
          <w:tab w:leader="none" w:pos="17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17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80" w:firstLine="757"/>
        <w:spacing w:after="0" w:line="258" w:lineRule="auto"/>
        <w:tabs>
          <w:tab w:leader="none" w:pos="10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right="20" w:firstLine="757"/>
        <w:spacing w:after="0" w:line="254" w:lineRule="auto"/>
        <w:tabs>
          <w:tab w:leader="none" w:pos="9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1286510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1" w:lineRule="exact"/>
        <w:rPr>
          <w:sz w:val="20"/>
          <w:szCs w:val="20"/>
          <w:color w:val="auto"/>
        </w:rPr>
      </w:pPr>
    </w:p>
    <w:p>
      <w:pPr>
        <w:jc w:val="both"/>
        <w:ind w:right="40" w:firstLine="509"/>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this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1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48" w:lineRule="exact"/>
        <w:rPr>
          <w:sz w:val="20"/>
          <w:szCs w:val="20"/>
          <w:color w:val="auto"/>
        </w:rPr>
      </w:pPr>
    </w:p>
    <w:p>
      <w:pPr>
        <w:ind w:left="58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25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Name: Jeremy Gowler</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Title: Interim Chief Executive Officer, Chief Operating Officer</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and Chief Commercial Officer</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Jeremy Gowler and William Duke, Jr.,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4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6"/>
                <w:szCs w:val="16"/>
                <w:color w:val="auto"/>
              </w:rPr>
            </w:pPr>
          </w:p>
        </w:tc>
      </w:tr>
      <w:tr>
        <w:trPr>
          <w:trHeight w:val="23"/>
        </w:trPr>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Jeremy Gowler</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Executive Officer,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Jeremy Gowler</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Chief Operating Officer and Chief Commercial Officer</w:t>
            </w: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 William Duke, Jr.</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William Duke, Jr.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(Principal Financial Officer and</w:t>
            </w: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 Marc Elia</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 Elia</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Tamsin Berry</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Tamsin Berry</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 Sara Cotter</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Sara Cotter</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Tomas Heyman</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Tomas Heyman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Christine Lindenboom</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28"/>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Christine Lindenboom</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88"/>
        </w:trPr>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Terrance McGuire</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4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1"/>
        </w:trPr>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Clive A. Meanwell, M.D.</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Clive A. Meanwell, M.D.</w:t>
            </w:r>
          </w:p>
        </w:tc>
        <w:tc>
          <w:tcPr>
            <w:tcW w:w="4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785"/>
        </w:trPr>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Michael S. Wyzga</w:t>
            </w:r>
          </w:p>
        </w:tc>
        <w:tc>
          <w:tcPr>
            <w:tcW w:w="4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6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Michael S. Wyzga</w:t>
            </w:r>
          </w:p>
        </w:tc>
        <w:tc>
          <w:tcPr>
            <w:tcW w:w="4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204"/>
        </w:trPr>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814070"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Hogan Lovells US LLP</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1735 Market Street, Floor 23</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Philadelphia, PA 19103</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T +1 267 675 4600</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F +1 267 675 4601</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www.hoganlovells.com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May 9, 2024</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Invivyd, Inc.</w:t>
      </w:r>
    </w:p>
    <w:p>
      <w:pPr>
        <w:spacing w:after="0" w:line="237" w:lineRule="auto"/>
        <w:rPr>
          <w:sz w:val="20"/>
          <w:szCs w:val="20"/>
          <w:color w:val="auto"/>
        </w:rPr>
      </w:pPr>
      <w:r>
        <w:rPr>
          <w:rFonts w:ascii="Arial" w:cs="Arial" w:eastAsia="Arial" w:hAnsi="Arial"/>
          <w:sz w:val="19"/>
          <w:szCs w:val="19"/>
          <w:color w:val="auto"/>
        </w:rPr>
        <w:t>1601 Trapelo Road, Suite 178</w:t>
      </w:r>
    </w:p>
    <w:p>
      <w:pPr>
        <w:spacing w:after="0"/>
        <w:rPr>
          <w:sz w:val="20"/>
          <w:szCs w:val="20"/>
          <w:color w:val="auto"/>
        </w:rPr>
      </w:pPr>
      <w:r>
        <w:rPr>
          <w:rFonts w:ascii="Arial" w:cs="Arial" w:eastAsia="Arial" w:hAnsi="Arial"/>
          <w:sz w:val="19"/>
          <w:szCs w:val="19"/>
          <w:color w:val="auto"/>
        </w:rPr>
        <w:t>Waltham, Massachusetts 02451</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4" w:lineRule="exact"/>
        <w:rPr>
          <w:sz w:val="20"/>
          <w:szCs w:val="20"/>
          <w:color w:val="auto"/>
        </w:rPr>
      </w:pPr>
    </w:p>
    <w:p>
      <w:pPr>
        <w:jc w:val="both"/>
        <w:spacing w:after="0" w:line="220" w:lineRule="exact"/>
        <w:rPr>
          <w:sz w:val="20"/>
          <w:szCs w:val="20"/>
          <w:color w:val="auto"/>
        </w:rPr>
      </w:pPr>
      <w:r>
        <w:rPr>
          <w:rFonts w:ascii="Arial" w:cs="Arial" w:eastAsia="Arial" w:hAnsi="Arial"/>
          <w:sz w:val="19"/>
          <w:szCs w:val="19"/>
          <w:color w:val="auto"/>
        </w:rPr>
        <w:t>We are acting as counsel to Invivyd,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its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Securities and Exchange Commission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relating to the proposed offering of up to 3,304,820 shares (the “</w:t>
      </w:r>
      <w:r>
        <w:rPr>
          <w:rFonts w:ascii="Arial" w:cs="Arial" w:eastAsia="Arial" w:hAnsi="Arial"/>
          <w:sz w:val="19"/>
          <w:szCs w:val="19"/>
          <w:b w:val="1"/>
          <w:bCs w:val="1"/>
          <w:color w:val="auto"/>
        </w:rPr>
        <w:t>Shares</w:t>
      </w:r>
      <w:r>
        <w:rPr>
          <w:rFonts w:ascii="Arial" w:cs="Arial" w:eastAsia="Arial" w:hAnsi="Arial"/>
          <w:sz w:val="19"/>
          <w:szCs w:val="19"/>
          <w:color w:val="auto"/>
        </w:rPr>
        <w:t>”) of common stock, par value $0.0001 per share, of the Company issuable pursuant to the Invivyd, Inc. 2021 Equity Incentive Plan (the “</w:t>
      </w:r>
      <w:r>
        <w:rPr>
          <w:rFonts w:ascii="Arial" w:cs="Arial" w:eastAsia="Arial" w:hAnsi="Arial"/>
          <w:sz w:val="19"/>
          <w:szCs w:val="19"/>
          <w:b w:val="1"/>
          <w:bCs w:val="1"/>
          <w:color w:val="auto"/>
        </w:rPr>
        <w:t>Incentive Plan</w:t>
      </w:r>
      <w:r>
        <w:rPr>
          <w:rFonts w:ascii="Arial" w:cs="Arial" w:eastAsia="Arial" w:hAnsi="Arial"/>
          <w:sz w:val="19"/>
          <w:szCs w:val="19"/>
          <w:color w:val="auto"/>
        </w:rPr>
        <w:t>”). This opinion letter is furnished to you at your request to enable you to fulfill the requirements of Item 601(b)(5) of Regulation S</w:t>
      </w:r>
      <w:r>
        <w:rPr>
          <w:rFonts w:ascii="MS PGothic" w:cs="MS PGothic" w:eastAsia="MS PGothic" w:hAnsi="MS PGothic"/>
          <w:sz w:val="19"/>
          <w:szCs w:val="19"/>
          <w:color w:val="auto"/>
        </w:rPr>
        <w:t>‑</w:t>
      </w:r>
      <w:r>
        <w:rPr>
          <w:rFonts w:ascii="Arial" w:cs="Arial" w:eastAsia="Arial" w:hAnsi="Arial"/>
          <w:sz w:val="19"/>
          <w:szCs w:val="19"/>
          <w:color w:val="auto"/>
        </w:rPr>
        <w:t>K, 17 C.F.R. § 229.601(b)</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 in connection with the Registration Statement.</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opinion letter is based as to matters of law solely on the Delaware General Corporation Law, as amended. We express no opinion herein as to any other statutes, rules or regulations.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Based upon, subject to and limited by the foregoing, we are of the opinion that following (i) effectiveness of the Registration Statement, (ii) issuance of the Shares pursuant to the terms of the Incentive Plan, and (iii) receipt by the Company of the consideration for the Shares specified in the resolutions of the Board of Directors (or a duly authorized committee thereof) and in the Incentive Plan, the Shares will be validly issued, fully paid, and nonassessable.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Hogan Lovells US LLP is a limited liability partnership registered in the state of Delaware. “Hogan Lovells” is an international legal practice that includes Hogan Lovells US LLP and Hogan Lovells International LLP, with offices in: Alicante Amsterdam Baltimore Berlin Beijing Birmingham Boston Brussels Colorado Springs Denver Dubai Dusseldorf Frankfurt Hamburg Hanoi Ho Chi Minh City Hong Kong Houston Johannesburg London Los Angeles Luxembourg Madrid Mexico City Miami Milan Minneapolis Monterrey Munich New York Northern Virginia Paris Philadelphia Riyadh Rome San Francisco São Paulo Shanghai Silicon Valley Singapore Sydney Tokyo Warsaw Washington, D.C. Associated Offices: Budapest Jakarta Shanghai FTZ. Business Service Centers: Johannesburg Louisville. For more information see www.hoganlovells.com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100" w:type="dxa"/>
        <w:tblCellMar>
          <w:top w:w="0" w:type="dxa"/>
          <w:left w:w="0" w:type="dxa"/>
          <w:bottom w:w="0" w:type="dxa"/>
          <w:right w:w="0" w:type="dxa"/>
        </w:tblCellMar>
      </w:tblPr>
      <w:tr>
        <w:trPr>
          <w:trHeight w:val="249"/>
        </w:trPr>
        <w:tc>
          <w:tcPr>
            <w:tcW w:w="3180" w:type="dxa"/>
            <w:vAlign w:val="bottom"/>
          </w:tcPr>
          <w:p>
            <w:pPr>
              <w:spacing w:after="0"/>
              <w:rPr>
                <w:sz w:val="20"/>
                <w:szCs w:val="20"/>
                <w:color w:val="auto"/>
              </w:rPr>
            </w:pPr>
            <w:r>
              <w:rPr>
                <w:rFonts w:ascii="Arial" w:cs="Arial" w:eastAsia="Arial" w:hAnsi="Arial"/>
                <w:sz w:val="19"/>
                <w:szCs w:val="19"/>
                <w:color w:val="auto"/>
              </w:rPr>
              <w:t>Invivyd, Inc.</w:t>
            </w:r>
          </w:p>
        </w:tc>
        <w:tc>
          <w:tcPr>
            <w:tcW w:w="4680" w:type="dxa"/>
            <w:vAlign w:val="bottom"/>
          </w:tcPr>
          <w:p>
            <w:pPr>
              <w:jc w:val="right"/>
              <w:ind w:right="2066"/>
              <w:spacing w:after="0"/>
              <w:rPr>
                <w:sz w:val="20"/>
                <w:szCs w:val="20"/>
                <w:color w:val="auto"/>
              </w:rPr>
            </w:pPr>
            <w:r>
              <w:rPr>
                <w:rFonts w:ascii="Arial" w:cs="Arial" w:eastAsia="Arial" w:hAnsi="Arial"/>
                <w:sz w:val="19"/>
                <w:szCs w:val="19"/>
                <w:color w:val="auto"/>
              </w:rPr>
              <w:t>- 2 -</w:t>
            </w:r>
          </w:p>
        </w:tc>
        <w:tc>
          <w:tcPr>
            <w:tcW w:w="3180" w:type="dxa"/>
            <w:vAlign w:val="bottom"/>
          </w:tcPr>
          <w:p>
            <w:pPr>
              <w:ind w:left="2140"/>
              <w:spacing w:after="0"/>
              <w:rPr>
                <w:sz w:val="20"/>
                <w:szCs w:val="20"/>
                <w:color w:val="auto"/>
              </w:rPr>
            </w:pPr>
            <w:r>
              <w:rPr>
                <w:rFonts w:ascii="Arial" w:cs="Arial" w:eastAsia="Arial" w:hAnsi="Arial"/>
                <w:sz w:val="19"/>
                <w:szCs w:val="19"/>
                <w:color w:val="auto"/>
                <w:w w:val="97"/>
              </w:rPr>
              <w:t>May 9, 2024</w:t>
            </w:r>
          </w:p>
        </w:tc>
      </w:tr>
    </w:tbl>
    <w:p>
      <w:pPr>
        <w:spacing w:after="0" w:line="196" w:lineRule="exact"/>
        <w:rPr>
          <w:sz w:val="20"/>
          <w:szCs w:val="20"/>
          <w:color w:val="auto"/>
        </w:rPr>
      </w:pPr>
    </w:p>
    <w:p>
      <w:pPr>
        <w:ind w:right="360"/>
        <w:spacing w:after="0" w:line="270" w:lineRule="auto"/>
        <w:rPr>
          <w:sz w:val="20"/>
          <w:szCs w:val="20"/>
          <w:color w:val="auto"/>
        </w:rPr>
      </w:pPr>
      <w:r>
        <w:rPr>
          <w:rFonts w:ascii="Arial" w:cs="Arial" w:eastAsia="Arial" w:hAnsi="Arial"/>
          <w:sz w:val="19"/>
          <w:szCs w:val="19"/>
          <w:color w:val="auto"/>
        </w:rPr>
        <w:t>We hereby consent to the filing of this opinion letter as Exhibit 5.1 to the Registration Statement. In giving this consent, we do not thereby admit that we are an “expert” within the meaning of the Act.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HOGAN LOVELLS US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7" w:right="4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Invivyd, Inc. of our report dated March 28, 2024 relating to the financial statements, which appears in Invivyd, Inc.’s Annual Report on Form 10-K for the year ended December 31, 2023.</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1450340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tbl>
      <w:tblPr>
        <w:tblLayout w:type="fixed"/>
        <w:tblInd w:w="15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(Form Type)</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231F20"/>
              </w:rPr>
              <w:t>Invivyd, Inc.</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20" w:type="dxa"/>
            <w:vAlign w:val="bottom"/>
            <w:gridSpan w:val="3"/>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6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Proposed Maximum</w:t>
            </w:r>
          </w:p>
        </w:tc>
        <w:tc>
          <w:tcPr>
            <w:tcW w:w="15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Proposed Maximum</w:t>
            </w:r>
          </w:p>
        </w:tc>
        <w:tc>
          <w:tcPr>
            <w:tcW w:w="10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60" w:type="dxa"/>
            <w:vAlign w:val="bottom"/>
            <w:tcBorders>
              <w:left w:val="single" w:sz="8" w:color="auto"/>
              <w:right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9"/>
              </w:rPr>
              <w:t>Security</w:t>
            </w:r>
          </w:p>
        </w:tc>
        <w:tc>
          <w:tcPr>
            <w:tcW w:w="1220" w:type="dxa"/>
            <w:vAlign w:val="bottom"/>
            <w:tcBorders>
              <w:right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rPr>
              <w:t>Security Class</w:t>
            </w:r>
          </w:p>
        </w:tc>
        <w:tc>
          <w:tcPr>
            <w:tcW w:w="12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Fee Calculation</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Amount</w:t>
            </w:r>
          </w:p>
        </w:tc>
        <w:tc>
          <w:tcPr>
            <w:tcW w:w="1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Offering Price Per</w:t>
            </w:r>
          </w:p>
        </w:tc>
        <w:tc>
          <w:tcPr>
            <w:tcW w:w="15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Aggregate Offering</w:t>
            </w:r>
          </w:p>
        </w:tc>
        <w:tc>
          <w:tcPr>
            <w:tcW w:w="10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98"/>
        </w:trPr>
        <w:tc>
          <w:tcPr>
            <w:tcW w:w="106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Type</w:t>
            </w:r>
          </w:p>
        </w:tc>
        <w:tc>
          <w:tcPr>
            <w:tcW w:w="122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12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Registered</w:t>
            </w:r>
            <w:r>
              <w:rPr>
                <w:rFonts w:ascii="Times New Roman" w:cs="Times New Roman" w:eastAsia="Times New Roman" w:hAnsi="Times New Roman"/>
                <w:sz w:val="24"/>
                <w:szCs w:val="24"/>
                <w:color w:val="auto"/>
                <w:w w:val="96"/>
                <w:vertAlign w:val="superscript"/>
              </w:rPr>
              <w:t>(1)</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Share</w:t>
            </w:r>
            <w:r>
              <w:rPr>
                <w:rFonts w:ascii="Times New Roman" w:cs="Times New Roman" w:eastAsia="Times New Roman" w:hAnsi="Times New Roman"/>
                <w:sz w:val="24"/>
                <w:szCs w:val="24"/>
                <w:color w:val="auto"/>
                <w:w w:val="93"/>
                <w:vertAlign w:val="superscript"/>
              </w:rPr>
              <w:t>(3)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9"/>
              </w:rPr>
              <w:t>Price</w:t>
            </w:r>
            <w:r>
              <w:rPr>
                <w:rFonts w:ascii="Times New Roman" w:cs="Times New Roman" w:eastAsia="Times New Roman" w:hAnsi="Times New Roman"/>
                <w:sz w:val="24"/>
                <w:szCs w:val="24"/>
                <w:color w:val="auto"/>
                <w:w w:val="89"/>
                <w:vertAlign w:val="superscript"/>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Rate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28"/>
        </w:trPr>
        <w:tc>
          <w:tcPr>
            <w:tcW w:w="1060" w:type="dxa"/>
            <w:vAlign w:val="bottom"/>
            <w:tcBorders>
              <w:left w:val="single" w:sz="8" w:color="auto"/>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3,304,820</w:t>
            </w:r>
            <w:r>
              <w:rPr>
                <w:rFonts w:ascii="Times New Roman" w:cs="Times New Roman" w:eastAsia="Times New Roman" w:hAnsi="Times New Roman"/>
                <w:sz w:val="24"/>
                <w:szCs w:val="24"/>
                <w:color w:val="auto"/>
                <w:w w:val="94"/>
                <w:vertAlign w:val="superscript"/>
              </w:rPr>
              <w:t>(2)</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58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$7,898,519.80</w:t>
            </w:r>
          </w:p>
        </w:tc>
        <w:tc>
          <w:tcPr>
            <w:tcW w:w="10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0.0001476</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$1,165.82</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$0.0001 par</w:t>
            </w:r>
          </w:p>
        </w:tc>
        <w:tc>
          <w:tcPr>
            <w:tcW w:w="126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w:t>
            </w:r>
          </w:p>
        </w:tc>
        <w:tc>
          <w:tcPr>
            <w:tcW w:w="12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tcBorders>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$7,898,519.80</w:t>
            </w: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$1,165.82</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tcBorders>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tcBorders>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10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$1,165.82</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380" w:hanging="378"/>
        <w:spacing w:after="0" w:line="25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Registrant’s common stock, par value $0.0001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become issuable under the Registrant’s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by reason of any stock dividend, stock split, recapitalization or other similar transaction that results in an increase in the number of outstanding shares of Common Stock.</w:t>
      </w:r>
    </w:p>
    <w:p>
      <w:pPr>
        <w:spacing w:after="0" w:line="3" w:lineRule="exact"/>
        <w:rPr>
          <w:rFonts w:ascii="Times New Roman" w:cs="Times New Roman" w:eastAsia="Times New Roman" w:hAnsi="Times New Roman"/>
          <w:sz w:val="18"/>
          <w:szCs w:val="18"/>
          <w:color w:val="auto"/>
        </w:rPr>
      </w:pPr>
    </w:p>
    <w:p>
      <w:pPr>
        <w:jc w:val="both"/>
        <w:ind w:left="380" w:hanging="378"/>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the 2021 Plan that were added to the 2021 Plan effective as of January 1, 2024 pursuant to the evergreen provision thereof, which provides that the number of shares of Common Stock reserved for issuance under the 2021 Plan will automatically increase on the first day of each calendar year in an amount equal to 5% of the shares of Common Stock outstanding on the last day of the calendar year before the date of each automatic increase or a lesser number of shares of Common Stock determined by the Registrant’s board of directors. Prior to January 1, 2024, the Registrant’s board of directors reduced the automatic increase to 3% of the shares of Common Stock outstanding as of December 31, 2023.</w:t>
      </w:r>
    </w:p>
    <w:p>
      <w:pPr>
        <w:spacing w:after="0" w:line="2" w:lineRule="exact"/>
        <w:rPr>
          <w:rFonts w:ascii="Times New Roman" w:cs="Times New Roman" w:eastAsia="Times New Roman" w:hAnsi="Times New Roman"/>
          <w:sz w:val="18"/>
          <w:szCs w:val="18"/>
          <w:color w:val="auto"/>
        </w:rPr>
      </w:pPr>
    </w:p>
    <w:p>
      <w:pPr>
        <w:jc w:val="both"/>
        <w:ind w:left="380" w:hanging="378"/>
        <w:spacing w:after="0" w:line="253"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purposes of calculating the registration fee. The proposed maximum offering price per share and maximum aggregate offering price are calculated on the basis of the average of the high and low sales prices of the Common Stock as reported on the Nasdaq Global Market on May 6, 2024, which date is a date within five business days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830580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1"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20"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jpe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9" Type="http://schemas.openxmlformats.org/officeDocument/2006/relationships/hyperlink" Target="https://www.sec.gov/ix?doc=/Archives/edgar/data/1832038/000095017024037610/ivvd-20231231.htm" TargetMode="External"/><Relationship Id="rId10" Type="http://schemas.openxmlformats.org/officeDocument/2006/relationships/hyperlink" Target="https://www.sec.gov/Archives/edgar/data/1832038/000095017024045549/ivvd-2024-proxy-def14a.htm" TargetMode="External"/><Relationship Id="rId11" Type="http://schemas.openxmlformats.org/officeDocument/2006/relationships/hyperlink" Target="https://www.sec.gov/ix?doc=/Archives/edgar/data/0001832038/000095017024057017/ivvd-20240331.htm" TargetMode="External"/><Relationship Id="rId12" Type="http://schemas.openxmlformats.org/officeDocument/2006/relationships/hyperlink" Target="https://www.sec.gov/ix?doc=/Archives/edgar/data/0001832038/000095017024013243/ivvd-20240205.htm" TargetMode="External"/><Relationship Id="rId13" Type="http://schemas.openxmlformats.org/officeDocument/2006/relationships/hyperlink" Target="https://www.sec.gov/ix?doc=/Archives/edgar/data/0001832038/000119312524075582/d801617d8k.htm" TargetMode="External"/><Relationship Id="rId14" Type="http://schemas.openxmlformats.org/officeDocument/2006/relationships/hyperlink" Target="https://www.sec.gov/ix?doc=/Archives/edgar/data/0001832038/000119312524087408/d818209d8k.htm" TargetMode="External"/><Relationship Id="rId15" Type="http://schemas.openxmlformats.org/officeDocument/2006/relationships/hyperlink" Target="https://www.sec.gov/ix?doc=/Archives/edgar/data/0001832038/000119312524093929/d748852d8k.htm" TargetMode="External"/><Relationship Id="rId16" Type="http://schemas.openxmlformats.org/officeDocument/2006/relationships/hyperlink" Target="https://www.sec.gov/ix?doc=/Archives/edgar/data/0001832038/000119312524132585/d823090d8k.htm" TargetMode="External"/><Relationship Id="rId17" Type="http://schemas.openxmlformats.org/officeDocument/2006/relationships/hyperlink" Target="https://www.sec.gov/ix?doc=/Archives/edgar/data/0001832038/000119312524135260/d838072d8k.htm" TargetMode="External"/><Relationship Id="rId18" Type="http://schemas.openxmlformats.org/officeDocument/2006/relationships/hyperlink" Target="https://www.sec.gov/Archives/edgar/data/1832038/000119312521233921/d109461d8a12b.htm" TargetMode="External"/><Relationship Id="rId19" Type="http://schemas.openxmlformats.org/officeDocument/2006/relationships/hyperlink" Target="https://www.sec.gov/Archives/edgar/data/1832038/000095017024037610/ivvd-ex4_2.htm" TargetMode="External"/><Relationship Id="rId21" Type="http://schemas.openxmlformats.org/officeDocument/2006/relationships/hyperlink" Target="https://www.sec.gov/Archives/edgar/data/1832038/000119312521242044/d211424dex31.htm" TargetMode="External"/><Relationship Id="rId22" Type="http://schemas.openxmlformats.org/officeDocument/2006/relationships/hyperlink" Target="https://www.sec.gov/Archives/edgar/data/1832038/000119312522243285/d388436dex31.htm" TargetMode="External"/><Relationship Id="rId23" Type="http://schemas.openxmlformats.org/officeDocument/2006/relationships/hyperlink" Target="https://www.sec.gov/Archives/edgar/data/1832038/000119312523154233/d473409dex31.htm" TargetMode="External"/><Relationship Id="rId24" Type="http://schemas.openxmlformats.org/officeDocument/2006/relationships/hyperlink" Target="https://www.sec.gov/Archives/edgar/data/1832038/000119312522253372/d392092dex33.htm" TargetMode="External"/><Relationship Id="rId25" Type="http://schemas.openxmlformats.org/officeDocument/2006/relationships/hyperlink" Target="https://www.sec.gov/Archives/edgar/data/1832038/000119312522243285/d388436dex32.htm" TargetMode="External"/><Relationship Id="rId26" Type="http://schemas.openxmlformats.org/officeDocument/2006/relationships/hyperlink" Target="https://www.sec.gov/Archives/edgar/data/1832038/000119312523154233/d473409dex32.htm" TargetMode="External"/><Relationship Id="rId27" Type="http://schemas.openxmlformats.org/officeDocument/2006/relationships/hyperlink" Target="https://www.sec.gov/Archives/edgar/data/1832038/000095017024037610/ivvd-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2024-05-09T16:09:05Z</dcterms:created>
  <dcterms:modified xsi:type="dcterms:W3CDTF">2024-05-09T16:09:05Z</dcterms:modified>
</cp:coreProperties>
</file>