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5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INVIVYD, INC.</w:t>
      </w:r>
    </w:p>
    <w:p>
      <w:pPr>
        <w:sectPr>
          <w:pgSz w:w="11900" w:h="16838" w:orient="portrait"/>
          <w:cols w:equalWidth="0" w:num="1">
            <w:col w:w="11240"/>
          </w:cols>
          <w:pgMar w:left="320" w:top="1060"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460" w:space="480"/>
            <w:col w:w="3300"/>
          </w:cols>
          <w:pgMar w:left="320" w:top="1060" w:right="339" w:bottom="1440" w:gutter="0" w:footer="0" w:header="0"/>
          <w:type w:val="continuous"/>
        </w:sectPr>
      </w:pPr>
    </w:p>
    <w:tbl>
      <w:tblPr>
        <w:tblLayout w:type="fixed"/>
        <w:tblInd w:w="1680" w:type="dxa"/>
        <w:tblCellMar>
          <w:top w:w="0" w:type="dxa"/>
          <w:left w:w="0" w:type="dxa"/>
          <w:bottom w:w="0" w:type="dxa"/>
          <w:right w:w="0" w:type="dxa"/>
        </w:tblCellMar>
      </w:tblPr>
      <w:tr>
        <w:trPr>
          <w:trHeight w:val="229"/>
        </w:trPr>
        <w:tc>
          <w:tcPr>
            <w:tcW w:w="436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680" w:type="dxa"/>
            <w:vAlign w:val="bottom"/>
          </w:tcPr>
          <w:p>
            <w:pPr>
              <w:spacing w:after="0"/>
              <w:rPr>
                <w:sz w:val="19"/>
                <w:szCs w:val="19"/>
                <w:color w:val="auto"/>
              </w:rPr>
            </w:pPr>
          </w:p>
        </w:tc>
      </w:tr>
      <w:tr>
        <w:trPr>
          <w:trHeight w:val="232"/>
        </w:trPr>
        <w:tc>
          <w:tcPr>
            <w:tcW w:w="4360" w:type="dxa"/>
            <w:vAlign w:val="bottom"/>
          </w:tcPr>
          <w:p>
            <w:pPr>
              <w:jc w:val="center"/>
              <w:ind w:right="1999"/>
              <w:spacing w:after="0"/>
              <w:rPr>
                <w:sz w:val="20"/>
                <w:szCs w:val="20"/>
                <w:color w:val="auto"/>
              </w:rPr>
            </w:pPr>
            <w:r>
              <w:rPr>
                <w:rFonts w:ascii="Times New Roman" w:cs="Times New Roman" w:eastAsia="Times New Roman" w:hAnsi="Times New Roman"/>
                <w:sz w:val="18"/>
                <w:szCs w:val="18"/>
                <w:b w:val="1"/>
                <w:bCs w:val="1"/>
                <w:color w:val="auto"/>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360" w:type="dxa"/>
            <w:vAlign w:val="bottom"/>
          </w:tcPr>
          <w:p>
            <w:pPr>
              <w:jc w:val="center"/>
              <w:ind w:right="199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96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IVVD</w:t>
            </w: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6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8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736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88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1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aggregate market value of voting and non-voting common equity held by non-affiliates of the registrant was approximately $86.8 million based on the closing price of the registrant’s common stock on June 28, 2024. The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March 11, 2025 was 119,961,445.</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2025 Annual Meeting of Stockholders, which the registrant intends to file pursuant to Regulation 14A with the Securities and Exchange Commission no later than 120 days after the registrant’s fiscal year ended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0" w:type="dxa"/>
            <w:vAlign w:val="bottom"/>
          </w:tcPr>
          <w:p>
            <w:pPr>
              <w:spacing w:after="0"/>
              <w:rPr>
                <w:sz w:val="24"/>
                <w:szCs w:val="24"/>
                <w:color w:val="auto"/>
              </w:rPr>
            </w:pPr>
          </w:p>
        </w:tc>
        <w:tc>
          <w:tcPr>
            <w:tcW w:w="1030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300" w:type="dxa"/>
            <w:vAlign w:val="bottom"/>
            <w:gridSpan w:val="24"/>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Summary of 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4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4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Annual Report on Form 10-K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4"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 (pemivibart), which received emergency use authorization (“EUA”) from the U.S. Food and Drug Administration (“FDA”) in March 2024, including our expectations about the potential market opportunity;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periodically introduce new monoclonal antibody (“mAb”) candidates as the SARS-CoV-2 virus evolves over time;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VYD2311, our next generation mAb candidate for COVID-19, and the potential of VYD2311 to offer the ability to deliver clinically meaningful titer levels through more system- and patient-friendly means;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devotion to delivering protection from serious viral infectious diseases, and our commitment to developing a robust pipeline of product candidates which could be used in prevention or treatment of serious viral diseases, starting with COVID-19 and potentially expanding into other high-need indications;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advance product candidates to address infectious diseases through internal research, collaborations, and in-licensing;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of establishing streamlined development pathways to efficiently introduce new mAb candidates targeting SARS-CoV-2;</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any submission of filings for regulatory authorization or approval of, and our ability to obtain and maintain regulatory authorizations or approvals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and our expectations regarding supply and demand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future product candidates, including high-quality, long-lasting antibodies with a high barrier to viral escape in a manner that keeps pace with viral evolution;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 of this Annual Report on Form 10-K for a discussion of important factors that may cause our actual results to differ materially from those expressed or implied by our forward-looking statements. Other sections of this Annual Report on Form 10-K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Securities and Exchange Commission (the “SEC”).</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our forward-looking statements by these cautionary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summarizes the principal factors that make an investment in us speculative or risky, all of which are more fully described in the “Risk Factors” section of this Annual Report on Form 10-K. This summary should be read in conjunction with the “Risk Factors” section and should not be relied upon as an exhaustive summary of the material risks facing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2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raises substantial doubt regarding our ability to continue as a going concern.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are highly dependent on the commercial success of PEMGARDA for the foreseeable future. We may not achieve or maintain profitability.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limited experience with commercializing products, which may make it difficult for an investor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If we are unable to secure additional funding when needed, we could be forced to curtail our planned operations and the pursuit of our growth strategy.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emerging and future SARS-CoV-2 variants could reduce the activity and effectiveness of mAbs as a potential prevention of or treatment for symptomatic COVID-19, which may significantly and adversely affect our ability to complete our clinical trials and to obtain and maintain authorization or approval of, and commercialize our product candidates.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have received regulatory authorization for only one product candidate, PEMGARDA. If we are unable to successfully develop, receive regulatory authorization or approval for and commercialize our product candidates for the indications we seek,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product candidates represent novel approaches to the prevention and/or treatment of a relatively new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produce durable, broadly neutralizing, effective or safe mAbs in an adequate time period to address a changing virus. If we are unable to timely identify, develop, obtain and maintain authorization or approval for, and commercialize mAbs in a manner that keeps pace with viral evolution, our business prospects will be significantly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health emergency in the U.S. declared under the Federal Food, Drug, and Cosmetic Act (the “FDCA”) permitting the FDA to authorize drugs and biologics for emergency use during the COVID-19 pandemic will continue to be in place for an extended period of time and that the product candidates we are developing for COVID-19 could be granted an EUA by the FDA or similar authorization by regulatory authorities outside of the U.S. if we decide to apply for such an authorization. If we are not able to obtain or maintain regulatory authorization or approval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awareness or negative public opinion of mAb therapies and increased regulatory scrutiny of mAb therapies to prevent or treat COVID-19 may adversely impact the development or commercial success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or difficulties in the enrollment and/or retention of patients in clinical trials, or we may pause, delay or terminate enrollment in our clinical trials, which could in turn delay or prevent our receipt of necessary regulatory authorizations or approvals.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through internal efforts or through partnerships for discovery of novel antibody product candidates.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21" w:lineRule="exact"/>
        <w:rPr>
          <w:sz w:val="20"/>
          <w:szCs w:val="20"/>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Monoclonal antibody therapies are complex, difficult and time-consuming to manufacture, and we currently rely on a single contract manufacturer. We could experience manufacturing problems, may be unable to access desired future manufacturing capacity within desired timeframes, or may be unable to access raw materials due to global supply chain shortages or otherwise, that result in delays in the development, supply, or commercialization of our product candidates or otherwise harm our business.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sole-source third-party suppliers and a single contract manufacturer for materials and services that are necessary for the conduct of preclinical studies, manufacture and testing of our product candidates for clinical trials and commercial supply, and the loss of these third-party suppliers or contract manufacturer or their inability to supply us with sufficient quantities of adequate materials and services, or to do so at acceptable quality levels, acceptable pricing terms, and on a timely basis, could harm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revokes or terminates our EUA for PEMGARDA, we will be required to stop commercial distribution of PEMGARDA immediately unless we can obtain FDA approval for PEMGARDA under a traditional regulatory pathway, which may be lengthy and expensive, which could harm our future business prospects.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to achieve the degree of market acceptance by physicians, patients, third-party payors and others in the medical community necessary for commercial success, due to the product profile, reimbursement dynamics or other reasons.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build and maintain sales, marketing and distribution capabilities for PEMGARDA or any other product candidate that may receive regulatory authorization or approval, we may not be successful in commercializing PEMGARDA or such other product candidates if and when they are authorized or approved.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populations for our product candidates, including PEMGARDA, may be smaller than we or third parties currently project, which may affect the addressable markets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mAb product candidates, including PEMGARDA, may face significant competition from vaccines, antiviral agents and other therapeutics for COVID-19 that are currently available or in development.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trademarks we have obtained or may obtain may be infringed or otherwise violated, or successfully challenged, resulting in harm to our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21"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may continue to be volatile, and purchasers of our common stock could incur substantial losses.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continue to be able to comply with the continued listing standards of Nasdaq.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and geopolitical events, including as a result of trade tensions between the U.S. and China, could adversely affect our business, financial condition or results of operations, including conduct of our clinical trials and our manufacturing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Invivyd, Inc. is a biopharmaceutical company devoted to delivering protection from serious viral infectious diseases, beginning with SARS-CoV-2.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PEMGARDA™ (pemivibart) is our first monoclonal antibody (“mAb”) to receive regulatory authorization and was designed to keep pace with SARS-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CoV-2 viral evolution.</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2024, we nominated VYD2311, a next generation mAb candidate for COVID-19, as a drug candidate, and in September 2024, we announced dosing of the first participants in a Phase 1 clinical trial of VYD2311. VYD2311 is a mAb with high in vitro neutralization potency shown against prominent SARS-CoV-2 variants tested to date.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 and patient-friendly than intravenous administration. In February 2025, we announced completion of recruitment in our Phase 1 clinical trial of VYD2311, as well as positive clinical data for both safety and pharmacokinetics. We expect additional data readouts from the Phase 1 clinical trial and VYD2311 program throughout 2025.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five years in the COVID-19 space, we aim to develop mAbs that could be used in prevention or treatment of serious viral diseases, starting with COVID-19 and potentially expanding into other high-need indications.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and March 2025, we announced continued neutralizing activity of PEMGARDA and VYD2311 against dominant SARS-CoV-2 variants XEC and LP.8.1, respectively.</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recent focus has been and will continue to be supporting the commercialization of PEMGARDA, advancing VYD2311 as our next generation mAb candidate for COVID-19, and establishing streamlined development pathways that could enable us to efficiently introduce new mAb candidates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targeting SARS-CoV-2, leveraging previously generated safety and efficacy data from our clinical trials of adintrevimab and/or pemivibart.</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development, testing and clinical and commercial manufacturing activities.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strategy is to discover, develop and commercialize differentiated product candidates that could be used in prevention or treatment of serious viral diseases, starting with COVID-19 and potentially expanding into other high-need indications. In order to achieve this goal, our strategy involves execution of the following key elements:</w:t>
      </w:r>
    </w:p>
    <w:p>
      <w:pPr>
        <w:spacing w:after="0" w:line="64" w:lineRule="exact"/>
        <w:rPr>
          <w:sz w:val="20"/>
          <w:szCs w:val="20"/>
          <w:color w:val="auto"/>
        </w:rPr>
      </w:pPr>
    </w:p>
    <w:p>
      <w:pPr>
        <w:jc w:val="both"/>
        <w:ind w:left="1140" w:hanging="504"/>
        <w:spacing w:after="0" w:line="25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execution of PEMGARDA commercial launch in the U.S. </w:t>
      </w:r>
      <w:r>
        <w:rPr>
          <w:rFonts w:ascii="Times New Roman" w:cs="Times New Roman" w:eastAsia="Times New Roman" w:hAnsi="Times New Roman"/>
          <w:sz w:val="18"/>
          <w:szCs w:val="18"/>
          <w:color w:val="auto"/>
        </w:rPr>
        <w:t>On March 22, 2024, we received an EUA from the FDA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To support the commercialization of PEMGARDA, we have directly hired key leaders for our sales, marketing, market access, and medical affairs teams who have extensive experience commercializing products within the infectious and rare diseases spaces. After initially leveraging contract organizations for certain field-based roles, during the fourth quarter of 2024, we began transitioning to an in-house sales force. We have concentrated initially on the healthcare practitioners and institutions who care for the highest risk immunocompromised adults and adolescents through a highly focused field sales organization, which can potentially expand over time to reach the additional healthcare practitioners and institutions who care for other groups of moderately to severely immunocompromised adults and adolescents. We are currently focused on commercializing PEMGARDA in the U.S. with the commercial organization we have built, however we continue to explore potential opportunities to expand our ability to serve vulnerable people outside the U.S. through discussions with regulatory authorities as well as through potential partnerships and collaborations.</w:t>
      </w:r>
    </w:p>
    <w:p>
      <w:pPr>
        <w:spacing w:after="0" w:line="77" w:lineRule="exact"/>
        <w:rPr>
          <w:rFonts w:ascii="Times New Roman" w:cs="Times New Roman" w:eastAsia="Times New Roman" w:hAnsi="Times New Roman"/>
          <w:sz w:val="18"/>
          <w:szCs w:val="18"/>
          <w:color w:val="auto"/>
        </w:rPr>
      </w:pPr>
    </w:p>
    <w:p>
      <w:pPr>
        <w:jc w:val="both"/>
        <w:ind w:left="1140" w:hanging="504"/>
        <w:spacing w:after="0" w:line="259"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Ensuring supply of drug product for PEMGARDA and future clinical product candidates. </w:t>
      </w:r>
      <w:r>
        <w:rPr>
          <w:rFonts w:ascii="Times New Roman" w:cs="Times New Roman" w:eastAsia="Times New Roman" w:hAnsi="Times New Roman"/>
          <w:sz w:val="18"/>
          <w:szCs w:val="18"/>
          <w:color w:val="auto"/>
        </w:rPr>
        <w:t>We have partnered with WuXi Biologics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chemistry, manufacturing and controls (“CMC”) development and for clinical and commercial drug substance and drug product supply of PEMGARDA and VYD2311. We believe we have secured sufficient supply to meet demand for PEMGARDA and anticipated initial demand for VYD2311, if authorized or approved. We continue to evaluate access to capacity at WuXi Biologics and other CDMOs so we can aim to meet potential future demand for PEMGARDA, VYD2311 and future clinical product candidates.</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Establishing streamlined development pathways that would allow us to efficiently introduce new mAb candidates targeting SARS-CoV-2. </w:t>
      </w:r>
      <w:r>
        <w:rPr>
          <w:rFonts w:ascii="Times New Roman" w:cs="Times New Roman" w:eastAsia="Times New Roman" w:hAnsi="Times New Roman"/>
          <w:sz w:val="18"/>
          <w:szCs w:val="18"/>
          <w:color w:val="auto"/>
        </w:rPr>
        <w:t>We continue to engage with the FDA with the aim of establishing expedited and replicable pathways for the authorization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new SARS-CoV-2 mAbs. There are precedents for streamlined development pathways in the influenza and COVID-19 vaccine spaces for leveraging existing safety and efficacy data to bridge quickly to new or modified vaccines, and there are expedited regulatory review and approval approaches that we may determine to pursue for our product candidates, such as the FDA’s accelerated approval pathway, fast track designation and breakthrough therapy designation. We expect that these discussions with the FDA will continue as we advance VYD2311.</w:t>
      </w:r>
    </w:p>
    <w:p>
      <w:pPr>
        <w:spacing w:after="0" w:line="74"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our differentiated product candidates to address infectious diseases through internal research, collaborations, and in-licensing. </w:t>
      </w:r>
      <w:r>
        <w:rPr>
          <w:rFonts w:ascii="Times New Roman" w:cs="Times New Roman" w:eastAsia="Times New Roman" w:hAnsi="Times New Roman"/>
          <w:sz w:val="18"/>
          <w:szCs w:val="18"/>
          <w:color w:val="auto"/>
        </w:rPr>
        <w:t>We have built a portfolio of broadly neutralizing SARS-CoV-2 antibodies as our lead disease area of focus. We have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Adimab’s industry-leading B-cell mining, protein and antibody engineering capabilities for coronavirus antibody discovery. We are currently leveraging this partnership and building internal capabilities to further expand our portfolio with additional uniquely differentiated anti-viral antibodies targeting SARS-CoV-2, as well as other infectious diseases. In addition, we can employ unique protein engineering strategies to enhance activity of our antibodies against circulating SARS-CoV-2 variants of concern (“VoCs”). With our cutting edge viral and epidemiological surveillance, we aim to stay ahead of potential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left="1140" w:right="20"/>
        <w:spacing w:after="0" w:line="282" w:lineRule="auto"/>
        <w:rPr>
          <w:sz w:val="20"/>
          <w:szCs w:val="20"/>
          <w:color w:val="auto"/>
        </w:rPr>
      </w:pPr>
      <w:r>
        <w:rPr>
          <w:rFonts w:ascii="Times New Roman" w:cs="Times New Roman" w:eastAsia="Times New Roman" w:hAnsi="Times New Roman"/>
          <w:sz w:val="18"/>
          <w:szCs w:val="18"/>
          <w:color w:val="auto"/>
        </w:rPr>
        <w:t>VoCs with our repertoire of broadly neutralizing mAbs. Finally, we continue to evaluate product candidates for infectious diseases with high unmet need through in-licensing opportunities in addition to utilizing our team’s expertise and differentiated design capabilities.</w:t>
      </w:r>
    </w:p>
    <w:p>
      <w:pPr>
        <w:spacing w:after="0" w:line="50" w:lineRule="exact"/>
        <w:rPr>
          <w:sz w:val="20"/>
          <w:szCs w:val="20"/>
          <w:color w:val="auto"/>
        </w:rPr>
      </w:pPr>
    </w:p>
    <w:p>
      <w:pPr>
        <w:jc w:val="both"/>
        <w:ind w:left="1140" w:hanging="504"/>
        <w:spacing w:after="0" w:line="25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team’s collective expertise in development, manufacturing and commercialization to deliver future product candidates to patients. </w:t>
      </w:r>
      <w:r>
        <w:rPr>
          <w:rFonts w:ascii="Times New Roman" w:cs="Times New Roman" w:eastAsia="Times New Roman" w:hAnsi="Times New Roman"/>
          <w:sz w:val="18"/>
          <w:szCs w:val="18"/>
          <w:color w:val="auto"/>
        </w:rPr>
        <w:t>Since our inception, we have assembled a leadership team composed of seasoned executives with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including developing and commercializing novel medicines for infectious disease. In addition to infectious disease, our leaders’ combined experience spans a broad set of therapeutic areas, such as oncology, organ transplant, rare disease, orphan disease and immunology which provides a diverse perspective and skill set that serve our patient communities. Based on our team’s collective track record, we executed on the clinical, regulatory, and manufacturing plan for PEMGARDA. We expect to leverage this experience to support our anticipated follow-on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COVID-19 and SARS-CoV-2 Variants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COVID-19, the disease caused by SARS-CoV-2 and its variants, gave rise to a global pandemic in 2020. SARS-CoV-2 continues to cause infections and disease. COVID-19 remains a significant global health problem. According to recent estimates from the World Health Organization (“WHO”), there have been approximately 778 million cases of laboratory-confirmed COVID-19 and 7.1 million COVID-19-related deaths worldwide, with approximately 103 million laboratory-confirmed cases of COVID-19 and more than 1.2 million COVID-19-related deaths in the U.S. Disease modeling conducted by several different organizations suggests that these estimates significantly underrepresent the true number of infections and deaths related to COVID-19.</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Evolution of SARS-CoV-2 resulting in the rise of new variants and VoCs continues to pose significant issues. A VoC is a variant designated by the WHO for which there is evidence of an increase in transmissibility, more severe disease, significant reduction in neutralization by antibodies generated during previous infection or vaccination, reduced effectiveness of treatments or vaccines, or diagnostic detection failures. From early 2022, several Omicron sublineages have represented the dominant VoCs circulating globally. Several of the amino acid substitutions within the receptor binding domain (“RBD”) of the spike glycoprotein of the Omicron sublineages are associated with escape from common classes of neutralizing antibodies, thereby endowing Omicron with significantly increased resistance to serum neutralizing antibodies induced following natural infection and vaccination with ancestral strains of the virus. Importantly, all therapeutic mAbs targeting SARS-CoV-2 previously authorized, prior to the EUA for PEMGARDA, have had their authorizations revoked in the U.S. due to loss of activity as new variants emerged.</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Current Approaches for Prevention and Treatment of COVID-19 and Their Limitations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multiple therapeutics have been discovered, developed and authorized at an unprecedented speed. Currently available vaccines demonstrate limited effectiveness, and antiviral medications can have significant drug-drug interactions, particularly in the immunocompromised that can limit their utility. Monoclonal antibody therapies have the potential to provide vulnerable populations with additional protection from COVID-19.</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mAbs for Prevention or Treatment of COVID-19 in the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this report, no mAb has been approved in the U.S. for prevention (pre- or post-exposure) or treatment of COVID-19. Other than the EUA for PEMGARDA issued by the FDA in March 2024, the FDA previously issued an EUA for tixagevimab/cilgavimab for pre-exposure prophylaxis of COVID-19, in addition to EUAs for casirivimab/imdevimab and bamlanivimab/etesevimab for post-exposure prophylaxis of COVID-19 in certain individuals. In addition, four mAb products, casirivimab/imdevimab, bamlanivimab/etesevimab, sotrovimab, and bebtelovimab, received an EUA from the FDA for the treatment of COVID-19 in patients at high risk of disease progression. Despite this progress in the availability of mAbs for the prevention and treatment of COVID-19, the clinical utility of these products has varied over time due to the emergence of SARS-CoV-2 variants demonstrating partial or full resistance to neutralization. At this time none of these products, other than PEMGARDA, are authorized for use in prevention or treatment of COVID-19 in the U.S. due to loss of activity as new variants emerged.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The Development of Antibody-based Solutions for COVID-19 and Other Viral Diseases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approach is designed to deliver new product candidates that keep pace with viral evolution. By coupling ongoing variant surveillance and prediction of viral evolution with our discovery and engineering capabilities, our innovation engine has generated a pipeline of therapeutic candidates which could be used in prevention or treatment of serious viral diseases,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starting with SARS-CoV-2. In order to provide solutions to vulnerable people as new variants emerge, we seek to leverage evolving regulatory paradigms, which may rely on surrogate endpoints, to expedite drug development. Our company has been designed to identify and develop high-quality, long-lasting antibodies with a high barrier to viral escape in a manner that keeps pace with viral evolution. Our product candidates can be tuned to improve potency, breadth of neutralization, as well as format, including half-life extending and other fragment crystallizable (“Fc”) region modifications. Key elements that we believe differentiate our approach include:</w:t>
      </w:r>
    </w:p>
    <w:p>
      <w:pPr>
        <w:spacing w:after="0" w:line="287" w:lineRule="exact"/>
        <w:rPr>
          <w:sz w:val="20"/>
          <w:szCs w:val="20"/>
          <w:color w:val="auto"/>
        </w:rPr>
      </w:pPr>
    </w:p>
    <w:p>
      <w:pPr>
        <w:ind w:left="1020" w:hanging="503"/>
        <w:spacing w:after="0" w:line="25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Recognition of the importance of broadly neutralizing antibodies with a reduced risk of viral escape: </w:t>
      </w:r>
      <w:r>
        <w:rPr>
          <w:rFonts w:ascii="Times New Roman" w:cs="Times New Roman" w:eastAsia="Times New Roman" w:hAnsi="Times New Roman"/>
          <w:sz w:val="18"/>
          <w:szCs w:val="18"/>
          <w:color w:val="auto"/>
        </w:rPr>
        <w:t>From the outset of our COVID-19 program, we chose to identify and engineer mAbs with a high potential to resist SARS-CoV-2 variant escape. We are targeting epitopes that are (1) minimally polymorphic since the emergence of Omicron variants, (2) privileged with respect to contemporary population-level immune pressure, and (3) potentially conserved across other human sarbecoviruses (such as SARS-CoV-2) that utilize angiotensin converting enzyme-2 (“ACE-2”) to infect cells, providing anticipated neutralization breadth to our mAb candidates.</w:t>
      </w:r>
    </w:p>
    <w:p>
      <w:pPr>
        <w:spacing w:after="0" w:line="71" w:lineRule="exact"/>
        <w:rPr>
          <w:rFonts w:ascii="Times New Roman" w:cs="Times New Roman" w:eastAsia="Times New Roman" w:hAnsi="Times New Roman"/>
          <w:sz w:val="18"/>
          <w:szCs w:val="18"/>
          <w:color w:val="auto"/>
        </w:rPr>
      </w:pPr>
    </w:p>
    <w:p>
      <w:pPr>
        <w:ind w:left="1020" w:right="180" w:hanging="503"/>
        <w:spacing w:after="0" w:line="291"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Continuous monitoring for SARS-CoV-2 variants: </w:t>
      </w:r>
      <w:r>
        <w:rPr>
          <w:rFonts w:ascii="Times New Roman" w:cs="Times New Roman" w:eastAsia="Times New Roman" w:hAnsi="Times New Roman"/>
          <w:sz w:val="17"/>
          <w:szCs w:val="17"/>
          <w:color w:val="auto"/>
        </w:rPr>
        <w:t>We continuously maintain and improve our in-house suite of digital monitoring tools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identifying new and upcoming SARS-CoV-2 variants before they become VoCs. Further, by pinpointing dominant spike glycoprotein sites targeted by human antibody repertoires and mapping common mutational escape routes, we aim to predict future variants.</w:t>
      </w:r>
    </w:p>
    <w:p>
      <w:pPr>
        <w:spacing w:after="0" w:line="44" w:lineRule="exact"/>
        <w:rPr>
          <w:rFonts w:ascii="Times New Roman" w:cs="Times New Roman" w:eastAsia="Times New Roman" w:hAnsi="Times New Roman"/>
          <w:sz w:val="17"/>
          <w:szCs w:val="17"/>
          <w:color w:val="auto"/>
        </w:rPr>
      </w:pPr>
    </w:p>
    <w:p>
      <w:pPr>
        <w:jc w:val="both"/>
        <w:ind w:left="1020" w:hanging="503"/>
        <w:spacing w:after="0" w:line="25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Industry-leading antibody mining, engineering and developability screening capabilities through internal expertise and our partnership with Adimab: </w:t>
      </w:r>
      <w:r>
        <w:rPr>
          <w:rFonts w:ascii="Times New Roman" w:cs="Times New Roman" w:eastAsia="Times New Roman" w:hAnsi="Times New Roman"/>
          <w:sz w:val="18"/>
          <w:szCs w:val="18"/>
          <w:color w:val="auto"/>
        </w:rPr>
        <w:t>We leverage deep B-cell mining capabilities to isolate broadly neutralizing antibodies linked to utilization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engineering capabilities to improve the potency, breadth, biophysical properties and developability of our candidates we advance into preclinical development. Where applicable, we specifically engineer our antibodies, for example to extend their half-lives or modify their Fc-mediated innate immune effector function.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Expedited path to the clinic and market: </w:t>
      </w:r>
      <w:r>
        <w:rPr>
          <w:rFonts w:ascii="Times New Roman" w:cs="Times New Roman" w:eastAsia="Times New Roman" w:hAnsi="Times New Roman"/>
          <w:sz w:val="18"/>
          <w:szCs w:val="18"/>
          <w:color w:val="auto"/>
        </w:rPr>
        <w:t>In order to deliver new mAb products in a rapid and timely manner to patients at risk,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new, expedited approaches and pathways are needed across nonclinical, clinical and CMC development. We are leveraging and applying our experience with adintrevimab, which demonstrated clinically meaningful results and a robust safety package, and PEMGARDA to new therapeutic candidates, including VYD2311. We seek to streamline nonclinical toxicology studies where possible, with the intention of reducing dependence on animal studies, which we believe is well in line with the FDA’s position. Furthermore, the SARS-CoV-2 RBD is a well validated target and mechanism of action for mAbs with robust safety and efficacy data generated across the class. We expect that these data will enable the continued application of surrogate endpoints in future development programs, an approach that was leveraged in our Phase 3 CANOPY clinical trial of pemivibart with the use of calculated serum neutralizing antibody titers as a correlate of protection. We also seek to streamline our manufacturing approach, leveraging platform processes and historical data to ensure product quality for future product candidates. We will be actively engaging with regulatory authorities to seek concurrence on these proposals as we advance our product candidates.</w:t>
      </w:r>
    </w:p>
    <w:p>
      <w:pPr>
        <w:spacing w:after="0" w:line="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employing similar antibody discovery, variant monitoring, and development strategies for other antigenically variable viruses, such as influenza and respiratory syncytial virus.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Emergency Use Authorization Environment in the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Section 564 of the FDCA, the FDA Commissioner has the authority to authorize the emergency use of an unapproved medical product or an unapproved use of an approved medical product for certain emergency circumstances after the Secretary of the U.S. Department of Health and Human Services (“HHS”) has made a declaration of an emergency or threat justifying authorization of emergency use. On January 31, 2020, the Secretary of HHS issued a declaration of a public health emergency related to COVID-19 under Section 319 of the Public Health Service Act (the “PHS Act”). 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the emergency use of drugs and biological products during the COVID-19 pandemic, subject to the terms of any authorization issued by the FDA.</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the Biden Administration allowed the COVID-19 public health emergency declared by HHS under Section 319 of the PHS Act to expire on May 11, 2023, this did not impact the FDA’s ability to authorize COVID-19 drugs and biological products for emergency use pursuant to the relevant declaration under Section 564 of the FDCA. The FDA, therefore,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may continue to issue new EUAs going forward when criteria for issuance are met. Such authority arises from the determinations and declarations issued pursuant to Section 564 of the FDCA, including the EUA declaration on March 27, 2020, which remains in effect unless or until the Secretary of HHS terminates such declaration. If an EUA declaration is terminated, the EUAs based on such declaration would cease to be in effect and the FDA may no longer issue EUAs for products covered by such declaration.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Addressable Patient Populations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Pre-Exposure Prophylaxis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issued an EUA for PEMGARDA (pemivibart) in March 2024 for the pre-exposure prophylaxis of COVID-19 in certain patients with moderate-to-severe immune compromise; no other mAb therapies for prevention of COVID-19 are currently authorized. Furthermore, no other mAb therapies for the prevention of COVID-19 have been authorized by the FDA since January 2023, when the last of the previously-authorized mAb therapies lost activity against then circulating variants.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our market research and internal analysis, we believe that there are more than 9 million immunocompromised people, with varying degrees of immune compromise, in the U.S. alone who may not adequately respond to COVID-19 vaccination, increasing their risk for severe COVID-19. Vaccines for pre-exposure prophylaxis of COVID-19 have not demonstrated adequate efficacy against symptomatic disease or more significant outcomes in the immunocompromised population. This vulnerable population that is unlikely to mount an adequate response to vaccination has been left with no therapeutic options for prevention of COVID-19 outside of pemivibart.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total addressable market in the U.S. for PEMGARDA is limited to the population that falls within the product’s authorized use, specifically certain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Treatment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there are still gaps in COVID-19 treatment alternatives. For instance, significant drug-drug interactions can limit the utility of some oral antivirals as a treatment option for immunocompromised people or others who are taking certain medications. While PEMGARDA is not authorized for use for treatment of COVID-19 or for post-exposure prophylaxis of COVID-19, we believe there could be opportunities to further explore the development of mAbs for the treatment of COVID-19.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Pediatrics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children are at lower risk of developing severe COVID-19 compared to adults, a subset of children experience severe disease and poor outcomes, such as multisystem inflammatory syndrome and Long COVID. Safe and effective therapies are needed to prevent disease and hospitalization in high-risk children including these complications. Although there is a paucity of data regarding the immune response to COVID-19 vaccines in children with moderate-to-severe immunocompromise, a subset of these children may have suboptimal immune responses to vaccines similar to adults with certain forms of immunocompromise and thus have the potential to benefit from a passive immune approach.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Overview</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devoted to delivering protection from serious viral infectious diseases. By pairing state-of-the-art viral surveillance and predictive modeling with advanced antibody engineering techniques, we are committed to developing a robust pipeline of product candidates which could be used in prevention or treatment of serious viral diseases, starting with COVID-19 and potentially expanding into other high-need indications.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PEMGARDA is our first mAb to receive regulatory authorization and was designed to keep pace with SARS-CoV-2 viral evolution. VYD2311 is our next generation mAb candidate being developed for COVID-19 to continue to address the urgent need for new prophylactic and therapeutic options. As the SARS-CoV-2 virus evolves over time, we anticipate periodically introducing new mAb candidates, an approach that could be analogous to the periodic updates made to influenza and COVID-19 vaccines.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Beyond PEMGARDA and VYD2311, we have additional anti-SARS-CoV-2 mAb candidates in discovery and pre-clinical characterization. Our robust pipeline reflects our strategy to continuously discover and engineer new candidates that can be leveraged to keep pace with viral evolution.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1210945</wp:posOffset>
            </wp:positionH>
            <wp:positionV relativeFrom="page">
              <wp:posOffset>774700</wp:posOffset>
            </wp:positionV>
            <wp:extent cx="5443220" cy="2828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44322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mAbs listed in our pipeline are investigational therapies and have not been approved for use by any regulatory authority.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PEMGARDA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Pre-Exposure Prophylaxis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PEMGARDA™ (pemivibart) is a half-life extended investigational mAb. PEMGARDA was engineered from adintrevimab, our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and LP.8.1. PEMGARDA targets the SARS-CoV-2 spike protein RBD, thereby inhibiting virus attachment to the human ACE2 receptor on host cells.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PEMGARDA (pemivibart) injection (4500 mg), for intravenous use received EUA from the FDA in March 2024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had recent known exposure to a person infected with SARS-CoV-2.</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Per the PEMGARDA Fact Sheet for Healthcare Providers, medical conditions or treatments that may result in moderate-to-severe immune compromise and an inadequate immune response to COVID-19 vaccination include:</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treatment for solid tumor and hematologic malignancies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malignancies associated with poor responses to COVID-19 vaccines regardless of current treatment status (e.g., chronic lymphocytic leukemia, non-Hodgkin lymphoma, multiple myeloma, acute leukemia)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solid-organ transplant or an islet transplant and taking immunosuppressive therapy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chimeric antigen receptor (CAR)-T-cell or hematopoietic stem cell transplant (within 2 years of transplantation or taking immunosuppressive therapy)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 or severe primary immunodeficiency (e.g., common variable immunodeficiency disease, severe combined immunodeficiency, DiGeorge syndrome, Wiskott-Aldrich syndrome)</w:t>
      </w:r>
    </w:p>
    <w:p>
      <w:pPr>
        <w:spacing w:after="0" w:line="60"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or untreated HIV infection (people with HIV and CD4 cell counts &lt;200/mm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history of an AIDS-defining illness without immune reconstitution, or clinical manifestations of symptomatic HIV)</w:t>
      </w:r>
    </w:p>
    <w:p>
      <w:pPr>
        <w:spacing w:after="0" w:line="9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treatment with high-dose corticosteroids (i.e., ≥20 mg prednisone or equivalent per day when administered for ≥2 weeks), alkylating agents, antimetabolites, transplant-related immunosuppressive drugs, cancer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1020" w:right="20"/>
        <w:spacing w:after="0" w:line="282" w:lineRule="auto"/>
        <w:rPr>
          <w:sz w:val="20"/>
          <w:szCs w:val="20"/>
          <w:color w:val="auto"/>
        </w:rPr>
      </w:pPr>
      <w:r>
        <w:rPr>
          <w:rFonts w:ascii="Times New Roman" w:cs="Times New Roman" w:eastAsia="Times New Roman" w:hAnsi="Times New Roman"/>
          <w:sz w:val="18"/>
          <w:szCs w:val="18"/>
          <w:color w:val="auto"/>
        </w:rPr>
        <w:t>chemotherapeutic agents classified as severely immunosuppressive, and biologic agents that are immunosuppressive or immunomodulatory (e.g., B-cell depleting agents)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PEMGARDA is not authorized for use for treatment of COVID-19, or for post-exposure prophylaxis of COVID-19 in individuals who have been exposed to someone infected with SARS-CoV-2.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received a COVID-19 vaccine, PEMGARDA should be administered at least 2 weeks after vaccination.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FDCA, 21 U.S.C. § 360bbb-3(b)(1), unless the declaration is terminated or the authorization is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the FDA’s review of the totality of scientific evidence available, the FDA determined that it is reasonable to believe that PEMGARDA may be effective for pre-exposure prophylaxis of COVID-19 in certain adults and adolescents, as described in the EUA, and that when used under the conditions described in the EUA, the known and potential benefits of PEMGARDA outweigh the known and potential risks of such product. To support the EUA for PEMGARDA, an immunobridging approach was used to determine if PEMGARDA may be effective for pre-exposure prophylaxis of COVID-19. Immunobridging is based on the serum neutralization titer-efficacy relationships identified with other neutralizing human mAbs against SARS-CoV-2. This includes adintrevimab, the parent mAb of pemivibart, and other mAbs that were previously authorized for EUA.</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With regards to the safety profile, 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concentrated initially on the healthcare practitioners and institutions who care for the estimated 485,000 highest risk moderately to severely immunocompromised adults and adolescents through a highly focused field sales organization which can potentially expand over time to reach additional healthcare practitioners and institutions who care for other groups of moderately to severely immunocompromised adults and adolescents. We have directly hired key leaders for our sales, marketing, market access, and medical affairs teams, in addition to leveraging contract organizations for certain field-based roles.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Treatment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2025, the FDA declined our request to expand the existing EUA for PEMGARDA™ to cover treatment of mild-to-moderate COVID-19 in adults and adolescents who have moderate-to-severe immune compromise due to certain medical conditions such as cancer and organ transplant, and for whom alternative COVID-19 treatment options are not accessible or clinically appropriate. The existing EUA for PEMGARDA covering pre-exposure prophylaxis of COVID-19 in certain immunocompromised patients remains in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VYD2311</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January 2024, we nominated VYD2311, a novel mAb candidate being developed for COVID-19 to continue to address the urgent need for new prophylactic and therapeutic options. VYD2311 is a mAb with high in vitro neutralization potency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shown against prominent SARS-CoV-2 variants tested to date. The pharmacokinetic profile and antiviral potency of VYD2311 may offer the ability to deliver clinically meaningful titer levels through more system- and patient-friendly means.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2024, we announced dosing of the first participants in a Phase 1 clinical trial of VYD2311.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system-and patient-friendly than intravenous administration. In February 2025, we announced completion of recruitment in our Phase 1 clinical trial of VYD2311, as well as positive clinical data for both safety and pharmacokinetics. We expect additional data readouts from the Phase 1 clinical trial and VYD2311 program throughout 2025.</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VYD2311 was engineered using our proprietary integrated technology platform and is the product of serial molecular evolution designed to generate an antibody optimized for neutralizing contemporary virus lineages. VYD2311 leverages the same antibody backbone as pemivibart, our investigational mAb granted emergency use authorization in the U.S. for the pre-exposure prophylaxis of symptomatic COVID-19 in certain immunocompromised patients, and adintrevimab, our investigational mAb that has a robust safety data package and demonstrated clinically meaningful results in global Phase 2/3 clinical trials for the prevention and treatment of COVID-19.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and we have invested significant resources to develop commercial-scale manufacturing in partnership with our sole contract manufacturer partner, WuXi Biologics, with whom we have been working since our inception. We have contracted with WuXi Biologics for the manufacturing of commercial-scale PEMGARDA and VYD2311. PEMGARDA and VYD2311 are produced using an industry standard mAb manufacturing process including a recombinant Chinese Hamster Ovary commercial cell line, fed-batch suspension cell culture and a chromatography column-based purification process. The drug product manufacture uses an industry standard sterile liquid drug product manufacturing process.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established long-term master services agreements with WuXi Biologics, pursuant to which we purchase drug substance and drug product for both clinical and commercial supply. The master services agreements are also applicable to any future clinical candidates identified for development, should we elect to use WuXi Biologics for development and supply of those candidates. We may stop placing orders under the master services agreements at any time, provided that we fulfill our obligations to make payment for, or pay cancellation-related costs related to,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also established a cell line license agreement with WuXi Biologics that allows for the transfer and use in drug substance manufacturing of any cell line developed by WuXi Biologics on our behalf, including those used in the manufacture of PEMGARDA, VYD2311 and other product candidates. This license enables cell line and manufacturing process transfer to additional contract manufacturers.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devoted significant resources to the manufacture of PEMGARDA and VYD2311, and we believe we have secured sufficient supply to meet demand for PEMGARDA and anticipated initial demand for VYD2311, if authorized or approved.</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Foreign contract manufacturing organizations, including WuXi Biologics, may be subject to U.S. legislation, including the proposed BIOSECURE Act, investigations, sanctions, trade restrictions, tariffs, and other foreign regulatory requirements, which could increase the cost or reduce the supply of material available to us, delay or impact clinical trials, or delay procurement of commercial supply. Accordingly, we continue to evaluate access to capacity at WuXi Biologics, as well as other CDMOs so we can aim to meet potential future demand for PEMGARDA, VYD2311, and future clinical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Strategy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Unlike previous EUAs for COVID-19, where products were available via an Advance Purchase Agreement with the U.S. federal government, PEMGARDA follows a traditional commercial distribution model in which end customers purchase the product directly from third-party specialty distributors and the product is shipped to the various sites of care, including provider institutions, infusion centers and clinics that bill health insurance plans for the product.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entered into a third-party logistics distribution agreement (the “3PL Agreement”) to engage a logistics distribution agent (the “3PL Agent”) to distribute our product to our end customers. The 3PL Agent provides us with services that include storage, distribution, processing product returns, customer service support, logistics support, electronic data interface and system access support. For us to sell our product throughout the U.S., some states require mandatory distribution licenses. In order to enable us to execute sales in the U.S. prior to obtaining such licenses, we and an affiliate of the 3PL Agent (the “Title Company”) entered into a Temporary Title Model Agreement (the “Temporary Title Model Agreement”), which was an amendment to the 3PL Agreement, so that the Title Company could purchase and take title to the product and sell the product to the specialty distributors who contracted to purchase the product from us. In July 2024, we obtained nearly all of the necessary state distribution licenses to sell our product throughout the U.S., and we ceased using the Temporary Title Model Agreement process in the third quarter of 2024.</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our net product revenue was generated from sales to the Title Company, third-party specialty distributors, and infusion and healthcare centers in the U.S. Sales to the 3PL Agent accounted for 19% and three specialty distributors accounted for 42%, 24% and 13% of total gross sales for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Adimab</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our founding in June 2020, we have focused on the development of mAbs for both the prevention and treatment of COVID-19. Adimab is a leading provider of antibody discovery, engineering and optimization services and has established an extensive presence in the drug discovery industry.</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July 2020, we are party to an assignment and license agreement with Adimab under which Adimab assigned to us its rights to all existing coronavirus antibodies controlled by it and their derivatives, including adintrevimab. See “—Licensing, Collaborations and Partnerships—Assignment and License Agreement with Adimab.”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us, we will have the exclusive option to require Adimab to assign us its rights in any such antibody and to grant us certain licenses. See “—Licensing, Collaborations and Partnerships—Collaboration Agreement with Adimab.” In addition, in September 2022, we entered into a platform transfer agreement with Adimab. Under the platform transfer agreement,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See “—Licensing, Collaborations and Partnerships—Adimab Platform Transfer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Collaborations and Partnerships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2020, we entered into an Assignment and License Agreement with Adimab (the “Adimab Assignment Agreement”) with respect to discovery and optimization of coronavirus-specific antibodies, including COVID-19 and SARS. Under the Adimab Assignment Agreement, Adimab assigned to us its rights, title and interest in and to certain of its coronavirus-specific antibodies (each, a “CoV Antibody” and together, the “CoV Antibodies”), including modified or derivative forms thereof, and related intellectual property. Adimab also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We are entitled to sublicense the assigned rights and licensed intellectual property solely with respect to any CoV Antibody or Product, subject to specified conditions of the agreement. We are obligated to use commercially reasonable efforts to achieve specified development and regulatory milestones for Products in certain major markets and to commercialize a product in any country in which we obtain marketing approval.</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Through December 31, 2024, we had made aggregate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milestone payments of $11.1 million to Adimab under the Adimab Assignment Agreement. We are also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While reserving all rights under the Adimab Assignment Agreement and the applicable law, through December 31, 2024, we made aggregate royalty payments of $0.5 million.</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We may terminate the Adimab Assignment Agreement at any time for any or no reason upon advance written notice to Adimab or in the event of a material breach by Adimab that is not cured with specific periods. Adimab may only terminate the agreement if we materially breach, and do not cure, our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Through December 31, 2024, we had made aggregate payments of $14.2 million to Adimab under the Adimab Assignment Agreement, inclusive of the aforementioned milestone and royalty payments. As of December 31, 2024, $0.5 million was accrued under the Adimab Assignment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to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w:t>
      </w:r>
    </w:p>
    <w:p>
      <w:pPr>
        <w:spacing w:after="0" w:line="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Collaboration Agreement, we are obligated to use commercially reasonable efforts to develop, seek marketing approval for, and commercialize one product that contains an antibody discovered in each optioned research program.</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Adimab Collaboration Agreement, we agreed to pay Adimab a quarterly fee of $1.3 million, which could be cancelled at our option at any time. For so long as we were paying such quarterly fee (or earlier if (i) we experienced a change of control after the third anniversary of the Adimab Collaboration Agreement or (ii) Adimab owned less than a specified percentage of our equity), Adimab and its affiliates agreed not to assist or direct certain third parties to discover or optimize antibodies intended to bind to coronaviruses or influenza viruses. Under the Adimab Collaboration Agreement, we could also elect to decrease the scope of Adimab’s exclusivity obligations and obtain a corresponding decrease in the quarterly fee. In December 2023, we elected to decrease the scope of Adimab’s exclusivity obligations to cover only coronaviruses and obtained a corresponding decrease in the quarterly fee. Effective January 2024, we became obligated to pay Adimab a quarterly fee of $0.6 million.</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Adimab Collaboration Agreement that achieves such milestones. We are also obligated to pay Adimab royalties of a mid-single-digit percentage based on net sales of any product under the Adimab Collaboration Agreement, subject to reductions for third-party licenses. The royalty term will expire for each product on a country-by-country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Through December 31, 2024, we had made aggregate payments of $19.6 million to Adimab under the Adimab Collaboration Agreement. As of December 31, 2024, $0.7 million was due to Adimab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obligated to pay Adimab an annual fee of single digit millions on each of the first four anniversaries of the Adimab Platform Transfer Agreement Effective Date, which allows us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Beginning in July 2027 and ending in June 2042, unless terminated earlier, we have the option to receive additional material improvements to the platform technology from Adimab, subject to a commercially reasonable fee to be negotiated by the parties.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obligated to pay Adimab up to $9.5 million upon the achievement of specified development and regulatory milestones for each product under the Adimab Platform Transfer Agreement that achieves such milestones. 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December 31, 2024, we had made aggregate payments of $7.0 million to Adimab under the Adimab Platform Transfer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Population Health Partners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“PHP Effective Date”), we entered into a Master Services Agreement with Population Health Partners, L.P. (“PHP”), pursuant to which PHP agreed to provide services and create deliverables for us as agreed between us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July 2024. On the PHP Effective Date, we and PHP entered into the first work order under the PHP MSA (the “PHP Work Order”), pursuant to which PHP agreed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advise and counsel us regarding clinical development and regulatory matters with respect to our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 Tamsin Berry, a member of our board of directors, is a Limited Partner of PHP.</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we paid PHP a cash fee of $0.5 million per month during the term of the PHP Work Order for an aggregate fee of $3.0 million.</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we issued a warrant to purchase shares of our common stock, par value $0.0001 (“Common Stock”), to PHP (the “PHP Warrant”). The exercise price of the PHP Warrant is $3.48 per share of Common Stock, which was equal to the Nasdaq official closing price of a share of Common Stock on the trading day immediately prior to the PHP Effective Date. The PHP Warrant is exercisable for up to an aggregate of 6,824,712 shares of Common Stock, and vests in up to three separate tranches upon either the achievement of corresponding market capitalization targets or a consummation of a fundamental transaction (as defined in the PHP Warrant).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 Line License Agreement with WuXi Biologics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party to a Cell Line License Agreement with WuXi Biologics, entered into as of December 2, 2020, as amended in February 2023 and March 2024. See “Management’s Discussion and Analysis of Financial Condition and Results of Operations—Contractual Obligations and Commitments” and “—Other Commitments.”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Biocon Biologics Limited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2021, we entered into a license agreement with Biocon Biologics Limited (“Biocon”) to combat the ongoing COVID-19 crisis in southern Asia. Under the license agreement, we granted Biocon exclusive rights to manufacture and commercialize an antibody treatment in India and additional select emerging markets based on the commercial process developed for adintrevimab. As part of the agreement, Biocon will be granted access to the data from our Phase 2/3 adintrevimab clinical trials and access to our EUA package, if applicable, including regulatory submissions, to support approval or emergency authorization in India and other select emerging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competition may come from multiple sources, including major pharmaceutical, specialty pharmaceutical and existing or emerging biotechnology companies, academic research institutions, governmental agencies and public and private research institutions worldwide. Many of our potential competitors, either alone or through collaborations, have significantly greater financial resources and expertise in research and development, preclinical testing, conducting clinical trials, manufacturing, obtaining regulatory authorizations or approvals, and commercializing authorized or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antibody and small molecule antivirals targeting COVID-19. Companies that have active COVID-19 antibody-based programs include but may not be limited to, AstraZeneca plc and Roche Pharmaceuticals. In addition, companies that have approved or authorized antiviral programs for the treatment of COVID-19 include Merck and Co., Inc. (oral), Pfizer Pharmaceuticals (oral), and Gilead (IV).</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PEMGARDA or our other product candidates. Some of our competitors have already previously obtained EUAs from the FDA for the prevention of COVID-19 in immunocompromised patients and the treatment of mild to moderate COVID-19 in high-risk patients, and others in the future may obtain EUAs from the FDA or other regulatory approval or authorization more rapidly than we may, which could result in our competitors establishing a strong market position. The key competitive factors affecting the success of PEMGARDA and our other product candidates, if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authorized or approved, are likely to be their efficacy, safety, convenience, price and the availability of reimbursement from government and other third-party payors.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and other proprietary protection in the U.S. and in other countries for commercially important technology, current and future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 Patent and Trademark Office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antibody field that may be important for the development of our business. We also intend to seek patent protection or rely upon trade secret rights to protect other technologies that may be used to discover and validate targets, as well as to manufacture and develop novel antibody products. Additional regulatory protection may also be afforded through data exclusivity, market exclusivity and patent term extensions where available.</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1, 2025, we own one patent family for which we have three issued U.S. patents (U.S. 11,192,940, issued December 7, 2021; U.S. 11,220,536, issued January 11, 2022; and U.S. 11,414,479, issued August 16, 2022), one pending U.S. non-provisional patent application, and foreign patent applications in Argentina, Canada, China, Europe, and Mexico. This patent family is directed to broadly neutralizing anti-coronavirus antibodies, including ADG20 (adintrevimab) and ADG10, and uses thereof. These patents and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1, 2025, we own another patent family for which we have one pending U.S. non-provisional patent application. This patent family is directed to formulations and methods of use for ADG20 (adintrevimab). Any additional U.S. non-provisional patent applications timely filed based upon such application, if issued, are expected to expire in 2042, without taking into account any possible patent term adjustment or extension.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1, 2025, we own a patent family directed to additional broadly neutralizing anti-coronavirus antibodies, combination therapies, and uses thereof, for which we have one pending U.S. non-provisional patent application, and foreign patent applications in Europe and Taiwan. These patent applications and any additional U.S. non-provisional patent applications or foreign patent applications timely filed based upon such applications, if issued, are expected to expire in 2043, without taking into account any possible patent term adjustment or extension.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1, 2025, we own a patent family for which we are entering the national stage so that we will have one pending U.S. non-provisional patent application and foreign patent applications in Australia, Canada, and Europe. This patent family is directed to additional broadly neutralizing anti-coronavirus antibodies, including VYD222, as well as combination therapies, and uses thereof. Any U.S. non-provisional patent applications or foreign patent applications timely filed based upon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these patent applications, if issued, are expected to expire in 2043, without taking into account any possible patent term adjustment or extension.</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1, 2025, we own a patent family directed to additional broadly neutralizing anti-coronavirus antibodies, including VYD2311, combination therapies, and uses thereof for which we have pending U.S. provisional patent applications. Any U.S. non-provisional patent applications or foreign patent applications timely filed based upon these U.S. provisional patent applications, if issued, are expected to expire in 2044, without taking into account any possible patent term adjustment or extension.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features of our business and product candidates are protected by trademarks. As of March 1, 2025, we have filed trademark applications for marks including INVIVYD, PEMGARDA and INVYMAB, as well as logos and certain stylized versions of these word marks. Applications have been filed inside and outside of the U.S., and while many are still pending, a number of registrations have been issued in the U.S., Australia, China, European Union, Japan, New Zealand, Norway, Switzerland, and United Kingdom.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Proprietary Information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U.S., we are subject to extensive regulation by the FDA and other federal, state, and local regulatory agencies. In the U.S., biologics such as our product candidates are licensed by the FDA for marketing under the PHS Act and regulated under the FDCA. Both the FDCA and the PHS Act and their corresponding regulations govern, among other things, the testing, development, manufacturing, quality control, safety, purity, potency, efficacy, approval, labeling, packaging, storage, record keeping, distribution, marketing, sales, import, export, reporting, advertising and other promotional practices involving biologics. FDA clearance must be obtained before clinical testing of biological product candidates. FDA licensure also must be obtained before biologics can be marketed. Additionally, although significant regulatory aspects in the European Union are addressed in a centralized way through the European Medicines Agency (the “EMA”) and the European Commission, country-specific regulation remains essential in many respects. Further, any failure to comply with applicable laws and regulations could have a material negative impact on our ability to successfully develop and commercialize product candidates, and therefore on our financial performance. In addition, the laws, rules and regulations that apply to our business are subject to change and it is difficult to foresee whether, how, or when such changes may affect our business. The process of obtaining regulatory authorizations and/or approvals and the subsequent compliance with appropriate federal, state, local and foreign statutes and regulations require the expenditure of substantial time and financial resources.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Development Process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biological product candidate may be marketed in the U.S. generally involves the following:</w:t>
      </w:r>
    </w:p>
    <w:p>
      <w:pPr>
        <w:spacing w:after="0" w:line="117" w:lineRule="exact"/>
        <w:rPr>
          <w:sz w:val="20"/>
          <w:szCs w:val="20"/>
          <w:color w:val="auto"/>
        </w:rPr>
      </w:pPr>
    </w:p>
    <w:p>
      <w:pPr>
        <w:ind w:left="11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current Good Laboratory Practices (“cGLP”)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preparation of clinical trial material in accordance with applicable current Good Manufacturing Practices (“cGMP”);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left="1140" w:hanging="504"/>
        <w:spacing w:after="0" w:line="258"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contains, among other data and information, nonclinical testing results and provides a basis for the FDA to conclude that there is an adequate basis for testing the investigational product in humans. If the FDA does not object to the IND application within 30 days of submission, the clinical testing proposed in the IND may begin. Even after the IND has gone into effect and clinical testing has begun, the FDA may put clinical trials on “clinical hold,” suspending (or in some cases, ending) them because of safety concerns or for other reasons;</w:t>
      </w:r>
    </w:p>
    <w:p>
      <w:pPr>
        <w:spacing w:after="0" w:line="75"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reviewing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5"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bioresearch monitoring regulations and current Good Clinical Practices (“cGCP”), which establish standards for conducting, recording data from, and reporting the results of clinical trials, with the goals of assuring that the data and results are credible and accurate and that study participants’ rights, safety and well-being are protected, and any additional requirements for the protection of human research subjects and their health information to establish the safety, purity, potency and efficacy of the proposed biological product candidate for its intended use. Each clinical trial must be conducted under a protocol which details, among other things, the study objectives and parameters for monitoring safety and the efficacy criteria, if any, to be evaluated. The protocol is submitted to the FDA as part of the IND and reviewed by the agency;</w:t>
      </w:r>
    </w:p>
    <w:p>
      <w:pPr>
        <w:spacing w:after="0" w:line="80"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(“BLA”) for marketing approval that includes substantive evidence of safety, purity, potency, and efficacy from results of nonclinical testing and clinical trials;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potential FDA pre-licensure inspection prior to BLA approval of the manufacturing facility or facilities where the biological product candidate is produced to assess compliance with cGMP to assure that the facilities, methods and controls are adequate to preserve the biological product candidate’s identity, strength, quality and purity;</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BLA;</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including a vote by external committee members;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and payment of associated user fees, when applicable.</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Before testing any biological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cGLP and the Animal Welfare Act, which are enforced by the Department of Agriculture.</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clinical trial sponsor must submit the results of the nonclinical tests, together with manufacturing information, analytical data, any available clinical data or literature and a proposed clinical protocol, to the FDA as part of the IND before clinical testing may begin.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raises concerns or questions regarding the proposed clinical trial, including, for example, if the FDA questions whether subjects will be exposed to unreasonable health risks,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Clinical trials may involve the administration of the biological product candidate to healthy volunteers or subjects under the supervision of qualified investigators, generally physicians not employed by or under the trial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cGCP and FDA regulations, including the requirement that all research subjects or their legal representative provide informed consent. Further, each clinical trial must be reviewed and approved by an independent IRB at or servicing each institution at which the clinical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trial will be conducted. IRBs are charged with protecting the welfare and rights of study participants and consider such items as whether the risks to individuals participating in clinical trials are minimized and are reasonable in relation to potential benefits, if any.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U.S. may, but need not, obtain FDA authorization to conduct the clinical trial under an IND. Foreign trials conducted under an IND must meet the same requirements that apply to trials being conducted in the U.S. If a foreign clinical trial is not conducted under an IND, the sponsor may submit data from the clinical trial to the FDA in support of a BLA so long as the clinical trial is conducted in compliance with cGCP, including review and approval by an independent ethics committee and compliance with informed consent principles, the foreign data are applicable to the U.S. population and U.S. medical practice, and the FDA is able to validate the data from the study through an on-site inspection if deemed necessary.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jc w:val="both"/>
        <w:ind w:left="520" w:hanging="512"/>
        <w:spacing w:after="0" w:line="268"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biological product candidate is initially introduced into healthy human subjects and tested for safety. In the case of some biological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for rare diseases, the initial human testing is often conducted in the intended patient population. In addition to testing for safety, the purpose of these clinical trials is to assess the metabolism, pharmacologic action, and side effect tolerability of the biological product candidate.</w:t>
      </w:r>
    </w:p>
    <w:p>
      <w:pPr>
        <w:spacing w:after="0" w:line="62" w:lineRule="exact"/>
        <w:rPr>
          <w:rFonts w:ascii="Times New Roman" w:cs="Times New Roman" w:eastAsia="Times New Roman" w:hAnsi="Times New Roman"/>
          <w:sz w:val="18"/>
          <w:szCs w:val="18"/>
          <w:color w:val="auto"/>
        </w:rPr>
      </w:pPr>
    </w:p>
    <w:p>
      <w:pPr>
        <w:jc w:val="both"/>
        <w:ind w:left="520" w:hanging="512"/>
        <w:spacing w:after="0" w:line="268"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biological product candidate is evaluated in a limited population of patients afflicted with the target disease to identify possible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effects and safety risks, to preliminarily evaluate the efficacy of the biological product candidate for specific targeted diseases and to determine dosage tolerance, optimal dosage and dosing schedule.</w:t>
      </w:r>
    </w:p>
    <w:p>
      <w:pPr>
        <w:spacing w:after="0" w:line="62" w:lineRule="exact"/>
        <w:rPr>
          <w:rFonts w:ascii="Times New Roman" w:cs="Times New Roman" w:eastAsia="Times New Roman" w:hAnsi="Times New Roman"/>
          <w:sz w:val="18"/>
          <w:szCs w:val="18"/>
          <w:color w:val="auto"/>
        </w:rPr>
      </w:pPr>
    </w:p>
    <w:p>
      <w:pPr>
        <w:jc w:val="both"/>
        <w:ind w:left="520" w:hanging="512"/>
        <w:spacing w:after="0" w:line="259"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The biological product candidate is further evaluated in terms of dosage, clinical efficacy, potency and safety in an expanded 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 (typically from several hundred to several thousand subjects) often at geographically dispersed clinical trial sites. These clinical trials are intended to establish the overall risk-benefit ratio of the biological product candidate and provide an adequate basis for product labeling. In biologics for rare diseases where patient populations are small and there is an urgent need for treatment, Phase 3 trials might not be required if a positive risk-benefit assessment can be demonstrated from the Phase 2 trial.</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licensure of a BLA.</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the sponsor or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a serious harm to patients.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the use of biologics, the PHS Act emphasizes the importance of manufacturing control for biological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for public dissemination on its clinicaltrials.gov website. Sponsors or distributors of investigational products for the diagnosis, monitoring or treatment of one or more serious diseases or conditions that have reached certain development milestones must also have a publicly available policy on evaluating and responding to requests for expanded access.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product. The BLA must include results of product development, laboratory and animal studies, clinical trials, information on the manufacture and composition of the product, proposed labeling and other relevant information. The product development and approval processes require substantial time and effort, and there can be no assurance that the FDA will accept the BLA for filing and, even if filed, that any approval will be granted on a timely basis, if at all.</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as amended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current FDA performance goals provide that the FDA should review and act on 90% of standard new molecular entity New Drug Applications and original BLAs within 10 months after the 60-day filing date. The FDA may miss or extend these goal actions dates under certain circumstances, including if there is a major amendment to the application. The targeted action date can also be shortened to within six months after the 60-day filing date, or eight months after BLA submission, for product candidates that are granted priority review designation because they are intended to treat serious or life-threatening conditions and demonstrate the potential to address unmet medical needs. However, even if priority review is awarded, the FDA may miss or extend the action date.</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reviews the BLA to determine, among other things, whether the proposed product is safe, potent and effective for its intended use, has an acceptable purity profile and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mitigate certain specific safety risks of the biological product. If the FDA concludes a REMS is needed, the sponsor of the BLA must submit a proposed REMS; the FDA will not approve the BLA without a REMS, if required.</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Before approving a BLA, the FDA may inspect the facilities at which the product candidate is manufactured. The FDA will not approve the product candidate unless it determines that the manufacturing processes and facilities are in compliance with cGMP requirements and are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a significant expenditure of time, money and effort in the areas of training, record keeping, production and quality control, among others.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After the FDA evaluates a BLA, it may issue an approval letter or a complete response letter. An approval letter authorizes commercial marketing of the product candidate with specific prescribing information for specific indications. A complete response letter indicates that the review cycle of the application is complete and the FDA will not approve the application in its present form. A complete response letter usually describes all of the specific deficiencies in the BLA identified by the FDA.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The complete response letter may require additional clinical data and/or one or more additional pivotal Phase 3 clinical trials, and/or other significant and time-consuming requirements related to clinical trials, nonclinical studies or manufacturing. If a complete response letter is issued, the applicant may either resubmit the BLA, addressing all of the deficiencies identified in the letter, or withdraw the application. The applicant may also appeal the decision through the FDA’s formal dispute resolution process. Even if such additional data and information are submitted in a BLA resubmission, the FDA may ultimately decide that the BLA does not satisfy the criteria for approval. Data obtained from clinical trials are not always conclusive, and the FDA may interpret data differently than the sponsor interprets the same data.</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 product candidate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or other safety information be included in the product labeling. The FDA may impose restrictions and conditions on product distribution, prescribing or dispensing in the form of a REMS, or otherwise limit the scope of any approval. In addition, the FDA may require post-approval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trials or nonclinical testing as a Phase 4 commitment. Product approvals may be withdrawn for non-compliance with regulatory requirements if problems occur following launch, or if the FDA determines that the product is no longer safe or effective.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Pediatric Trials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if it learns of new information, may also request that the sponsor amend the initial PSP.</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Emergency Use Authorization in the U.S.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Secretary of HHS, the FDA has the authority to issue an EUA for a medical product to allow unapproved medical products or unapproved uses of cleared or approved medical products to be used to diagnose, treat or prevent serious or life-threatening diseases or conditions caused by chemical, biological, radiological or nuclear warfare threat agents when there are no adequate, approved and available alternatives.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this authority, the FDA may issue an EUA for a medical product if the following four statutory criteria have been met: (1) a serious or life-threatening condition exists; (2) evidence that the medical product “may be effective” to prevent, diagnose, or treat the relevant disease or condition exists;</w:t>
      </w:r>
    </w:p>
    <w:p>
      <w:pPr>
        <w:jc w:val="both"/>
        <w:ind w:firstLine="8"/>
        <w:spacing w:after="0" w:line="251" w:lineRule="auto"/>
        <w:tabs>
          <w:tab w:leader="none" w:pos="2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risk-benefit analysis shows that the known and potential benefits of the product outweigh the known and potential risks; and (4) no other adequate, approved, and available alternatives exist for diagnosing, preventing or treating the disease or condition.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in vivo efficacy data from animal models, in vitro data, as well as the quality and quantity of the available evidence. Although the criteria of an EUA differ from the criteria for approval of a BLA, EUAs nevertheless require the development and submission of data to satisfy the relevant FDA standards, and EUA holders must comply with a number of ongoing compliance obligations.</w:t>
      </w:r>
    </w:p>
    <w:p>
      <w:pPr>
        <w:spacing w:after="0" w:line="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expects EUA holders to work toward submission of full applications, such as a BLA or a New Drug Application, as soon as possible. An EUA is also subject to additional conditions and restrictions that may be product-specific. 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legally marketed and one of the FDA’s non-emergency premarket pathways would be necessary to resume or continue distribution of the subject product.</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Section 564 of the FDCA, the FDA Commissioner has the authority to authorize the emergency use of an unapproved medical product or an unapproved use of an approved medical product for certain emergency circumstances after the Secretary of HHS has made a declaration of an emergency or threat justifying authorization of emergency use. On January 31, 2020, the Secretary of HHS issued a declaration of a public health emergency related to COVID-19 under Section 319 of the PHS Act. 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emergency use of drugs and biological products during the COVID-19 pandemic, subject to the terms of any authorization issued by the FDA.</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the Biden Administration allowed the COVID-19 public health emergency declared by HHS under Section 319 of the PHS Act to expire on May 11, 2023, this did not impact the FDA’s ability to authorize COVID-19 drugs and biological products for emergency use pursuant to the relevant declaration under Section 564 of the FDCA. The FDA therefore, may continue to issue new EUAs going forward when criteria for issuance are met. Such authority arises from the determinations and declarations issued pursuant to Section 564 of the FDCA, including the EUA declaration on March 27, 2020, which remains in effect unless or until the Secretary of HHS terminates such declaration. If an EUA declaration is terminated, the EUAs based on such declaration would cease to be in effect and the FDA may no longer issue EUAs for products covered by such declaration.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Post-Authorization or Post-Approval Requirements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Maintaining compliance with applicable federal, state and local statutes and regulations requires the expenditure of substantial time and financial resources. Rigorous and extensive FDA regulation of biological products continues after authorization or approval, particularly with respect to cGMP. If ongoing regulatory requirements are not met, safety problems occur after a product reaches market, or additional data change the FDA’s view of the risk-benefit profile of the product, the FDA may take actions to change the conditions under which the product is marketed, such as requiring labeling modifications, restricting distribution, or even withdrawing authorization or approval. We rely, and expect to continue to rely, on third parties for the production of clinical and commercial quantities of any products that we may commercialize. Manufacturers of our product candidates are required to comply with applicable requirements in the cGMP regulations, including quality control and quality assurance and maintenance of records and documentation.</w:t>
      </w:r>
    </w:p>
    <w:p>
      <w:pPr>
        <w:spacing w:after="0" w:line="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 Manufacturing Practices. </w:t>
      </w:r>
      <w:r>
        <w:rPr>
          <w:rFonts w:ascii="Times New Roman" w:cs="Times New Roman" w:eastAsia="Times New Roman" w:hAnsi="Times New Roman"/>
          <w:sz w:val="18"/>
          <w:szCs w:val="18"/>
          <w:color w:val="auto"/>
        </w:rPr>
        <w:t>Companies engaged in manufacturing drug and biological products or their components must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cGMP requirements, which include requirements regarding organization and training of personnel, facility registration, building and facilities, equipment, control of components and drug product containers, closures, production and process controls, packaging and labeling controls, holding and distribution, laboratory controls and records and reports. The FDA often inspects equipment, facilities and manufacturing processes before authorization or approval and conducts periodic re-inspections after authorization or approval. If, after receiving authorization or approval, a company makes a material change in manufacturing equipment, location, or process (all of which are, to some degree, incorporated in the EUA or BLA), additional regulatory review and approval may be required. Failure to comply with applicable cGMP requirements or the conditions of the product’s authorization or approval may lead the FDA to take enforcement actions, such as issuing a warning letter, or to seek sanctions, including fines, civil penalties, injunctions, suspension of manufacturing operations, imposition of operating restrictions, withdrawal of FDA authorization or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After a BLA is approved or an EUA is issued,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assess product complaints. An increase in severity or new adverse events can result in labeling changes or product recalls. Defects in manufacturing of commercial products can result in product recalls.</w:t>
      </w:r>
    </w:p>
    <w:p>
      <w:pPr>
        <w:spacing w:after="0" w:line="5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We also must comply with the FDA’s advertising and promotion requirements, such as those related to direct-to-patient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promotion to healthcare practitioners and payors, the prohibition on promoting products for uses or patient populations that are not described in the product’s approved labeling (known as “off-label use”),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Discovery of previously unknown problems or the failure to comply with applicable regulatory requirements, including the FDA, the Department of Justice, the Office of the Inspector General of HHS, and/or state authorities may result in restrictions on the marketing of a product or withdrawal of the product from the market, as well as possible civil or criminal sanctions. Failure to comply with applicable U.S. requirements at any time during the product development process, authorization or approval process or after authorization or approval may subject an applicant or manufacturer to administrative or judicial civil or criminal sanctions and adverse publicity. FDA sanctions could include refusal to authorize or approve pending applications, withdrawal of an authorization or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our business and operations.</w:t>
      </w:r>
    </w:p>
    <w:p>
      <w:pPr>
        <w:spacing w:after="0" w:line="7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Requirements. </w:t>
      </w:r>
      <w:r>
        <w:rPr>
          <w:rFonts w:ascii="Times New Roman" w:cs="Times New Roman" w:eastAsia="Times New Roman" w:hAnsi="Times New Roman"/>
          <w:sz w:val="18"/>
          <w:szCs w:val="18"/>
          <w:color w:val="auto"/>
        </w:rPr>
        <w:t>Companies that manufacture or distribute drug products pursuant to EUAs or approved BLAs must meet numerous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requirements, including adverse event reporting, submission of periodic reports, and record-keeping obligations.</w:t>
      </w:r>
    </w:p>
    <w:p>
      <w:pPr>
        <w:spacing w:after="0" w:line="5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federal, state and foreign laws and regulations governing data privacy and security of health information, and the 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and federal and state consumer protection and privacy laws, (including, for example, Section 5 of the Federal Trade Commission Act of 1914 (“FTC Act”), the FTC Health Breach Notification Rule, and the California Consumer Privacy Act (“CCPA”), as amended by the California Privacy Rights Act (“CPRA”))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including as implemented in the United Kingdom (collectively,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we may obtain health information from third parties, including research institutions from which we obtain clinical trial data, that are subject to privacy and security requirements under the federal Health Insurance Portability and Accountability Act, as amended by the Health Information Technology for Economic and Clinical Health Act, and the regulations promulgated thereunder (collectively, “HIPAA”). HIPAA imposes privacy and security obligations on covered entity health care providers, health plans, and health care clearinghouses, as well as their “business associates” – certain persons or entities that create, receive, maintain, or transmit protected health information in connection with providing a specified service or performing a function for or on behalf of a covered entity. Depending on the facts and circumstances, we could be subject to significant penalties if we, our affiliates, or our agents knowingly receive individually identifiable health information maintained by a HIPAA-covered entity in a manner that is not authorized or permitted by HIPAA.</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Also at the federal level, the Federal Trade Commission (“FTC”),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The FTC also has the power to enforce the Health Breach Notification Rule, which imposes notification obligations on companies for breaches of certain health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contained in personal health records. Enforcement by the FTC under the FTC Act and Health Breach Notification Rule can result in civil penalties or enforcement actions.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as a result of the broad scale release and availability of Artificial Intelligence (“AI”) technologies such as generative AI, there is a global trend towards more regulation (e.g., the European Union AI Act and AI laws passed by U.S. states) to ensure the ethical use, privacy, and security of AI and the data that it processes.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Expedited Review and Approval Programs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has various approaches, including fast track designation, priority review, accelerated approval and breakthrough therapy designation, that are intended to expedite the process for the development and/or FDA review of certain biological product candidates that are intended for the treatment of serious or life-threatening diseases or conditions and demonstrate the potential to address unmet medical needs. These designations provide benefits such as early regulatory interactions, rolling reviews, shorter approval timelines, and shorter review timelines, potentially accelerating patient access to innovative therapies.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Fast-track designation is a process designed to facilitate the development and expedite the review of drugs to treat serious conditions and fill an unmet medical need. To be eligible for a fast-track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more frequent interactions with the FDA, the FDA may initiate review of sections of a fast track BLA before the application is complete, a process known as rolling review.</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Food and Drug Administration Safety and Innovation Act enacted in 2012, a sponsor can request designation of a product candidate as a “breakthrough therapy.” A product may receive a breakthrough therapy designation if it is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may also be eligible for Fast Track benefits (including priority review) and use of the accelerated approval pathway. The FDA must take certain actions, such as holding timely meetings and providing advice, intended to expedite the development and review of an application for approval of a breakthrough therapy.</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Prior to approval, each drug marketed in the U.S. must go through a detailed FDA review process. In 1992, under PDUFA, the FDA agreed to specific goals for improving the marketing application review time and set forth two review tracks – standard review and priority review. 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from the 60-day filing date rather than the standard goal of 10 months from the 60-day filing date under current PDUFA performance goals. Products that receive fast-track designation are eligible to receive a priority review if the relevant criteria are met.</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Mindful of the fact that it may take an extended period of time to measure a drug’s intended clinical benefit, in 1992 FDA instituted the accelerated approval regulations. Biological products studied for their safety and effectiveness in treating serious or life-threatening illnesses and that provide meaningful therapeutic benefit over existing treatments may receive accelerated approval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to perform post-approval studies to verify and describe the predicted effect on irreversible morbidity or mortality or other clinical endpoints, and the biological product may be subject to accelerated withdrawal procedures.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biological product can qualify for multiple expedited pathways and designations if it meets the respective criteria. 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Biologics Price Competition and Innovation Act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Biologics Price Competition and Innovation Act of 2009 (“BPCIA”), which was enacted as part of the Patient Protection and Affordable Care Act of 2010, as amended by the Health Care and Education Reconciliation Act of 2010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studies and generally at least one clinical trial, absent a waiver from the Secretary of the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may be subject to a variety of regulations in other jurisdictions governing, among other things, clinical trials and any commercial sales and distribution of our product candidates. Because biologically sourced raw materials are subject to unique contamination risks, their use may be restricted in some countries. Whether or not we obtain FDA authorization or approval for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European Union, for example, the Clinical Trials Regulation (Regulation (EU) No 536/2014) (the “Current CTR”) came into effect on January 31, 2022, and is directly applicable in all the European Union Member States, repealing the previous Clinical Trials Directive (Directive 2001/20/EC) (the “Previous CTD”) which previously regulated clinical trials in the European Union. Prior to the Current CTR, clinical trial sponsors had to submit clinical trial applications (“CTAs”) to each country’s national health authority and independent ethics committees, much like the FDA and the IRB, respectively. The Current CTR enables sponsors to submit one application via an online platform known as the Clinical Trials Information System (“CTIS”) for authorization to run a clinical trial in several European countries. The evaluation and authorization of clinical trials, however, remains a responsibility of each country. The use of the CTIS is mandatory for CTAs submitted on or after January 31, 2023. Clinical trials authorized under the Previous CTD before January 31, 2023, can continue without any discontinuation or hold requirements. However, beginning on January 31, 2025, such clinical trials will need to be transitioned to the Current CTR framework, including the requirement to record information on the trials in the CTIS. An application to transition ongoing trials from the Previous CTD to the Current CTR must be submitted and authorized in time before the end of the transitional period. The Current CTR harmonizes the assessment and supervision processes for clinical trials throughout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the CTIS, which contains a centralized European Union portal and database. The main characteristics of the Current CTR include: (i) a streamlined application procedure through a single-entry point; (ii) a single set of documents to be prepared and submitted for an application as well as simplified reporting procedures for clinical trial sponsors; and (iii) a harmonized procedure for the assessment of applications for clinical trials.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Once a CTA is approved in accordance with the applicable requirements, clinical trial development may proceed. The requirements and processes governing the conduct of clinical trials are overall harmonized at the European Union level. In all cases, the clinical studies are conducted in accordance with cGCP, applicable regulatory requirements and applicable ethical principles.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obtain regulatory approval of an investigational biological product under European Union regulatory systems, we must submit a Marketing Authorization Application (“MAA”). The application used to file the BLA in the U.S. is similar to that required in the European Union, with the exception of, among other things, country-specific document requirements. In the European Union, marketing authorization for a medicinal product can be obtained through a centralized procedure, mutual recognition procedure, decentralized procedure, or the national procedure of an individual European Union Member State. A marketing authorization, irrespective of its route to authorization, may be granted only to an applicant established in the European Union.</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27 European Union Member States and three of the four European Free Trade Association States (Iceland, Liechtenstein and Norway). Under the centralized procedure, the Committee for Medicinal Products for Human Use (the “CHMP”) established at the EMA is responsible for conducting the initial assessment of a product. The maximum timeframe for the evaluation of an MAA is 210 days. This period excludes clock stops during which additional information or written or oral explanation is to be provided by the applicant in response to questions posed by the CHMP. Accelerated evaluation might be granted by the CHMP in exceptional cases, such as when a medicinal product is expected to be of a major public health interest. A major public health interest defined by three cumulative criteria: (i) the seriousness of the disease (for example, heavy disabling or life-threatening diseases) to be treated; (ii) the absence or insufficiency of an appropriate alternative therapeutic approach; and (iii) the anticipation of high therapeutic benefit. If the CHMP accepts to review a medicinal product as a major public health interest, the time limit of 210 days will be reduced to 150 days. It is, however, possible that the CHMP can revert to the standard time limit for the centralized procedure if it considers that it is no longer appropriate to conduct an accelerated assessment.</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Irrespective of the related procedure, at the completion of the review period the CHMP will provide a scientific opinion concerning whether or not a marketing authorization should be granted in relation to a medicinal product. This opinion is based on a review of the quality, safety, and efficacy of the product. Within 15 days of the adoption, the EMA will forward its opinion to the European Commission for its decision. Following the opinion of the EMA, the European Commission makes a final decision to grant a centralized marketing authorization. The centralized procedure is mandatory for certain types of medicinal products, including orphan medicinal products, medicinal products derived from certain biotechnological processes, advanced therapy medicinal products and medicinal products containing a new active substance for the treatment of certain diseases. This route is optional for certain other products, including medicinal products that are of significant therapeutic, scientific or technical innovation, or whose authorization would be in the interest of public or animal health at European Union level.</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authorities of each European Union Member State in which the product is to be marketed. This application process is identical to the application that would be submitted to the EMA for authorization through the centralized procedure and must be completed within 210 days, excluding potential clock-stops, during which the applicant can respond to questions. The relevant European Union Member State prepares a draft assessment and drafts of the related materials. The relevant European Union Member States must decide whether to approve the assessment report and related materials. If a European Union Member State cannot approve the assessment report and related materials due to concerns relating to a potential serious risk to public health, disputed elements may be referred to the European Commission, whose decision is binding on all European Union Member States.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mutual recognition procedure is similarly based on the acceptance by the relevant authorities of the European Union Member States of the marketing authorization of a medicinal product by the relevant authorities of other European Union Member States. The holder of a national marketing authorization may submit an application to the authority of a European Union Member State requesting that this authority recognize the marketing authorization delivered by the authority of another European Union Member State.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Innovative products that target an unmet medical need may be eligible for a number of expedited development and review programs in the European Union, such as The Priority Medicines scheme, which provides incentives similar to the breakthrough therapy designation in the U.S. Such products are generally eligible for accelerated assessment and may also benefit from different types of fast-track approvals, such as a conditional marketing authorization or a marketing authorization 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European Union also provides opportunities for market exclusivity. For example, in the European Union, upon receiving marketing authorization, new active substances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The overall ten-year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active substance, and products may not qualify for data exclusivity.</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Pediatric Investigation Plan (“PIP”) in the European Union is aimed at ensuring that the necessary data are obtained to support the authorization of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European Union pharmaceutical legislation is currently under review. On April 26, 2023, the European Commission published its proposal to revise the European Union pharmaceutical legislation, consisting of a new Directive and a new Regulation, which would revise and replace the existing general pharmaceutical legislation (Regulation 726/2004 and Directive 2001/83/EC) and the legislation on medicinal products for pediatric use and on orphan medicinal products (Regulation 1901/2006 and Regulation 141/2000/EC, respectively). Therefore, the provisions governing medicinal products in the European Union may change in the future. The legislative process is ongoing, and the final texts of the new acts are still unknown. Adoption is currently expected to occur in 2026, with implementation following thereafter.</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Medicines and Healthcare products Regulatory Agency (“MHRA”) is responsible for regulating the United Kingdom medicinal products market (Great Britain and Northern Ireland). The United Kingdom left the European Union on January 31, 2020, following which existing European Union medicinal product legislation continued to apply in the United Kingdom during the transition period under the terms of the EU-UK Withdrawal Agreement. A transition period, which ended on December 31, 2020, maintained the United Kingdom’s access to the European Union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(“TCA”) that became effective on January 1, 2021.</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the changes that have had a direct impact are that Great Britain (England, Scotland and Wales) is now treated as a “third country,” a country that is not a member of the European Union and whose citizens do not enjoy the European Union right to free movement. As a result of the Northern Ireland Protocol, different rules apply in Northern Ireland than in Great Britain. In general, Northern Ireland continues to follow the European Union regulatory regime, but its national medicines and medical devices authority remains the MHRA. Following the effectiveness of the Human Medicines (Amendment etc.) (EU Exit) Regulations 2019 on January 31, 2020, the United Kingdom regulatory regime for clinical trials, marketing authorizations, importing, exporting and pharmacovigilance largely mirrors that of the European Union. As part of the TCA, the European Union and the United Kingdom will recognize cGMP inspections carried out by the other party and the acceptance of official cGMP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As it relates to marketing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authorizations, Great Britain has introduced a separate regulatory submission process, approval process and a separate national marketing authorization. However, as of January 1, 2024, Great Britain implemented the international recognition procedure (the “IRP”) which provides for an expedited authorization procedure for applicants that have already received an authorization for the same product from one of MHRA’s specified reference regulators (each, an “RR”). A positive opinion from the CHMP is considered for this purpose as an “RR” authorization. The IRP allows the MHRA to take into account the expertise and decision-making of trusted regulatory partners, including the EMA. The MHRA will conduct a targeted assessment of IRP applications but retains the authority to reject applications. Northern Ireland continues to be covered by the marketing authorizations granted by the European Commission. However, the new Windsor Framework agreed to by the United Kingdom and European Union, effective as of January 1, 2025, brings new measures. Prior to January 1, 2025, marketing authorizations issued by the European Commission through the centralized procedure will continue to be applicable in Northern Ireland. Beginning on January 1, 2025, medicinal products intended for the United Kingdom market (including Northern Ireland) must be authorized by the MHRA and bear a clear “UK only” label.</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cGCP and the applicable regulatory requirements and the ethical principles that have their origin in the Declaration of Helsinki.</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obtaining and maintaining coverage and adequate reimbursement for our product candidates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 candidates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on the federal level by the Centers for Medicare &amp; Medicaid Services (“CMS”), an agency within HHS that administers the Medicare and Medicaid programs, and, on the state level, by state Medicaid programs. CMS and state Medicaid programs decide whether and to what extent products will be covered and reimbursed under Medicare and Medicaid, and private payors tend to follow Medicare and Medicaid to a substantial degree.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In addition, for products administered under the supervision of a physician, obtaining coverage and adequate reimbursement may be particularly difficult because of the higher prices often associated with such drugs.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U.S. and abroad to cap or reduce healthcare costs may cause such organizations to limit both coverage and the level of reimbursement for newly authorized or approved products and, as a result, they may not cover or provide adequate payment for our product candidates. In order to secure coverage and reimbursement for any product that might be authorized or approved for sale, we may need to conduct expensive pharmacoeconomic studies to demonstrate the medical necessity and cost-effectiveness of our product candidates, in addition to the costs required to obtain FDA or comparable regulatory approvals.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Coverage and adequate reimbursement may not be available with respect to the treatments in which our product candidates, if approved, are used under any foreign reimbursement system. In the European Union, each European Union Member State can restrict the range of medicinal products for which its national health insurance system provides reimbursement and can control the prices of medicinal products for human use marketed on its territory. As a result, following receipt of marketing authorization in a European Union Member State, through any application route, the applicant is required to engage in pricing discussions and negotiations with the relevant pricing authority in the individual European Union Member State. The governments of the European Union Member States influence the price of pharmaceutical products through their pricing and reimbursement rules and control of national healthcare systems that fund a large part of the cost of those products to consumers. Some European Union Member States operate positive and negative list systems under which products may only be marketed once a reimbursement price has been agreed upon.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medicinal products, but monitor and control company profits. Others adopt a system of reference pricing, basing the price or reimbursement level in their territories either on the pricing and reimbursement levels in other countries or on the pricing and reimbursement levels of medicinal products intended for the same therapeutic indication. Further, some European Union Member States approve a specific price for the medicinal product or may instead adopt a system of direct or indirect controls on the profitability of the company placing the medicinal on the market. The downward pressure on healthcare costs in general, particularly prescription drugs, has become more intense. As a result, increasingly high barriers are being erected to the entry of new products. In addition, we may face competition for our product candidates from lower-priced products in foreign countries that have placed price controls on pharmaceutical products. In addition, in some countries, cross-border imports from low-priced markets exert a commercial pressure on pricing within a country.</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Health Technology Assessment (“HTA”) of medicinal products is becoming an increasingly common part of the pricing and reimbursement procedures in some European Union Member States. These European Union Member States include France, Germany, Ireland, Italy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varies between European Union Member States.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pursuant to Directive 2011/24/EU on the application of patients’ rights in cross-border healthcare, a voluntary network of national authorities or bodies responsible for HTA in the individual European Union Member States was established. The purpose of the network is to facilitate and support the exchange of scientific information concerning HTAs. This may lead to harmonization of the criteria taken into account in the conduct of HTAs between European Union Member States and in pricing and reimbursement decisions and may negatively affect price in at least some European Union Member States.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31, 2018, the European Commission adopted a proposal for an HTA Regulation intended to set out a European Union-wide framework for HTA and boost cooperation among European Union Member States in assessing health technologies, including new medicinal products. The HTA Regulation provides the basis for permanent and sustainable cooperation at the European Union level for joint clinical assessments in these areas and is therefore complementary to Directive 2011/24/EU. The HTA Regulation was adopted on December 13, 2021, and entered into force on January 11, 2022. The HTA Regulation applies to all European Union Member States beginning on January 12, 2025. The HTA Regulation provides that European Union Member States will be able to use common HTA tools, methodologies, and procedures across the European Union. Individual European Union Member States will continue to be responsible for drawing conclusions on the overall value of new health technology for their healthcare system, and pricing and reimbursement decisions.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of our product candidates, if authorized or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68" w:lineRule="exact"/>
        <w:rPr>
          <w:sz w:val="20"/>
          <w:szCs w:val="20"/>
          <w:color w:val="auto"/>
        </w:rPr>
      </w:pPr>
    </w:p>
    <w:p>
      <w:pPr>
        <w:jc w:val="both"/>
        <w:ind w:left="1140" w:hanging="504"/>
        <w:spacing w:after="0" w:line="253"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to knowingly and willfully, directly or indirectly, solicit, receive, offer, or pay any remuneration that is in exchange for or to induce or reward the referral of an individual or the purchase, order, lease, or arranging for or recommending purchasing, leasing, or ordering any item or service for which payment may be made under a federal healthcare program, such as Medicare or Medicaid. The term “remuneration” has been broadly interpreted to include anything of value. This statute has been interpreted to apply to arrangements between pharmaceutical companies on one hand and prescribers, patients, purchasers, and formulary managers on the other.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Violations of this law may be punishable by up to ten years in prison, criminal fines, damages, administrative civil money penalties, and exclusion from participation in federal healthcare programs. Analogous anti-kickback laws and regulations exist in the European Union;</w:t>
      </w:r>
    </w:p>
    <w:p>
      <w:pPr>
        <w:spacing w:after="0" w:line="83" w:lineRule="exact"/>
        <w:rPr>
          <w:rFonts w:ascii="Times New Roman" w:cs="Times New Roman" w:eastAsia="Times New Roman" w:hAnsi="Times New Roman"/>
          <w:sz w:val="18"/>
          <w:szCs w:val="18"/>
          <w:color w:val="auto"/>
        </w:rPr>
      </w:pPr>
    </w:p>
    <w:p>
      <w:pPr>
        <w:jc w:val="both"/>
        <w:ind w:left="1140" w:hanging="504"/>
        <w:spacing w:after="0" w:line="254"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which prohibits, among other things, any person or entity from knowingly presenting, or causing to be presented, claims for payment of government funds, including Medicare and Medicaid, that are false or fraudulent, or knowingly making, using, or causing to be made or used, a false record or statement material to an obligation to pay or transmit money to the federal government, or knowingly concealing or improperly avoiding or decreasing an obligation to pay money to the federal government. Actions under the False Claims Act may be brought by the federal government or as a qui tam action by a private individual in the name of the government. Penalties for a False Claims Act violation may include three times the actual damages sustained by the government, plus significant civil penalties for each separate false or fraudulent claim, and the potential for exclusion from participation in federal healthcare programs.</w:t>
      </w:r>
    </w:p>
    <w:p>
      <w:pPr>
        <w:spacing w:after="0" w:line="83" w:lineRule="exact"/>
        <w:rPr>
          <w:rFonts w:ascii="Times New Roman" w:cs="Times New Roman" w:eastAsia="Times New Roman" w:hAnsi="Times New Roman"/>
          <w:sz w:val="18"/>
          <w:szCs w:val="18"/>
          <w:color w:val="auto"/>
        </w:rPr>
      </w:pPr>
    </w:p>
    <w:p>
      <w:pPr>
        <w:jc w:val="both"/>
        <w:ind w:left="1140" w:hanging="504"/>
        <w:spacing w:after="0" w:line="253"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European Union, the advertising and promotion of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European Union. Other applicable laws at the European Union level and in the individual European Union Member States also apply to the advertising and promotion of medicinal products, including laws that prohibit the direct-to-consumer advertising of prescription-only medicinal products and further limit or restrict the advertising and promotion of products to the general public and to health care professionals. Violations of the rules governing the promotion of medicinal products in the European Union could be penalized by administrative measures, fines and imprisonment;</w:t>
      </w:r>
    </w:p>
    <w:p>
      <w:pPr>
        <w:spacing w:after="0" w:line="86" w:lineRule="exact"/>
        <w:rPr>
          <w:rFonts w:ascii="Times New Roman" w:cs="Times New Roman" w:eastAsia="Times New Roman" w:hAnsi="Times New Roman"/>
          <w:sz w:val="18"/>
          <w:szCs w:val="18"/>
          <w:color w:val="auto"/>
        </w:rPr>
      </w:pPr>
    </w:p>
    <w:p>
      <w:pPr>
        <w:jc w:val="both"/>
        <w:ind w:left="1140" w:hanging="504"/>
        <w:spacing w:after="0" w:line="261"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 including those by private payors;</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53"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impose obligations on certain types of individuals and entities regarding the electronic exchange of information in common healthcare transactions, as well as standards relating to the privacy and security of individually identifiable health information. In the European Union, there has been increased attention to privacy and data security issues that could potentially affect our business, including the GDPR, which became effective on May 25, 2018. The GDPR regulates the processing of personal data and imposes strict obligations and restrictions on the ability to collect, analyze and transfer personal data from the European Union to the U.S., including health data from clinical trials. The GDPR confers a private right of action on data subjects and consumer associations to lodge complaints with supervisory authorities, seek judicial remedies, and obtain compensation for damages resulting from violations of the GDPR. Failure to comply with the requirements of GDPR may result in fines of up to 20,000,000 Euros or up to 4% of the total worldwide annual turnover of the preceding financial year, whichever is higher, and other administrative penalties;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both"/>
        <w:ind w:left="1140" w:hanging="504"/>
        <w:spacing w:after="0" w:line="258"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ownership and investment interests, or other transfers of value made to physicians (defined to include doctors, dentists, optometrists, podiatrists and chiropractors), other healthcare professionals (such as physician assistants and nurse practitioners) and teaching hospitals.</w:t>
      </w:r>
    </w:p>
    <w:p>
      <w:pPr>
        <w:spacing w:after="0" w:line="75" w:lineRule="exact"/>
        <w:rPr>
          <w:rFonts w:ascii="Times New Roman" w:cs="Times New Roman" w:eastAsia="Times New Roman" w:hAnsi="Times New Roman"/>
          <w:sz w:val="18"/>
          <w:szCs w:val="18"/>
          <w:color w:val="auto"/>
        </w:rPr>
      </w:pPr>
    </w:p>
    <w:p>
      <w:pPr>
        <w:jc w:val="both"/>
        <w:ind w:left="1140" w:hanging="504"/>
        <w:spacing w:after="0" w:line="254"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European Union,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European Union, is governed by the national anti-bribery laws of the European Union Member States, as described below. Violation of these laws could result in substantial fines and imprisonment. Certain European Union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European Union Member States. Failure to comply with these requirements could result in reputational risk, public reprimands, administrative penalties, fines or imprisonment; and</w:t>
      </w:r>
    </w:p>
    <w:p>
      <w:pPr>
        <w:spacing w:after="0" w:line="80"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Our business activities outside of the U.S. are subject to similar anti-bribery or anti-corruption laws, regulations, industry self-regulation codes of conduct and physicians’ codes of professional conduct or rules of other countries in which we operate, including the United Kingdom Bribery Act of 2010.</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authorized or approved products. While Medicare laws and regulations apply only to benefits for Medicare beneficiaries, private payors often follow Medicare coverage policy and payment limitations in setting their own reimbursement rates. Therefore, any reduction in Medicare reimbursement may result in a similar reduction in payments from private payors.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requirements for healthcare and health insurance industries, impose new taxes and fees on pharmaceutical manufacturers and impose additional health policy reforms. Among other things, the ACA expanded rebate liability for manufacturers that participate in the Medicaid Drug Rebate Program by increasing the minimum Medicaid rebate for both branded and generic drugs and biologics, expanded the 340B program, and revised the definition of average manufacturer price (“AMP”), which could increase the amount of Medicaid drug rebates manufacturers are required to pay to states. The legislation also extended Medicaid drug rebates for manufacturers participating in the Medicaid Drug Rebate Program,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The ACA also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ACA, as amended by the Bipartisan Budget Act of 2018, requires manufacturers participating in Part D to provide a 70% point-of-sale discount on the negotiated price of prescriptions filled by beneficiaries in the Medicare Part D coverage gap. The Inflation Reduction Act of 2022 (“IRA”) sunset the Part D coverage cap discount program and replaced it with a new Part D discounting program beginning in 2025.</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 regulations governing the ACA have been finalized. Since enactment, there have been significant efforts to modify or challenge the ACA. For example, the Tax Cuts and Jobs Act (the “Tax Act”), enacted on December 22, 2017, repealed the shared responsibility payment for individuals who fail to maintain minimum essential coverage under section 5000A of the Internal Revenue Code of 1986, as amended, commonly referred to as the individual mandate.</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passage of the ACA.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Sequestration is currently set at 2% and will increase to 2.25% for the first half of fiscal year 2030, to 3% for the second half of fiscal year 2030, and to 4% for the remainder of the sequestration period that lasts through the first six months of fiscal year 2031. The American Rescue Plan Act of 2021 eliminated the statutory Medicaid drug rebate cap, currently set at 100% of a drug’s AMP, for single-source and innovator multiple-source drugs, as of January 1, 2024. Additionally, the American Taxpayer Relief Act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IRA, among other things, establishes a Medicare Part B inflation rebate scheme, under which, generally speaking, manufacturers will owe rebates if a reportable average sales price of an eligible Part B rebatable drug, not including certain vaccines, increases faster than the pace of inflation. The IRA also establishes a Medicare Part D inflation rebate scheme, under which, generally speaking, manufacturers will owe rebates if a reported annualized AMP of an eligible Part D rebatable drug increases faster than the pace of inflation. Failure to timely pay a Part B or Part D inflation rebate for a product subject to these programs is subject to a civil monetary penalty. The IRA also creates a drug price negotiation program under which the prices for Medicare units of certain FDA approved or licensed high Medicare spend drugs and biologics without generic or biosimilar competition will be capped by reference to, among other things, a specified non-federal AMP, starting in 2026. Failure to comply with requirements under the drug price negotiation program is subject to an excise tax and/or a civil monetary penalty. The IRA further makes several changes to the Medicare Part D benefit, including a limit on annual out-of-pocket costs, and a change in manufacturer liability under the program for an applicable drug that could negatively affect the profitability of our product candidates. The IRA also prohibits Medicare Part D plans from imposing cost-sharing for certain vaccines that are recommended by the Advisory Committee on Immunization Practices. Congress continues to examine various policy proposals that may result in pressure on the prices of prescription drugs in the government health benefit programs. The IRA or other legislative change could impact the market conditions for our product candidates. Payment methodologies may be subject to changes in healthcare legislation and regulatory initiatives as well. For example, CMS may develop new payment and delivery models, such as bundled payment models.</w:t>
      </w:r>
    </w:p>
    <w:p>
      <w:pPr>
        <w:spacing w:after="0" w:line="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legislative and regulatory changes related to the aforementioned laws remain possible. It is unknown what form any other such changes or law would take and how or whether it may affect our business in the future. We expect that changes or additions to the ACA, IRA or their implementing regulations or guidance, changes to the Medicare and Medicaid programs, changes regarding the federal government’s authority to directly negotiate drug prices and changes stemming from other healthcare reform measures, especially with regard to healthcare access or financing or other legislation in individual states, could have a material adverse effect on the healthcare industry and our business.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has been heightened governmental scrutiny over the manner in which manufacturers set prices for their marketed products. Such scrutiny has resulted in several recent congressional inquiries, executive orders and proposed and enacted federal and state legislation and regulation designed to, among other things, bring more transparency to drug pricing, review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the relationship between pricing and manufacturer patient programs, reduce the cost of drugs under Medicare and reform government program reimbursement methodologies for pharmaceutical products. At the federal level,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2032 and it is uncertain if and how it will be implemented.</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Additionally, some individual states have begun establishing Prescription Drug Affordability Boards to review high-cost drugs and, in some cases, set upper payment limits.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governmental health benefit programs or commercial payors will pay for healthcare products and services, which could result in limited coverage and reimbursement and reduced demand for our products, once authorized or approved, or additional pricing pressures.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February 1, 2025, we had 99 full-time employees and one part-time employee. Of our 100 full- and part-time employees, approximately 18 have Ph.D. or M.D. degrees and 17 are engaged in research and development activities. We have a hybrid workforce, with approximately 40% of our employees based in Massachusetts, 6% based in California, 6% based in New Jersey, 4% based in North Carolina, and the remaining 44% in various additional states. None of our employees are represented by labor unions or covered by collective bargaining agreements. We consider our relationship with our employees to be strong.</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incentivizing and integrating our existing and new employees, advisors and consultants, and ensuring we have a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operate as a hybrid company with employees working at our corporate headquarters in Waltham, Massachusetts, our laboratory in Newton, Massachusetts and remotely.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rent office space in an office building in Waltham, Massachusetts for general and administrative purposes. We rent laboratory and office space in a shared laboratory building in Newton, Massachusetts for research and development purposes. We believe that our hybrid working approach is adequate to meet our ongoing needs, and that, if we require additional physical facilities, we will be able to obtain additional facilities on commercially reasonable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w:t>
      </w:r>
      <w:r>
        <w:rPr>
          <w:rFonts w:ascii="Times New Roman" w:cs="Times New Roman" w:eastAsia="Times New Roman" w:hAnsi="Times New Roman"/>
          <w:sz w:val="18"/>
          <w:szCs w:val="18"/>
          <w:b w:val="1"/>
          <w:bCs w:val="1"/>
          <w:i w:val="1"/>
          <w:iCs w:val="1"/>
          <w:color w:val="231F20"/>
        </w:rPr>
        <w:t>financial condition raises substantial doubt regarding our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Our consolidated financial statements have been prepared assuming that we will continue to operate as a going concern, which contemplates the realization of assets, and the satisfaction of liabilities and commitments in the ordinary course of business. Based on our current operating plans and excluding any contribution from future revenues or external financing, however, we believe that our existing cash and cash equivalents will not be sufficient to fund our operating expenses and capital expenditure requirements for more than one year from the issuance of the consolidated financial statements for the year ended December 31, 2024. As a result, we have determined that there is substantial doubt regarding our ability to continue as a going concern, and our independent registered public accounting firm has included in its audit opinion for the year ended December 31, 2024, an explanatory paragraph about such substantial doubt regarding our ability to continue as a going concern.</w:t>
      </w:r>
    </w:p>
    <w:p>
      <w:pPr>
        <w:spacing w:after="0" w:line="8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substantial doubt regarding our ability to continue as a going concern may adversely affect our stock price and our ability to raise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necessary to execute our current operating plans. If we are unable to obtain additional capital, we may not be able to continue our operations on the scope or scale as currently conducted, and that could have a material adverse effect on our business, results of operations, financial condition, and ability to operate as a going concern.</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are highly dependent on the commercial success of PEMGARDA for the foreseeable future. We may not achieve or maintain profitability.</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we may continue to incur significant expenses and operating losses for the foreseeable future. Our net losses were $169.9 million and $198.6 million for the years ended December 31, 2024 and 2023, respectively. As of December 31, 2024, we had an accumulated deficit of $902.0 million. Since our inception, we have financed our operations primarily with net proceeds from several public and private offerings of our capital stock. After receiving EUA in March 2024, we have also funded our operations from sales of PEMGARDA, but have no other products authorized or approved for commercialization.</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continue to incur significant expenses and operating losses. Our net losses may fluctuate significantly from quarter to quarter and year to year. Our expenses could increase substantially as we:</w:t>
      </w:r>
    </w:p>
    <w:p>
      <w:pPr>
        <w:spacing w:after="0" w:line="54" w:lineRule="exact"/>
        <w:rPr>
          <w:sz w:val="20"/>
          <w:szCs w:val="20"/>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PEMGARDA;</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VYD2311;</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new indications or patient populations;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authorizations or approvals and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our commercial-scale cGMP manufacturing processes, and manufacture material under cGMP at our contracted manufacturing facilities for clinical trials and potential commercial sales;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1140" w:right="2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execute our current business strategy and become and remain profitable is heavily dependent on the commercial success of PEMGARDA for the foreseeable future and our ability to develop and commercialize other product candidates that generate significant revenue. This will require us to be successful in a range of challenging activities on a timeline that keeps pace with viral evolution, including completing preclinical testing and clinical trials of our product candidates, validating manufacturing processes, obtaining regulatory authorization or approval, and manufacturing, distributing, marketing, and selling any products for which we obtain regulatory authorization or approval, as well as discovering and developing additional product candidates.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candidate development, we are unable to accurately predict the timing or amount of expenses or when, or if, we will be able to achieve profitability. 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authorizations or approvals, diversify our offerings or continue our operations. A decline in the value of our company could also cause you to lose all or part of your investment.</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limited experience with commercializing products, which may make it difficult for an investor to evaluate the success of our business to date and to assess our future viability.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We commenced operations in June 2020, and our operations to date have been largely focused on organizing and staffing, building an intellectual property portfolio, business planning, conducting research and development, establishing and executing arrangements with third parties for the manufacture of our product candidates, and capital raising. Our recent focus has been and will continue to be supporting the commercialization of PEMGARDA, advancing VYD2311 as our next generation mAb candidate for COVID-19, and establishing streamlined development pathways that could enable us to efficiently introduce new mAb candidates targeting SARS-CoV-2. To date, we have received regulatory authorization for only one product candidate, PEMGARDA, which received an EUA from the FDA in March 2024 for pre-exposure prophylaxis of COVID-19 in certain immunocompromised patients. It is uncertain as to if or when we may be successful in expanding the authorized use of PEMGARDA, if ever. Furthermore, it is uncertain as to if or when we may submit an application for regulatory authorization or approval for any other product candidate, and we may not be successful in receiving any such additional regulatory authorization or approval. Consequently, any predictions you make about our future success or viability may not be as accurate as they could be if we had a longer operating or commercial history.</w:t>
      </w:r>
    </w:p>
    <w:p>
      <w:pPr>
        <w:spacing w:after="0" w:line="8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factors.</w:t>
      </w:r>
    </w:p>
    <w:p>
      <w:pPr>
        <w:spacing w:after="0" w:line="5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If we are unable to secure additional funding when needed, we could be forced to curtail our planned operations and the pursuit of our growth strategy.</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although we received an EUA from the FDA for PEMGARDA in March 2024, we may continue to incur significant expenses and operating losses as we continue to develop our product candidate pipeline. Aside from any revenue generated from sales of PEMGARDA, additional revenue, if any, will be derived from sales of products that may not be commercially available for a number of years, if at all. Furthermore, even if we obtain regulatory authorization to expand the authorized use of PEMGARDA or if we obtain regulatory authorization or approval for another product candidate that we develop or otherwise acquire, we may incur significant commercialization expenses related to product sales, marketing, distribution and manufacturing. Accordingly, until such time, if ever, as we can generate substantial revenue from PEMGARDA or sales of any future authorized or approved product, we expect to finance our operations through a combination of equity offerings, government or private-party grants, debt financings or other capital sources, such as collaborations with other companies, strategic alliances or licensing arrangements.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$69.3 million. We plan to use our cash and cash equivalents to fund research and development, manufacturing supply and commercialization costs for our product candidates,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the development of additional programs in our pipeline and for working capital and other general corporate purposes. The timing and amount of our funding requirements will depend on many factors, including:</w:t>
      </w:r>
    </w:p>
    <w:p>
      <w:pPr>
        <w:spacing w:after="0" w:line="54" w:lineRule="exact"/>
        <w:rPr>
          <w:sz w:val="20"/>
          <w:szCs w:val="20"/>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 such as VYD2311;</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and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2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may require additional capital to achieve our business objectives. 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up to an aggregate amount of $75.0 million of our common stock, through Cantor, acting as sales agent. To date, we have sold 9,000,000 shares of our common stock under the Sales Agreement, resulting in net proceeds of $39.3 million. Funds additional to the proceeds we may raise under the Sales Agreement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higher inflation rates, changes in interest rates and the recent disruptions to and volatility in the credit and financial markets in the U.S. and worldwide. If we are unable to secure additional funding when needed, we could be forced to curtail our planned operations and the pursuit of our growth strategy.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sales of authorized or approved products, such as PEMGARDA, we expect to finance our operations through a combination of equity offerings, government or private-party grants, debt financings or other capital sources, such as collaborations with other companies, strategic alliances or licensing arrangements. We do not currently have any other committed external source of funds. To the extent that we raise additional capital through the sale of equity, including pursuant to our existing Sales Agreement with Cantor,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when needed, we may be required to delay, limit, reduce or terminate our product development or commercialization efforts or grant rights to develop and market product candidates that we would otherwise prefer to develop and market ourselves.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Newly emerging and future SARS-CoV-2 variants could reduce the activity and effectiveness of mAbs as a potential prevention of or treatment for symptomatic COVID-19, which may significantly and adversely affect our ability to complete our clinical trials and to obtain and maintain authorization or approval of, and commercialize our product candidates.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primary focus since inception has been the development of antibodies against COVID-19. Multiple variants of the virus that causes COVID-19 have been documented in the U.S. and globally, and newly emerging and future SARS-CoV-2 variants could reduce the activity and effectiveness of mAbs as a potential prevention of or treatment for symptomatic COVID-19, which may significantly and adversely affect our ability to complete our clinical trials and to obtain and maintain authorization or approval of, and commercialize our product candidates. For example, although preclinical studies showed that adintrevimab had the potential to broadly neutralize SARS-CoV-2 and the previously predominantly circulating variants, including Alpha, Beta, Delta, and Gamma,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to evaluate neutralizing activity of adintrevimab against the Omicron variant and its sublineages generated data showing reduced neutralizing activity of adintrevimab against the Omicron BA.1 and BA.1.1 sublineages compared to a reference strain and a lack of neutralizing activity against Omicron BA.2. As a result, we paused enrollment in adintrevimab’s Phase 2/3 trials in January 2022, which were subsequently closed, and we paused submission of an EUA request. While we intend to continue to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U.S. to identify a potential opportunity for an EUA request, we cannot be certain that adintrevimab will neutralize future variants and that we will submit an EUA for adintrevimab or whether an EUA will be granted if we do submit such request.</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PEMGARDA, which received an EUA from the FDA in March 2024, is an engineered version of adintrevimab, which we modified to improve binding to the Omicron variant and its sublineages. PEMGARDA is authorized for use only when the combined national frequency of variants with substantially reduced susceptibility to PEMGARDA is less than or equal to 90%. To date, PEMGARDA has demonstrated in vitro neutralizing activity against major SARS-CoV-2 variants, including JN.1, KP.3.1.1, XEC and LP.8.1. However, newly emerging and future SARS-CoV-2 variants could reduce the neutralizing activity and effectiveness of PEMGARDA. If this were to occur, the FDA may revise or revoke the EUA for PEMGARDA, which would adversely affect our commercial prospects, and our ability to generate revenues from PEMGARDA may be limited or lost.</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the SARS-CoV-2 virus evolves over time, we anticipate periodically introducing new mAb candidates. In January 2024, we nominated VYD2311, a mAb optimized for neutralization potency against SARS-CoV-2 lineages such as BA.2.86 and JN.1, as a drug candidate. Based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we believe such modifications may be able to enhance neutralization potency against current and future novel variants, but such efforts may not be successful against newly emerging or future variants, in order to support regulatory authorization or approval of VYD2311. Additionally, it is possible that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analyses may not be consistent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New SARS-CoV-2 variants could be less susceptible to such modifications and their mechanisms of action, or the results shown in preclinical studies may not be replicated in clinical trials. Additionally, it is possible that even if a product candidate showed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against the predominant SARS-CoV-2 variant at the initiation of a clinical trial, the predominant circulating variant may evolve and neutralizing activity of the candidate become reduced or negligible during the course of a clinical trial or at the time of our planned submission for regulatory authorization or approval. Further, we may not be able to address reductions in neutralization potency with adjustments to the dose or dosing frequency. This would significantly and adversely affect our ability to complete our clinical trials, obtain and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maintain authorization or approval of and commercialize VYD2311 or any future product candidates. In addition, if our planned dosing of a product candidate were to be increased in response to reduction in neutralizing activity against dominant circulating SARS-CoV-2 variants or for other reasons, it could impact drug supply and pricing, which could adversely affect our commercial prospects. Even if we obtain authorization or approval, such authorization or approval may be revised or revoked based on changes in circulating variants that reduce the neutralizing activity or effectiveness of our product candidates.</w:t>
      </w:r>
    </w:p>
    <w:p>
      <w:pPr>
        <w:spacing w:after="0" w:line="7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date, we have received regulatory authorization for only one product candidate, PEMGARDA. If we are unable to successfully develop, receive and maintain an EUA or regulatory approval for and commercialize our product candidates for the indications we seek, or successfully develop any other product candidates, or experience significant delays in doing so, our business will be harmed.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To date, we have received regulatory authorization for only one product candidate, PEMGARDA, which has not been approved, but has been authorized for emergency use by the FDA under an EUA only for pre-exposure prophylaxis of COVID-19 in certain adults and adolescent individuals (12 years of age and older weighing at least 40 kg). We currently have no other products approved or authorized for sale. In July 2024, we submitted a request to the FDA to expand the existing EUA for PEMGARDA to cover treatment of mild-to-moderate COVID-19 in certain immunocompromised patients, which request was denied by the FDA in February 2025. While we have submitted a response requesting that the FDA reconsider our EUA amendment request for treatment, we cannot be certain if or when the FDA may do so, or the outcome of any further engagement with the FDA regarding such request. Adintrevimab is an investigational mAb that we previously advanced into global Phase 2/3 trials for the prevention and treatment of COVID-19. We reported preliminary safety and efficacy data (pre-Omicron) for both trials in March 2022. However, based on feedback from the FDA regarding adintrevimab’s lack of neutralizing activity against the Omicron BA.2 variant, we paused the submission of an EUA request and we have closed such trials. Although we intend to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U.S. to identify a potential opportunity for an EUA request for adintrevimab in the event of a susceptible variant, we cannot be certain that adintrevimab will neutralize future variants and that we will submit an EUA for adintrevimab or whether an EUA will be granted if we do submit such request. In January 2024, we nominated VYD2311, a next generation mAb candidate for COVID-19, as a drug candidate, and in February 2025, we announced completion of recruitment in our Phase 1 clinical trial of VYD2311, as well as positive clinical data for both safety and pharmacokinetics; however, we cannot be certain of the future development, regulatory or commercialization timelines of such product candidate. Our ability to generate revenue from our future product candidates will depend heavily on successfully completing development, obtaining regulatory authorization or approval, obtaining manufacturing supply, capacity and expertise, and eventually commercializing our product candidates.</w:t>
      </w:r>
    </w:p>
    <w:p>
      <w:pPr>
        <w:spacing w:after="0" w:line="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success of PEMGARDA, VYD2311 or any other product candidates that we develop or otherwise may acquire will depend on many factors, including:</w:t>
      </w:r>
    </w:p>
    <w:p>
      <w:pPr>
        <w:spacing w:after="0" w:line="54" w:lineRule="exact"/>
        <w:rPr>
          <w:sz w:val="20"/>
          <w:szCs w:val="20"/>
          <w:color w:val="auto"/>
        </w:rPr>
      </w:pPr>
    </w:p>
    <w:p>
      <w:pPr>
        <w:jc w:val="both"/>
        <w:ind w:left="1140" w:hanging="504"/>
        <w:spacing w:after="0" w:line="261"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new or emerging SARS-CoV-2 variants and whether such SARS-CoV-2 variants reduce the neutralizing activity and effectiveness of PEMGARDA, VYD2311 or any other mAb candidates we may develop, and whether we are successful in timely identifying new mAb candidates that mitigate the risk of reduced neutralizing activity and effectiveness against future SARS-CoV-2 variants;</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need for therapies for the prevention and treatment of COVID-19, including as a result of the development of COVID-19 into an endemic disease, and the existence of any other available therapies that effectively prevent or treat COVID-19 in the populations targeted by our product candidates;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discovery, nonclinical,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work with the FDA or other regulatory authorities to establish streamlined development pathways that would allow us to efficiently periodically introduce new mAb candidates targeting SARS-CoV-2;</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align with the FDA or other regulatory authorities as to the design or implementation of our clinical trials, including the use of a correlate of protection (surrogate of clinical efficacy) in an immunobridging approach to a pivotal clinical trial;</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1"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align with the FDA or other regulatory authorities on the data required to support the regulatory authorization or approvals that we seek for our product candidates, particularly in light of the FDA’s discretion with respect to EUAs in the U.S. in making its determination about whether, based on the totality of scientific evidence available, the known and potential benefits of a product candidate outweigh the known and potential risks;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financial and other resources to complete the necessary nonclinical studies and clinical trials, manufacture our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for clinical and commercial supply of our product candidates, and to successfully develop, obtain regulatory authorization or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discovery and development of any additional product candidates we identify in-house or acquire through collaborations;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and the scope and duration of any emergency use authorization received, such as the EUA for PEMGARDA;</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sales, marketing and distribution capabilities and commercializing products, if authorized or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required state licenses for distribution of our products, if authorized or approved, or other distribution disruptions;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authorized or approved, by patients, the medical community and third-party payors, for their authorized or approved indications;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that we develop;</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authorized or approved, and the extent to which patients are willing to pay out-of-pocket for such products, in the absence of such coverage or reimbursement;</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cGCP, cGLP, and cGMP, and to comply effectively with other rules, regulations and procedures applicable to the development and sale of pharmaceutical products;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products following any authorization or approval;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PEMGARDA or any other product candidates that we develop or otherwise may acquire, which would materially harm our business. If we do not maintain regulatory authorization for PEMGARDA or receive and maintain regulatory authorization or approval for any future product candidates we develop or otherwise may acquire, we may not be able to continue our operations.</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product candidates represent novel approaches to the prevention and/or treatment of a relatively new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product candidates. Other small and large companies may be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for the prevention and/or treatment of COVID-19. The success or failure of other companies, or perceived success or failure, may impact our ability to obtain future funding or to successfully commercialize our product candidates for COVID-19 prevention and/or treatment.</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the date of this report, no mAb has been approved in the U.S. for prevention (pre- or post-exposure) or treatment of COVID-19. Other than the EUA for PEMGARDA issued by the FDA in March 2024, the FDA previously issued an EUA for tixagevimab/cilgavimab for pre-exposure prophylaxis of COVID-19, in addition to EUAs for casirivimab/imdevimab and bamlanivimab/etesevimab for post-exposure prophylaxis of COVID-19 in certain individuals. In addition, four mAb products, casirivimab/imdevimab, bamlanivimab/etesevimab, sotrovimab, and bebtelovimab received an EUA from the FDA for the treatment of COVID-19 in patients at high risk of disease progression. However, the clinical utility of these products has varied over time due to the emergence of SARS-CoV-2 variants demonstrating partial or full resistance to neutralization and at this time none of these products, other than PEMGARDA, are authorized for use in prevention or treatment of COVID-19 in the U.S. due to loss of activity as new variants emerged.</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the use of mAbs is a relatively new and expanding area of novel therapeutic interventions, there are many uncertainties related to development, marketing, reimbursement and the commercial potential for our product candidates. In pursuing, and eventually obtaining, an EUA for PEMGARDA in the U.S., we aligned with the FDA on a primary efficacy analysis for our CANOPY Phase 3 pivotal clinical trial that used a correlate of protection (surrogate of clinical efficacy) in an immunobridging approach comparing data obtained in the CANOPY clinical trial to certain historical data from our previous Phase 2/3 clinical trial of adintrevimab for the prevention of COVID-19 (EVADE). Based on FDA feedback, the use of a correlate of protection in an immunobridging approach to a pivotal EUA-directed clinical trial may be a reasonable approach for a new mAb candidate when clinical trial data from a “prototype” mAb is available and the new mAb candidate satisfies certain criteria. We continue to engage with the FDA with the aim of establishing expedited and replicable pathways for the authorization or approval of new SARS-CoV-2 mAbs. We expect that these discussions with the FDA will continue as we advance VYD2311, our next generation mAb candidate for COVID-19. However, there can be no assurance of the outcome of these discussions, that VYD2311 or any future product candidates will meet the necessary criteria to leverage the same criteria that supported the PEMGARDA EUA or as to the length of the clinical trials, the number of patients the FDA or other comparable foreign regulatory authorities will require to be enrolled in the clinical trials, or that the design of or data generated in the clinical trials will be acceptable to the FDA or other comparable foreign regulatory authorities to support EUA authorization or BLA approval, or similar authorization or approvals outside of the U.S.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or other comparable foreign regulatory authorities may take longer than usual to come to a decision on any request for authorization or approval that we submit and may ultimately determine that there is insufficient data, information or experience with our product candidates to support an authorization or approval decision. For example, in July 2024, we submitted a request to the FDA to expand the existing EUA for PEMGARDA to cover treatment of mild-to-moderate COVID-19 in certain immunocompromised patients, and thereafter we provided the FDA with updates as the SARS-CoV-2 virus evolved and we generated data for new variants as part of our ongoing industrial virology effort. The EUA process in the U.S. does not rely on a statutory timeline such as the timelines embedded into PDUFA-based regulatory actions such as a BLA approval process, and the FDA has discretion with respect to EUAs in making its determination about whether, based on the totality of scientific evidence available, the known and potential benefits of a product candidate outweigh the known and potential risks. In February 2025, the FDA declined our EUA amendment request. While we have submitted a response requesting that the FDA reconsider our EUA amendment request for treatment, we cannot be certain if or when the FDA may do so, or the outcome of any further engagement with the FDA regarding such request.</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or other comparable foreign regulatory authorities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largely upon our ability to develop and periodically introduce new mAbs that can broadly neutralize SARS-CoV-2, SARS-CoV and additional pre-emergent coronaviruses. Beyond PEMGARDA, which is currently authorized only for pre-exposure prophylaxis of COVID-19 in certain immunocompromised patients, we may fail to deliver future mAbs that effectively prevent or treat symptomatic COVID-19. Even if we are able to identify and develop such mAbs, we cannot ensure that such product candidates will achieve regulatory authorization or approval, or achieve commercial success, even if authorized or approved.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uncover any previously unknown risks related to our mAbs, or if we experience unanticipated expenses, problems or delays in developing our product candidates, we may be unable to achieve our strategy to continuously discover and engineer new candidates that can be leveraged to keep pace with viral evolution. Further, competitors who are developing products with similar technology may experience problems with their products that could identify problems that would potentially harm our business.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healthcare practitioners or patients or that governmental agencies or third-party medical insurers will be willing to provide reimbursement coverage for our product candidates. Since our product candidates represent novel approaches to treating various conditions, it may be difficult, in any event, to accurately estimate the potential revenues from these product candidates. Accordingly, we may spend significant capital trying to obtain regulatory authorization or approval for product candidates that have an uncertain commercial market. The market for any products that we successfully develop will also depend on the product profile, including the route of administration, and cost of the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produce durable, broadly neutralizing, effective or safe mAbs in an adequate time period to address a changing virus. If we are unable to timely identify, develop, obtain and maintain authorization or approval for, and commercialize mAbs in a manner that keeps pace with viral evolution, our business prospects will be significantly harmed.</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PEMGARDA is the first mAb in our pipeline to receive regulatory authorization. We anticipate leveraging our integrated technology platform to periodically introduce new mAb candidates. Our platform is designed to produce new mAb candidates that provide broad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against past and current VoCs and their sublineages. However, we may not be successful in developing product candidates, or developing product candidates in an adequate time period, to target a changing virus. If we do develop product candidates, they may not be durable enough to increase the probability of providing a longer period of protection than other antibody solutions or be high-functioning and long-lasting with a high barrier to viral escape. If we are unable to timely identify, develop, obtain and maintain authorization or approval for, and commercialize mAbs in a manner that keeps pace with viral evolution, our business prospects will be significantly harmed.</w:t>
      </w:r>
    </w:p>
    <w:p>
      <w:pPr>
        <w:spacing w:after="0" w:line="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and maintain required regulatory authorizations or approvals, we will not be able to successfully commercialize our product candidates, and our ability to generate product revenue will be adversely affected.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received regulatory authorization for only one product candidate, PEMGARDA, which has not been approved, but has been authorized for emergency use by the FDA under an EUA only for pre-exposure prophylaxis of COVID-19 in certain immunocompromised patients. VYD2311 is in Phase 1 clinical development. All of our other product candidates, other than adintrevimab, are in preclinical development and their risk of failure is high. The clinical trials and manufacturing of our product candidates are, and the manufacturing and marketing of our products, if authorized or approved, will be, subject to extensive and rigorous review and regulation by numerous government authorities in the U.S. and in other countries where we may test and market our product candidates. Before obtaining regulatory authorization to commercialize any of our product candidates, we must demonstrate through complex and expensive preclinical testing and clinical trials certain efficacy and safety requirements of the applicable regulatory agencies. For regulatory approval, we must demonstrate that our product candidates are both safe and effective for use in each target indication, typically requiring lengthy, large, well-controlled clinical studies.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and depends upon numerous factors, including the substantial discretion of the regulatory authorities. In addition, authorization or approval policies, regulations or the type and amount of clinical data necessary to gain authorization or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and we could encounter problems that cause us to abandon or repeat clinical trials. Even if our future clinical trials are completed as planned, we cannot be certain that their results will support the safety and effectiveness of our product candidates for their targeted indications or support continued clinical development of such product candidates. Our current or future clinical trial results may not be successful.</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authorization or approval. Moreover, results acceptable to support authorization or approval in one jurisdiction may be deemed inadequate by another regulatory authority to support authorization or approval in that other jurisdiction. To the extent that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results of our trials are not satisfactory to the FDA or foreign regulatory authorities for support of an authorization or approval, we may be required to expend significant resources, which may not be available to us, to conduct additional preclinical studies or trials for our product candidates either prior to or post-authorization or approval, or they may object to elements of our clinical development program, requiring their alteration.</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authorization for emergency use or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authorize or approve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authorization or approval would delay or prevent commercialization of that product candidate and adversely impact our business and prospects.</w:t>
      </w:r>
    </w:p>
    <w:p>
      <w:pPr>
        <w:spacing w:after="0" w:line="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experience delays in beginning or conducting clinical trials or numerous unforeseen events before, during or as a result of clinical trials that could delay or prevent our ability to complete clinical trials, receive regulatory authorization or approval or commercialize our product candidates.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and may again in the future experience delays in conducting clinical trials, and we do not know whether our clinical trials will begin on time, need to be redesigned, recruit and enroll patients on time or be completed on schedule, or at all. We may experience numerous unforeseen events before, during or after the conduct of our clinical trials that could delay or prevent our ability to complete such trials or receive regulatory authorization or approval for or commercialize our product candidates, or that could significantly increase the cost of such trials, including:</w:t>
      </w:r>
    </w:p>
    <w:p>
      <w:pPr>
        <w:spacing w:after="0" w:line="70"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or other regulatory authorities as to the design or implementation of our clinical trials, including the use of a correlate of protection (surrogate of clinical efficacy) in an immunobridging approach to a pivotal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reaching an agreement on acceptable terms with clinical trial sites or prospective CROs,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IRB approval or Ethics Committees opinions at each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from inspections of clinical trial sites or operations by applicable regulatory authorities, or the imposition of a clinical hold;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 including as a result of changing standards of care or the ineligibility of a site to participate;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the FDA’s regulations and cGCP requirements, or applicable regulatory requirements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SARS-CoV-2 variants during the course of a clinical trial may adversely impact the neutralizing activity of our product candidates and our ability to complete the trial if the potential benefits are no longer determined to outweigh the potential risks of any such product candidate as a result of reduced neutralizing activity against circulating SARS-CoV-2 variants;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and/or successfully contract with a sufficient number of clinical trial sites;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for use in clinical trials, including as a result of supply chain challenges or otherwise;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or Ethics Committees at the institutions where such trials are being conducted, by the independent Data Monitoring Committee for such trial or by the FDA or other regulatory authorities due to a number of factors, including those described above;</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feedback from regulatory authorities that requires us to modify the design or conduct of our clinical trials;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especially if regulatory bodies require the completion of non-inferiority or superiority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clinical trials may be impacted by the emergence of variants and rate of infection prevalence in the relevant communities, which can change once a trial is initiated;</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SARS-CoV-2 variants during the course of a clinical trial may impact the prevalent variant of infection for patients at one or more sites and adversely impact enrollment potential;</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screen failure rate for clinical trials of our product candidates may be higher than we anticipate, requiring us to screen larger numbers of patients than originally planned;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modify a trial protocol;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dosing issues;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data during clinical trials;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of the indication being studied;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our STAMP trial (evaluating adintrevimab for the treatment of COVID-19) at sites outside of the U.S.;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a trial and the authorization or approval of our products;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authorizing or approving our product candidates, or such requirements may not be as we anticipate; and</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47" w:name="page48"/>
    <w:bookmarkEnd w:id="4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or unsuccessful in obtaining authorization or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authorization or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authorization or approval with labeling that includes significant use or distribution restrictions or safety warnings, including boxed warnings (such as for PEMGARDA) or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authorization or approval of the product or impose restrictions on its distribution after obtaining authorization or approval.</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the FDA, other regulatory authorities outside the U.S. or an IRB or Ethics Committees may suspend a clinical trial at any time for various reasons, including if it appears that the clinical trial is exposing participants to unacceptable health risks, including, for example, because the predominant SARS-CoV-2 variant in the country or clinical trial site is not susceptible to our product candidate, or if the FDA or other regulatory authorities outside the U.S. find deficiencies in our IND or similar application outside the U.S.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authorization or approval process, and jeopardize our ability to commence product sales and generate revenues.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All of our product candidates will require extensive clinical testing before we would be in a position to submit a BLA to the FDA or MAA to the EMA for regulatory approval. We cannot predict with any certainty if or when we might complete the clinical development for our product candidates and submit a BLA or MAA for regulatory approval of any of our product candidates, if at all,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authorization or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authorization or approval of our product candidates.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health emergency in the U.S. declared under the FDCA permitting the FDA to authorize drugs and biologics for emergency use during the COVID-19 pandemic will continue to be in place for an extended period of time and that the product candidates we are developing for COVID-19 could be granted an EUA by the FDA or similar authorization by regulatory authorities outside of the U.S. if we decide to apply for such an authorization. If we do not apply for such an authorization or, if we do apply and no authorization is granted or, if once granted, such as the EUA for PEMGARDA, it is terminated or revoked, we will be unable to sell our product candidates in the near future and instead, would need to pursue the traditional regulatory approval processes of the FDA or comparable foreign authorities, which are lengthy, time consuming and inherently unpredictable, and which we may determine not to pursue. If we are not able to obtain or maintain regulatory authorization or approval for our product candidates, our business will be substantially harmed. We also cannot guarantee how long it will take regulatory agencies to review our EUA requests, if submitted, for our product candidates.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PEMGARDA is our first and only product candidate that has received regulatory authorization. PEMGARDA is not approved, but has been authorized for emergency use by the FDA under an EUA only for pre-exposure prophylaxis of COVID-19 in certain immunocompromised patients. We may seek an EUA for future product candidates and may seek similar authorization from regulatory authorities outside of the U.S., such as conditional marketing authorization from the European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Commission. If we apply for an EUA from the FDA and it is granted, such as the EUA for PEMGARDA, such EUA will authorize us to market and sell our COVID-19 mAb in the U.S. under certain conditions of authorization as long as a public health emergency declared under the FDCA exists. The FDA may issue an EUA during a public health emergency declared under the FDCA if the agency determines that the known and potential benefits of a product outweigh the known and potential risks and if other regulatory criteria are met.</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Although we received an EUA from the FDA for PEMGARDA, there is no guarantee that we will apply for an EUA or similar authorization for adintrevimab, VYD2311 or any other product candidates or, if we do apply, that we will be able to obtain an EUA or such similar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Additionally, the FDA may terminate an EUA if safety issues or other concerns about our product, such as loss of neutralizing activity against dominant circulating SARS-CoV-2 variants, arise or if we fail to comply with the conditions of authorization. The FDA has expected that companies that receive an EUA for COVID-19 antibodies will pursue licensure of their products under a BLA. Unless streamlined development pathways are established and/or expedited regulatory review and approval approaches are available, we may not pursue a BLA for our product candidates for COVID-19 given the evolving SARS-CoV-2 variants, and if we determine not to pursue a BLA, this may adversely affect our ability to obtain or maintain an EUA in the U.S.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emergency use of drugs and biological products during the COVID-19 pandemic, subject to the terms of any authorization issued by the FDA. The EUA for PEMGARDA was issued under this declaration. The Secretary of HHS may terminate this EUA declaration at any time. If the Secretary of HHS terminates an EUA declaration under the FDCA, then any EUAs issued based on that declaration will cease to be in effect, and FDA may no longer issue EUAs for products covered by that declaration. Accordingly, even if we apply and obtain an EUA from the FDA, such as the EUA for PEMGARDA, there is no guarantee of the duration for which we would be able to maintain it.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apply for an EUA or similar authorization from regulatory authorities outside of the U.S., the failure to obtain such authorization or the termination of such an authorization, if obtained, would adversely impact our ability to market and sell our product candidate,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authorization or approval policies, regulations, and the type and amount of clinical data necessary to gain authorization or approval may change during the course of a product candidate’s clinical development and may vary among jurisdictions. Other than the EUA for PEMGARDA in the U.S. for pre-exposure prophylaxis of COVID-19 in certain immunocompromised patients, we have not obtained regulatory authorization or approval for any other product candidate, and it is possible that we may never be successful in expanding the authorized use of PEMGARDA or obtain regulatory authorization or approval for any other product candidates in the future. Neither we nor any current or future collaborator is permitted to market any drug product candidates in the U.S. until we receive regulatory authorization with an EUA or approval of a BLA from the FDA, and we cannot market it in the European Union until we receive marketing authorization from the European Commission, or other required regulatory authorization or approval in other countries.</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 existing EUA, such as the EUA for PEMGARDA, or similar authorization from regulatory authorities outside of the U.S. is revised or revoked, we would be unable to sell our product candidate in the near future and instead, we would need to pursue the traditional regulatory approval processes of the FDA or comparable foreign regulatory authorities.</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decide to pursue a BLA pathway (or the equivalent thereof in foreign jurisdictions) for full marketing approval of our product candidates. Prior to obtaining approval pursuant to a traditional regulatory approval process to commercialize any drug product candidate in the U.S. or abroad, we must demonstrate with substantial evidence from well-controlled clinical trials, and to the satisfaction of the FDA or foreign regulatory agencies, that such product candidate is safe, pure and effective for its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collect sufficient data from clinical trials of our product candidates to support the submission and filing of a BLA with the FDA, MAA with the EMA or other submission;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bioresearch monitoring, FDA inspection or comparable foreign regulatory authorities’ inspection;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an FDA or comparable foreign regulatory authorities’ inspection of our third-party contract manufacturing or testing facilities for which we contract and test clinical and commercial supplies;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align with the FDA (or other regulatory authorities outside of the U.S.) on such a pathway beyond the EUA (or similar conditional marketing authorization outside of the U.S.) for our product candidates or, even if we align, if we fail to receive such full regulatory approval, our business may face challenges in achieving long-term market penetration.</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 and other regulatory authorities may change their policies, issue additional regulations or revise existing regulations, or take other actions, which may prevent or delay authorization or approval of our future products under development on a timely basis. Such policy or regulatory changes could impose additional requirements upon us that could delay our ability to obtain, increase the costs of compliance or restrict our ability to maintain any regulatory authorizations or approvals we may have obtained. Further, evolving or changing plans or priorities at the FDA or other regulatory bodies, including based on regulatory policy changes, such as those at U.S. agencies such as HHS, FDA, and the U.S. Centers for Disease Control due to the change in U.S. presidential administration in January 2025, may significantly impact our ability to obtain or maintain an EUA, including our EUA for PEMGARDA.</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clinical trials will be successful, nor does it predict final results. For example, we may be unable to identify suitable animal disease models for our product candidates, which could delay or frustrate our ability to proceed into clinical trials or obtain regulatory authorization or approval. Our product candidates may fail to show the desired safety and efficacy in clinical development despite having progressed through preclinical studies and initial clinical trials.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authorization or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interim, top-line, initial or preliminary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any top-line results that we report may differ from future results of the same studies, or different conclusions or considerations may qualify such results once additional data have been received and fully evaluated.</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 from actual results, or if others, including regulatory authorities, disagree with the conclusions reached, our ability to obtain authorization or approval for, and commercialize, our product candidates may be harmed, which could significantly harm our business prospects.</w:t>
      </w:r>
    </w:p>
    <w:p>
      <w:pPr>
        <w:spacing w:after="0" w:line="6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authorization or approval of our product candidates, limit their commercialization, increase our costs or necessitate the abandonment or limitation of the development of some of our product candidates.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obtain the requisite regulatory authorizations or approvals to commercialize our product candidates, we must demonstrate through lengthy, complex and expensive preclinical testing and clinical trials that our product candidates are safe, pure and potent for use in each target indication for obtaining product approval, or meet the clinical or surrogate efficacy and the safety primary endpoints of the pivotal clinical trial(s) for an EUA (in addition to other regulatory requirements) towards obtaining an EUA.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 We may fail to demonstrate with substantial evidence from adequate and well-controlled trials, and to the satisfaction of the FDA or comparable foreign regulatory authorities, that our product candidates are safe and effective for their intended uses or otherwise meet requirements for an EUA.</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authorized or approved. Some side effects may not be appropriately recognized or managed by the treating medical staff, such as anaphylaxis that has been seen in the class of mAbs of which ADG20 (adintrevimab) and PEMGARDA are a part, and toxicities resulting from mAb therapy targeting an exogenous target, as with our product candidates, which can be nonspecific. Anaphylaxis has been observed with PEMGARDA.</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If we cannot demonstrate that any adverse events were not caused by the drug, the FDA or foreign regulatory authorities could order us to cease further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development of, or deny approval of, our product candidates for any or all targeted indications, or require that we conduct additional animal or human studies regarding the safety and efficacy of our product candidates that we have not planned or anticipated. Side effects may also lead regulatory authorities to require stronger product warnings on the product label including boxed warnings or warnings and precautions, costly post-marketing studies, and/or a REMS, among other possible requirements. For example, PEMGARDA has been authorized with a boxed warning for anaphylaxis, which could impede our ability to successfully market and commercialize PEMGARDA and our ability to compete successfully against our competitors.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findings could further result in regulatory authorities failing to provide authorization or approval for our product candidates or limiting the scope of the authorized or approved indication, if authorized or approved. Many product candidates that initially showed promise in early-stage testing have later been found to cause side effects that prevented further development of the product candidate. Even if we are able to demonstrate that any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authorization or approval, and we or others identify undesirable side effects caused by such products, a number of potentially significant negative consequences could result, including:</w:t>
      </w:r>
    </w:p>
    <w:p>
      <w:pPr>
        <w:spacing w:after="0" w:line="54" w:lineRule="exact"/>
        <w:rPr>
          <w:sz w:val="20"/>
          <w:szCs w:val="20"/>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authorizations or approvals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the boxed warning for PEMGARDA for anaphylaxis;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authorized or approved, and could significantly harm our business, results of operations and prospects.</w:t>
      </w:r>
    </w:p>
    <w:p>
      <w:pPr>
        <w:spacing w:after="0" w:line="6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awareness or negative public opinion of mAb therapies and increased regulatory scrutiny of mAb therapies to prevent or treat COVID-19 may adversely impact the development or commercial success of our product candidates.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clinical and commercial success of our mAb therapies for COVID-19 will depend in part on public acceptance of the use of mAb therapies to prevent or treat COVID-19. Any adverse public attitudes about the use of mAb therapies may adversely impact our ability to enroll clinical trials or successfully commercialize any of our mAb therapies that are authorized or approved.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 Additionally, our success may be impacted by overall evolving dynamics in the commercial market for COVID-19 therapeutics, such as greater seasonality of demand, particularly as COVID-19 has developed into an endemic disease.</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may have a negative effect on our business or financial condition and may delay or impair the development and commercialization of our product candidates or demand for any products that are authorized or approved. Adverse events in our or others’ clinical trials, even if not ultimately attributable to our product candidates, and the resulting publicity could result in increased governmental regulation, unfavorable public perception, potential regulatory delays in the authorization or approval of our product candidates, stricter labeling requirements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for those product candidates that are authorized or approved or a decrease in demand for any such product candidates, all of which would have a negative impact on our business and operations.</w:t>
      </w:r>
    </w:p>
    <w:p>
      <w:pPr>
        <w:spacing w:after="0" w:line="5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authorizations or approvals.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examining the neutralizing activity of adintrevimab against the Omicron SARS-CoV-2 BA.1 variant in both authentic and pseudovirus assays, in January 2022 we paused enrollment of new patients in both our EVADE (evaluating adintrevimab for the prevention of COVID-19) and STAMP (evaluating adintrevimab for the treatment of COVID-19) clinical trials to assess dosing strategy and revise our trial protocols in light of the global spread of the Omicron variant and its sublineages; we reported preliminary safety and efficacy data from both trials in March 2022, but as a result of the lack of neutralizing activity against the Omicron BA.2 variant, we paused the submission of an EUA request, and we have closed such trials. Trials may also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84" w:lineRule="exact"/>
        <w:rPr>
          <w:sz w:val="20"/>
          <w:szCs w:val="20"/>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difficulty of diagnosing the disease under investigation;</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infection prevalence may have on enrollment, as well as the emergence and evolution of SARS-CoV-2 variants, which may impact the prevalent variant of infection for patients at one or more clinical trial sites and adversely impact enrollment potential;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 including but not limited to the use of a placebo control or active comparator;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mAb and/or vaccine approaches;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 for the disease or condition under investigation;</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subject consents;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a public health crisis, such as the COVID-19 pandemic, including difficulties in initiating clinical sites, enrolling and retaining participants, diversion of healthcare resources away from clinical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left="1140"/>
        <w:spacing w:after="0" w:line="282" w:lineRule="auto"/>
        <w:rPr>
          <w:sz w:val="20"/>
          <w:szCs w:val="20"/>
          <w:color w:val="auto"/>
        </w:rPr>
      </w:pPr>
      <w:r>
        <w:rPr>
          <w:rFonts w:ascii="Times New Roman" w:cs="Times New Roman" w:eastAsia="Times New Roman" w:hAnsi="Times New Roman"/>
          <w:sz w:val="18"/>
          <w:szCs w:val="18"/>
          <w:color w:val="auto"/>
        </w:rPr>
        <w:t>trials, vaccine mandate policies, travel or quarantine policies that may be implemented, our ability to import and export clinical trial supplies, raw materials and commercial supply and other factors;</w:t>
      </w:r>
    </w:p>
    <w:p>
      <w:pPr>
        <w:spacing w:after="0" w:line="54" w:lineRule="exact"/>
        <w:rPr>
          <w:sz w:val="20"/>
          <w:szCs w:val="20"/>
          <w:color w:val="auto"/>
        </w:rPr>
      </w:pPr>
    </w:p>
    <w:p>
      <w:pPr>
        <w:ind w:left="1140" w:hanging="50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subjects enrolled in our clinical trials will drop out of the trials before completion;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inability to enroll, or maintain the enrollment of, a sufficient number of patients for clinical trials would result in significant delays and could require us to abandon one or more clinical trials altogether. Enrollment pauses or delays in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71"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a fast track designation or a breakthrough therapy designation in the U.S. or the equivalent thereof in foreign jurisdictions (where available) for any product candidate may not lead to a faster development or regulatory review or approval process, and it does not increase the likelihood that the product candidate will receive full marketing approval.</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has established various expedited drug development programs to facilitate more rapid and efficient development, review and approval of certain types of drugs. Such programs include accelerated approval, fast track designation and breakthrough therapy designation. The FDA has broad discretion on whether or not to admit a drug candidate for these programs, so even if we believe a particular product candidate is eligible for an expedited drug development program, we cannot be sure that the FDA would agree. Even if any of our product candidates is admitted to any of the expedited drug development programs, we may not experience a faster development process, review or approval compared to conventional FDA timelines, and the FDA may still ultimately decide to not grant full marketing approval to such product candidates.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example, we may, in the future, pursue accelerated approval, if we pursue a BLA, or the equivalent thereof in foreign jurisdictions (where available), for our product candidates. The FDA may grant accelerated approval to a product candidate for a serious or life-threatening condition that provides meaningful therapeutic advantage to patients over existing treatments based upon a determination that the product candidate has an effect on a surrogate endpoint that is reasonably likely to predict clinical benefit. The FDA may also grant accelerated approval for such a condition when the product candidate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As a condition of a grant of accelerated approval, the FDA may require that the sponsor perform one or more controlled post-marketing clinical trials. Accelerated approval of a product candidate may be withdrawn if these trials fails to verify clinical benefit or do not demonstrate sufficient clinical benefit to justify the risks associated with the product candidate (e.g., shows a significantly smaller magnitude or duration of benefit than was anticipated based on the observed effect on the surrogate).</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in the future, pursue fast track designation in the U.S., or the equivalent thereof in foreign jurisdictions (where available), which is designed to facilitate the development and expedite the review of therapies for serious conditions that fill an unmet medical need. A product candidate with a fast track designation may benefit from early and frequent communications with the FDA, be eligible for priority review and has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associated with the fast track program. Fast track designation alone does not guarantee qualification for the FDA’s priority review procedures.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apply for breakthrough therapy designation in the U.S., if we pursue a BLA,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Product candidates designated as breakthrough therapies by the FDA are also eligible for priority review if supported by clinical data at the time of the submission of the BLA.</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Granting accelerated approval, fast track designation or breakthrough therapy designation is within the discretion of the FDA. Accordingly, even if we determine to pursue a BLA and we believe that one of our product candidates meets the criteria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for accelerated approval, fast track designation or breakthrough therapy designation, the FDA may disagree and instead determine not to grant such designation. Even if one or more of our product candidates receives conditional approval via the accelerated approval pathway, the FDA may later decide that the product candidate no longer meets the qualifying criteria for such approval, or it may decide that the confirmatory trial(s) failed to verify the clinical benefit or demonstrate sufficient clinical benefit to justify the risks associated with the product candidate, and the FDA may withdraw its conditional approval and/or refuse to grant full approval. Furthermore, the receipt of a fast track designation or breakthrough therapy designation for a product candidate may not result in a faster development process, review or full approval compared to product candidates considered for approval under conventional FDA procedures or the traditional FDA approval pathway, and such designations would not assure ultimate approval by the FDA. In addition, even if one or more of our product candidates qualify for fast track designation or breakthrough therapy designation, the FDA may later decide that the product candidate no longer meets the conditions for qualification, or it may otherwise not shorten the application review period.</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our current mission is focused on antibody-based therapies that protect vulnerable people from the consequences of viral threats, beginning with SARS-CoV-2, and we have committed a significant portion of our financial and personnel resources to the manufacturing and commercialization of PEMGARDA, which received an EUA from the FDA in March 2024, and the development of VYD2311, our next generation mAb candidate for COVID-19. Our business could be negatively impacted by our allocation of significant resources to a global health threat that is unpredictable and could change, dissipate or stabilize, which could limit or eliminate demand for PEMGARDA, VYD2311 or any new mAb candidates that we anticipate periodically introducing in the future as the SARS-CoV-2 virus evolves over time.</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trials for our product candidates outside the U.S., and the FDA and similar foreign regulatory authorities may not accept data from such trials conducted in locations outside of their jurisdiction.</w:t>
      </w:r>
    </w:p>
    <w:p>
      <w:pPr>
        <w:spacing w:after="0" w:line="5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have conducted and may in the future conduct clinical trials for our product candidates outside the U.S. The FDA may not accept or may impose additional conditions on trial data from clinical trials conducted outside the U.S. submitted in support of an IND, EUA or BLA. For example, in order for the FDA to accept a foreign clinical trial as support for an IND or application for marketing approval, the FDA requires the following conditions are met:</w:t>
      </w:r>
    </w:p>
    <w:p>
      <w:pPr>
        <w:spacing w:after="0" w:line="1" w:lineRule="exact"/>
        <w:rPr>
          <w:sz w:val="20"/>
          <w:szCs w:val="20"/>
          <w:color w:val="auto"/>
        </w:rPr>
      </w:pPr>
    </w:p>
    <w:p>
      <w:pPr>
        <w:jc w:val="both"/>
        <w:ind w:firstLine="8"/>
        <w:spacing w:after="0" w:line="251" w:lineRule="auto"/>
        <w:tabs>
          <w:tab w:leader="none" w:pos="2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data are applicable to the U.S. population and U.S. medical practice; (ii) the trial was conducted in accordance with cGCP standards; and (iii) the FDA is able to validate the data from the trial through an onsite inspection if the FDA deems it necessary.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authorization for commercialization in the applicable jurisdiction.</w:t>
      </w:r>
    </w:p>
    <w:p>
      <w:pPr>
        <w:spacing w:after="0" w:line="8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 through internal efforts or through partnerships for discovery of novel antibody product candidates.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authorization or approval and achieve market acceptance. Further, even if we obtain authorization or approval for a product candidate for one indication that may have potential for new or additional indications, we may determine that those additional indications are not worth pursuing for strategic reasons, including new legislation that may impact our ability to commercialize such compounds for such indications, if authorized or approved. If we do not successfully develop and commercialize product candidates based upon our approach,</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be able to obtain product revenue in future periods, which would result in significant harm to our financial position and adversely affect our stock price.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public health outbreaks, pandemics or epidemics, such as the COVID-19 pandemic.</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COVID-19, the disease caused by SARS-CoV-2 and its variants, gave rise to a global pandemic in 2020, and continues to present public health and economic challenges around the world. The evolution and of the disease and the continued emergence of VoCs, and the availability, administration and acceptance of vaccines, mAbs, antiviral agents and other therapies may affect the design and enrollment of our clinical trials, the potential regulatory authorization or approval of our product candidates and the commercialization of our product candidates, if authorized or approved.</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public health outbreaks, pandemics or epidemics, such as the COVID-19 pandemic, which pose the risk that we or our third-party contractors may be prevented from conducting normal business activities or operations due to spread of the disease, or due to restrictions that may be requested or mandated by federal, state or local governmental authorities.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experienced some delays in our development activities as a result of the COVID-19 pandemic. For example, in December 2020, shipment of adintrevimab clinical supply by WuXi Biologics was delayed due to the introduction by the Chinese government of a new procedure for the approval of the export of products for the treatment of COVID-19. There could be other disruptions, delays or uncertainties in our development activities as a result of any future public health outbreak, pandemic or epidemic.</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Public health outbreaks, pandemics or epidemics, such as the COVID-19 pandemic, which caused a broad impact globally, may also materially affect us economically. For example, a widespread outbreak, pandemic or epidemic could result in significant disruption of global financial markets, reducing our ability to access capital, which could in the future negatively affect our liquidity.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that any public health outbreaks, pandemics or epidemics, such as the COVID-19 pandemic, adversely affects our business, financial condition and results of operations, it may also have the effect of heightening many of the other risks and uncertainties described in this “Risk Factors” section.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be negatively impacted by future development or regulatory difficulties.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Authorized and 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are subject to continued compliance with cGMP and cGCP requirements for any clinical trials that we conduct post-authorization or approval. If we or any of the third parties on which we rely fail to meet those requirements, the FDA or comparable regulatory authorities outside the U.S. could initiate enforcement action.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U.S. becomes aware of new safety information, it can impose additional restrictions on how the product is marketed or may seek to withdraw marketing authorization or approval altogether.</w:t>
      </w:r>
    </w:p>
    <w:p>
      <w:pPr>
        <w:spacing w:after="0" w:line="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authorizations or approvals of our product candidates in the European Union and United Kingdom, result in restrictions or imposition of taxes and duties for importing our product candidates into the European Union and United Kingdom and require us to incur additional expenses in order to develop, manufacture and commercialize our product candidates in the European Union and United Kingdom.</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(the “Transition Period”) during which European Union rules continued to apply. A trade and cooperation agreement (the “Trade Cooperation Agreement”) that outlines the post-Transition Period trading relationship between the United Kingdom and the European Union was agreed to in December 2020 and was formally entered into on May 1, 2021.</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potential development, manufacture, importation, approval and commercialization of our product candidates in the United Kingdom. For example, Great Britain (England, Scotland and Wales) is no longer covered by the centralized procedures for obtaining European Union-wide marketing authorizations from the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European Commission, and a separate marketing authorization is required to market our product candidates in Great Britain. Northern Ireland continues to be covered by the marketing authorizations granted by the European Commission, but this changed on January 1, 2025, when the new measures under the Windsor Framework came into effect. Beginning on this date, Northern Ireland is subject to the same MHRA authorization procedures as Great Britain.</w:t>
      </w:r>
    </w:p>
    <w:p>
      <w:pPr>
        <w:spacing w:after="0" w:line="6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All of these changes could increase our costs and otherwise adversely affect our business to the extent that we pursue development, manufacture, and/or commercialization of our product candidates in the European Union or United Kingdom. Any delay in obtaining, or an inability to obtain, any marketing approvals, as a result of Brexit or otherwise, would delay or prevent us from commercializing our product candidates in the United Kingdom. The Annex to the Trade and Cooperation Agreement further provides a framework for the recognition of cGMP inspections and for the exchange and acceptance of official cGMP documents. The regime does not, however, extend to procedures such as batch release certification. Among the changes that have occurred are that Great Britain (England, Scotland and Wales) is treated as a “third country,” a country that is not a member of the European Union and whose citizens do not enjoy the European Union right to free movement. Northern Ireland continues to follow many aspects of the European Union regulatory rules, particularly in relation to trade in goods. As part of the Trade and Cooperation Agreement, the European Union and the United Kingdom recognize cGMP inspections carried out by the other party and the acceptance of official cGMP documents issued by the other party. The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 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While the Trade and Cooperation Agreement provides for the tariff-free trade of medicinal products between the United Kingdom and the European Union, there are additional non-tariff costs to such trade that did not exist prior to the end of the post-Brexit Transition Period. Further, should the United Kingdom diverge from the European Union from a regulatory perspective in relation to medicinal products, tariffs could be put into place in the future. We could therefore face significant additional expenses (when compared to prior to the end of the Transition Period) to operate our business, to the extent that we pursue development, manufacture, and/or commercialization of our product candidates in the European Union and United Kingdom,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1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Monoclonal antibody therapies are complex, difficult and time-consuming to manufacture, and we currently rely on a single contract manufacturer. We could experience manufacturing problems, may be unable to access desired future manufacturing capacity within desired timeframes, or may be unable to access raw materials due to global supply chain shortages or otherwise, that result in delays in the development or commercialization of our product candidates or otherwise harm our business.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manufacture of mAbs and other protein-based therapies are technically complex and necessitate substantial expertise and capital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difficulties caused by unforeseen events may delay the availability of material for our clinical trials or commercialization efforts.</w:t>
      </w:r>
    </w:p>
    <w:p>
      <w:pPr>
        <w:spacing w:after="0" w:line="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engaged WuXi Biologics, a CDMO, for the development and manufacture of our product candidates for clinical and commercial use. Manufacturers of pharmaceutical products must comply with strictly enforced cGMP requirements, state and federal regulations, as well as foreign requirements when applicable. Any failure of us or our CDMO to adhere to or document compliance to such regulatory requirements could lead to a delay or interruption in the availability of product for clinical trials or commercial use, or enforcement action from the FDA or foreign or state regulatory authorities. If we or our CDMO were to fail to comply with the FDA or foreign or state regulatory authorities, it could result in sanctions being imposed on us, including clinical holds, fines, injunctions, civil penalties, delays, suspension or withdrawal of authorizations or approvals, license revocation, seizures or recalls of product candidates or products, operating restrictions and criminal prosecutions, any of which could significantly and adversely affect supplies of our product candidates. Our dependence upon others for the manufacture of our product candidates may also adversely affect our future profit margins, if any, and our ability to commercialize any product candidates that receive regulatory authorization or approval on a timely and competitive basis.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 our product candidates could result in unanticipated or unfavorable effects in our manufacturing processes or product quality or timelines, resulting in delays.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Given the complex, difficult and time-consuming nature of manufacturing our product candidates, we must devote significant resources to the manufacture of our product candidates for clinical and potential commercial supply prior to receiving regulatory authorization or approval, and we may not realize a return on our investment in such supply if a product candidate is not ultimately authorized or approved. For example, we built supply of adintrevimab in anticipation of seeking regulatory authorization, but based on feedback from the FDA regarding adintrevimab’s lack of neutralizing activity against the Omicron BA.2 variant, we paused the submission of an EUA request. More recently, we have incurred substantial costs in building supply of VYD2311, which is currently in Phase 1 development, and we cannot be certain as to if or when we will receive regulatory authorization or approval for such product candidate.</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we believe that we have secured sufficient supply to meet demand for PEMGARDA and anticipated initial demand for VYD2311, if authorized or approved, any delay, failure or inability to manufacture or test on a timely basis in the future could impact the timelines for our future clinical trials or our commercialization plans. Such delay, failure or inability to manufacture or test can result from:</w:t>
      </w:r>
    </w:p>
    <w:p>
      <w:pPr>
        <w:spacing w:after="0" w:line="68" w:lineRule="exact"/>
        <w:rPr>
          <w:sz w:val="20"/>
          <w:szCs w:val="20"/>
          <w:color w:val="auto"/>
        </w:rPr>
      </w:pPr>
    </w:p>
    <w:p>
      <w:pPr>
        <w:jc w:val="both"/>
        <w:ind w:left="1140" w:hanging="504"/>
        <w:spacing w:after="0" w:line="261"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manufacturing or testing slots within desired timeframes or to have enough manufacturing slots to manufacture our product candidates to meet clinical or commercial requirements and demands;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foreign or state regulatory inspection of the manufacturing or testing site;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raw materials and reagents due to global supply chain shortages or otherwise;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depletion or performance degradation of the cell line starting material; and</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product candidates, or the inability to find alternative manufacturing capability in a timely fashion.</w:t>
      </w:r>
    </w:p>
    <w:p>
      <w:pPr>
        <w:spacing w:after="0" w:line="5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biologics, and the manufacture of our product candidates is complex and subject to extensive regulations. If we or our third-party contractors fail to comply with such regulations, regulatory authorities may impose sanctions or require remedial measures that could be costly or time-consuming, and our ability to provide supply of our product candidates for clinical trials or commercialization could be delayed or stopped.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commercialization, including our existing contract manufacturer and testing facilities, labeling, packaging and storage facilities, and distributors, are subject to extensive regulation. Components of a finished therapeutic product authorized or approved for commercialization or used in clinical trials must be manufactured, tested, and stored in accordance with cGMP. These regulations govern manufacturing processes and procedures (including record keeping) and the implementation and operation of quality systems to control and ensure the quality of investigational products and products authorized or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regulatory authorization or approval on a timely basis. Our facilities and quality systems and the facilities and quality systems of some or all of our third-party contractors will likely need to pass a pre-approval inspection (and may need to pass a pre-authorization inspection) for compliance with the applicable regulations as a condition of regulatory approval (or authorization) of our product candidates. In addition, 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regulatory authorization or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approval) if the facilities or quality systems of our or third-party contractors do not pass such audit or inspections. Certain of our third-party contractors’ facilities have not yet been inspected by regulatory authorities. If any of our third-party contractors’ facilities do not pass a pre-approval, pre-authorization, or other facility inspection, regulatory approval or authorization of the products may not be granted.</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authorization or approval of a product for sale, inspect or audit us or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contractors fail to maintain regulatory compliance, the FDA or other regulatory authorities can impose regulatory sanctions, including, among other things, refusal to authorize or approve a pending application or to issue a positive opinion for a new drug product, or revocation of a pre-existing authorization or approval. As a result, our business, financial condition and results of operations may be harmed. Additionally, if supply from an approved manufacturer is interrupted, there could be a significant disruption in commercial supply of any authorized or approved products. An alternative manufacturer would need to be qualified and approved,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authorized or approved, or could delay commercial supply once authorized or approved. Furthermore, if our third-party contractors fail to meet contractual requirements, and we are unable to secure one or more replacement contractors capable of production at a substantially equivalent cost, our clinical trials or commercialization efforts may be delayed or we could lose potential revenue.</w:t>
      </w:r>
    </w:p>
    <w:p>
      <w:pPr>
        <w:spacing w:after="0" w:line="7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sole-source third-party suppliers and a single contract manufacturer for materials and services that are necessary for the conduct of preclinical studies, manufacture and testing of our product candidates for clinical trials and commercial supply, and the loss of these third-party suppliers or contract manufacturer or their inability to supply us with sufficient quantities of adequate materials or services, or to do so at acceptable quality levels, acceptable pricing terms, and on a timely basis, could harm our business.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Manufacturing and testing our product candidates and commercialization of any authorized or approved products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Biologics, our current CDMO, as the procurer of the raw materials used in the manufacture of our product candidates, including certain single-source purification resins and cell culture media, which increases the risk of delays in production.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current CDMO’s or potential future CDMOs’ raw material suppliers may not have the capacity to support clinical and commercial products manufactured under cGMP by biopharmaceutical firms or may otherwise be ill-equipped to support our needs. We also do not have supply contracts with many of these suppliers directly, and we, our current CDMO or potential future CDMOs may not be able to obtain supply contracts with them on acceptable terms or at all. Accordingly, we, our current CDMO or potential future CDMOs may experience delays in receiving key raw materials and equipment to support clinical or commercial manufacturing.</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some of these specialty materials, we, our current CDMO or potential future CDMOs rely on and may in the future rely on sole-source suppliers or a limited number of suppliers. The supply of specialty materials and equipment that are necessary to produce our product candidates could be reduced or interrupted at any time. In such case, identifying and engaging an alternative supplier could result in delay, and we may not be able to find other acceptable suppliers on acceptable terms, or at all. Switching our suppliers may involve substantial costs and is likely to result in a delay in our desired clinical and commercial timelines. If our key suppliers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date, we have relied on WuXi Biologics as our only CDMO. We have partnered with WuXi Biologics for CMC development and for clinical and commercial drug substance and drug product supply. While we believe that we have secured sufficient supply to meet demand for PEMGARDA and anticipated initial demand for VYD2311, if authorized or approved, the loss of this CDMO, a disruption in production at this CDMO or the inability of this CDMO to timely manufacture sufficient quantities on acceptable pricing terms to meet our needs, and our failure to find alternative manufacturing capability in a timely fashion, would impair our ability to develop and commercialize our product candidates. Although we believe there are other potential alternative CDMOs, the number of CDMOs with the necessary manufacturing and regulatory expertise and facilities to manufacture biologics like our mAb candidates is limited, and switching manufacturers or manufacturing sites would be expensive, difficult and time consuming. A new manufacturer or manufacturing site would have to be educated on, or develop substantially equivalent processes for, production of our product candidates, and it may be difficult or impossible to transfer certain elements of our manufacturing process to a new manufacturer or for us to find a replacement manufacturer on acceptable terms quickly, or at all. Furthermore, switching manufacturers or manufacturing sites may hinder our ability to leverage our platform approach to facilitate the generation of mAbs to keep pace with evolving viral threats, which we expect will require a consistent CMC platform. Transferring manufacturing to a new manufacturer or manufacturing site could therefore interrupt supply, delay our clinical trials and commercialization efforts, increase our costs for our product candidates and disrupt our plans to use any potential streamlined development pathway that requires a consistent CMC platform, any of which could have an adverse effect on our business, financial condition, results of operations, and/or growth prospects.</w:t>
      </w:r>
    </w:p>
    <w:p>
      <w:pPr>
        <w:spacing w:after="0" w:line="8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Given the nature of mAb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revokes or terminates our EUA for PEMGARDA, we will be required to stop commercial distribution of PEMGARDA immediately unless we can obtain FDA approval for PEMGARDA under a traditional regulatory pathway, which may be lengthy and expensive, which could harm our future business prospects.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FDCA, the FDA has authority to allow certain unapproved medical products or unapproved uses of approved medical products to be used in an emergency to diagnose, treat, or prevent serious or life-threatening diseases or conditions when there are no adequate, approved, and available alternatives. In issuing an EUA, the FDA will consider the totality of scientific evidence available to the FDA regarding safety, efficacy, and known and potential risks of such products and availability of alternatives to the emergency use products, among others. EUAs issued by the FDA specify the scope of authorization and conditions of authorization, including limitations on distribution and conditions related to product advertising and promotion. Once granted, an EUA is effective until the declaration permitting emergency use authorization is terminated or the EUA is revoked, after which the product must be approved by the FDA under a traditional pathway in order to remain on the market or to continue commercialization of the product in the U.S.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22, 2024, we received an EUA from the FDA for PEMGARDA for the pre-exposure prophylaxis (prevention) of COVID-19 in adults and adolescents (12 years of age and older weighing at least 40 kg) who have moderate-to-severe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distribution and advertising conditions set forth in our EUA limit our market opportunities and restrict how we can commercialize PEMGARDA. For example, according to our EUA, among other requirements, all descriptive printed matter, advertising, and promotional materials relating to the emergency use of PEMGARDA under the EUA must be consistent with the authorized labeling and other terms set forth in the EUA and such materials must be tailored to the intended audience, not take the form of reminder advertisements or reminder labeling, and be accompanied by authorized labeling under certain circumstances. In addition, according to our EUA, printed matter, advertising, and promotional materials relating to the emergency use of PEMGARDA must provide accurate descriptions of safety results and efficacy results on a clinical endpoint(s) or surrogate endpoint(s) from the clinical trial(s) summarized in the authorized labeling, including any limitations of the clinical trial data as described in the authorized labeling, and contain certain clear and conspicuous statements regarding the emergency use authorization. In addition, the PEMGARDA Fact Sheet for Healthcare Providers (“HCPs”) includes a boxed warning for anaphylaxis. If the FDA’s policies and guidance change unexpectedly and/or materially or if we misinterpret them, potential sales of PEMGARDA could be adversely impacted.</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FDA would be required to revoke our existing or any future EUA if HHS determines that emergency use is no longer warranted. The FDA may also revoke our existing or any future EUA if new evidence becomes available that indicates that PEMGARDA is not as safe, effective, or reliable as the data provided in the EUA request. For example, the FDA may revise or revoke the EUA for PEMGARDA based on changes in circulating SARS-CoV-2 variants and a reduction in neutralizing activity or effectiveness of PEMGARDA against such variants. PEMGARDA is authorized for use only when the combined national frequency of variants with substantially reduced susceptibility to PEMGARDA is less than or equal to 90%. We cannot predict how long our EUA will remain effective, and we may not receive advance notice from the FDA regarding revocation of our EUA. The termination or revocation of our existing EUA for PEMGARDA would cause us to cease our commercialization efforts until and if we have obtained approval from the FDA through another regulatory pathway and would adversely impact our business, financial condition and results of operations.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Additionally, changes in FDA policies, guidance, and requirements for the submission of an EUA request may delay authorization of any additional emergency uses for PEMGARDA. Further, given the high volume of EUA requests received by the FDA, the FDA’s review of an amended or additional EUA request may be significantly delayed. The FDA may not grant an EUA for additional emergency uses of PEMGARDA on a timely basis or at all, which could harm our future business prospects. For example, in July 2024, we submitted a request to the FDA to expand the existing EUA for PEMGARDA to cover treatment of mild-to-moderate COVID-19 in certain immunocompromised patients, which request was denied by the FDA in February 2025. While we have submitted a response requesting that the FDA reconsider our EUA amendment request for treatment, we cannot be certain if or when the FDA may do so, or the outcome of any further engagement with the FDA regarding such request.</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fail to achieve the degree of market acceptance by physicians, patients, third-party payors and others in the medical community necessary for commercial success, due to the product profile, reimbursement dynamics or other reasons.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 authorization or approval, such as PEMGARDA, which received an EUA from the FDA in March 2024, they may nonetheless fail to gain sufficient market acceptance by physicians, patients, third-party payors and others in the medical community, due to the product profile, reimbursement dynamics or other reasons. If our product candidates do not achieve an adequate level of acceptance, we may not generate significant revenue and we may not become profitable. The degree of market acceptance of our product candidates, if authorized or approved for sale, including PEMGARDA, will depend on a number of factors, including:</w:t>
      </w:r>
    </w:p>
    <w:p>
      <w:pPr>
        <w:spacing w:after="0" w:line="75" w:lineRule="exact"/>
        <w:rPr>
          <w:sz w:val="20"/>
          <w:szCs w:val="20"/>
          <w:color w:val="auto"/>
        </w:rPr>
      </w:pPr>
    </w:p>
    <w:p>
      <w:pPr>
        <w:ind w:left="1140" w:right="20" w:hanging="504"/>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 including oral, intramuscular (IM) and intravenous (IV) options;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including compared to any alternative treatments;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foreign regulatory authorities, including any limitations or warnings contained in a product’s approved labeling, including any boxed warning (such as the boxed warning for anaphylaxis for PEMGARDA) or REMS;</w:t>
      </w:r>
    </w:p>
    <w:p>
      <w:pPr>
        <w:spacing w:after="0" w:line="6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or to modify the design of our current trials to support the initial or continued authorization or approval of a product candidate;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any product candidates, once authorized or approved;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such as anaphylaxis for which PEMGARDA received a boxed warning;</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or requirements that our products be used in combination with other products;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 effective against emerging SARS-CoV-2 variants.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 candidates, if authorized or approved, is dependent upon market acceptance by physicians, HCPs and patients, which will be informed, in part, by cost, convenience, route of administration, safety and efficacy, including efficacy against emerging SARS-CoV-2 variants over time.</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build and maintain sales, marketing and distribution capabilities for PEMGARDA or any other product candidate that may receive regulatory authorization or approval, we may not be successful in commercializing PEMGARDA or such other product candidates if and when they are authorized or approved.</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commercializing PEMGARDA after we received an EUA from the FDA in March 2024. As a result, we have limited experience marketing our product candidates. Our financial condition and results of operations are and will continue to be highly dependent on the ability of our marketing function to adequately promote PEMGARDA for appropriate patients in a manner that complies with applicable laws and regulations.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will need to continue to build and maintain a commercial infrastructure to support the marketing and distribution of PEMGARDA and any other product candidates that may be authorized or approved in the future. To support the commercialization of PEMGARDA, we initially directly hired key leaders for our sales, marketing, market access, and medical affairs teams, and leveraged contract organizations for certain field-based roles. We subsequently determined to invest in direct hire resources, including an internal sales force.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commercialization capabilities and with entering into arrangements with contract organizations. To the extent that we rely on third parties to perform sales, marketing or distribution services, we likely will have little control over such third parties, and any of them may fail to devote the necessary resources and attention to sell and market our products effectively. On the other hand, there are risks involved with establishing our commercial infrastructure. For example, establishing and training our own commercial team is expensive and time consuming.</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continue to build and maintain our commercialization capabilities include:</w:t>
      </w:r>
    </w:p>
    <w:p>
      <w:pPr>
        <w:spacing w:after="0" w:line="117" w:lineRule="exact"/>
        <w:rPr>
          <w:sz w:val="20"/>
          <w:szCs w:val="20"/>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authorized or approved;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independent sales, marketing and market access organizations.</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business strategy is the continued expansion of our marketing infrastructure and building brand awareness. As we continue to increase our marketing efforts in connection with the expansion of PEMGARDA sales, we will need to further expand the reach of our marketing networks. Our future success will depend largely on our ability to continue to hire, train, retain and motivate a skilled marketing workforce, directly or through contract organizations, with significant industry-specific knowledge in various areas, including healthcare, prophylactic treatments, complex biologics, and applicable laws and regulations.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expand our marketing capabilities, we may not be able to effectively commercialize PEMGARDA. Relatedly, if any of our marketing platforms significantly increase their advertising fees, our ability to expand our marketing reach will be greatly impeded. Any such failure could adversely affect our reputation, revenue, and results of operations.</w:t>
      </w:r>
    </w:p>
    <w:p>
      <w:pPr>
        <w:spacing w:after="0" w:line="6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product candidates, including PEMGARDA, may be smaller than we or third parties currently project, which may affect the addressable markets for our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mission is to deliver antibody-based therapies that protect vulnerable people from the consequences of viral threats, beginning with COVID-19. In considering the market potential for our product candidates, our projections of the number of immunocompromised people in the U.S. who may not adequately respond to COVID-19 vaccination and the estimated U.S. total addressable market for our mAb candidates for the pre-exposure prophylaxis of COVID-19 are estimates based on Invivyd-sponsored market research and our internal analysis. The number of immunocompromised people in the U.S. who may not adequately respond to COVID-19 vaccination and the estimated U.S. total addressable market for our mAb candidates for the pre-exposure prophylaxis of COVID-19 may turn out to be lower than expected, and patients may not be amenable to our product candidates or may become increasingly difficult to identify and access, all of which would adversely affect our financial condition, results of operations and prospects. Further, even if we obtain authorization or approval for our product candidates, the FDA or other regulators may limit their authorized or approved indications to more narrow uses or subpopulations within the populations for which we are targeting development of our product candidates.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decline, or a widespread perception of a decline, in the spread or severity of COVID-19, including disease due to variants with relative or absolute resistance to other products, or an increase in available alternative therapies for or widespread immunity to COVID-19, could reduce the total addressable market for our product candidates targeting COVID-19. Similarly, if new SARS-CoV-2 variants are less impacted by our product candidates and their mechanism of action than expected and such variants become more prevalent, the number of patients that we will be able to successfully treat with our product candidates, if authorized or approved, such as PEMGARDA, will be decreased.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including PEMGARDA, will ultimately depend upon a number of factors, including the diagnosis and treatment criteria included on the final label, if authorized or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has involved using a third party to model the number of people at high risk for severe COVID-19 based on a combination of different data sets, such as the incidence and prevalence of different medical conditions based on primary literature, the portion of patients who are receiving immunosuppressants based on claims data, and interviews/surveys with health care professionals. Accordingly, these estimates included in this filing may turn out to be inaccurate. Further, the data and statistical information used in this Annual Report on Form 10-K, and in our other filings with the SEC, including estimates derived from them, may differ from information and estimates made by our competitors or from current or future studies conducted by independent sources.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revenue we are able to generate from product sales will be dependent, in part, upon the size of the market in the U.S. (and any other jurisdiction for which we may in the future obtain an EUA or similar authorization or obtain regulatory approval and have commercial rights) and our ability to meet the market demand. If the markets or patient subsets that we are targeting are not as significant as we estimate, or if we do not have sufficient supply to meet the market demand, we may not generate significant revenues from sales of such products, even if authorized or approved.</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prospects may be harmed if academic or other third-party labs not related to us generate virologic activity data that creates doubt regarding the neutralization activity of pemivibart or any other of our product candidates, even if such data is ultimately shown to be inconsistent with neutralization data generated through our industrial-grade virology efforts.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academic or other third-party labs not related to us may produce and run tests on their own molecules meant to resemble our molecules, such as pemivibart, or may run tests on our molecules utilizing differing assays and put neutralization findings of unknown quality into the public domain. In connection with the EUA for PEMGARDA, the FDA has acknowledged that neutralization findings from sources other than our independent, contracted vendor may differ due to, among other reasons, assay differences or because the molecule tested by other labs differs from pemivibart in sequence. Nevertheless, publicly available neutralization data against emerging SARS-CoV-2 variants are reviewed by the FDA and may be factored into the totality of evidence when considering the potential for adequate neutralization activity of PEMGARDA to support continued emergency use authorization.</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the extent that virologic activity data in the public domain generated by academic or other third-party labs not related to us creates doubt regarding the neutralization activity of pemivibart or our other product candidates, it could adversely impact our regulatory authorization and market acceptance by HCPs or patients, particularly if such publicly available neutralization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findings are referenced by the FDA in relation to the regulatory authorization of any product candidate of ours, which would adversely affect our commercial prospects and ability to generate revenues, even if such data is preliminary, non-peer-reviewed, and/or generated with molecules that are not authentic Invivyd molecules, and even if such data is ultimately shown to be inconsistent with neutralization data generated through our industrial-grade virology efforts.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example, in October 2024, we withdrew formal revenue guidance for FY2024 following growth headwinds after the FDA updated the PEMGARDA Fact Sheet for HCPs in August 2024 to include a link to contested, non-peer-reviewed neutralization data of a non-pemivibart antibody generated by an academic lab, which indicated that PEMGARDA may have reduced susceptibility to certain SARS-CoV-2 variants, including KP.3.1.1. In September 2024, we announced that pseudovirus in vitro neutralization data generated by our independent, contracted vendor as part of our industrial-grade virology efforts showed continued neutralizing activity of PEMGARDA against KP.3.1.1 and other SARS-CoV-2 variants tested, and later that month, the FDA re-issued an updated PEMGARDA Fact Sheet for HCPs to provide accurate in vitro neutralization activity of PEMGARDA against dominant circulating variants, including KP.3.1.1. However, this series of events resulted in confusion in the HCP and vulnerable population communities with respect to PEMGARDA and negatively impacted our net product revenue growth.</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academic or other third-party labs not related to us generate virologic activity data that creates doubt regarding the neutralization activity of pemivibart or any other of our product candidates, our regulatory authorization and our commercial prospects may be harmed, even if such data is ultimately shown to be inconsistent with neutralization data generated through our industrial-grade virology efforts.</w:t>
      </w:r>
    </w:p>
    <w:p>
      <w:pPr>
        <w:spacing w:after="0" w:line="6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our product candidates are authorized or approved by the FDA or comparable foreign regulatory authorities, we may only promote or market our products for their specifically authorized or approved indications. We train our marketing and sales force against promoting our products for uses outside of the authorized or approved indications, known as “off-label uses.” We cannot, however, prevent a physician from using our products off-label. Furthermore, the use of our products for indications other than those authorized or approved by the FDA or comparable foreign regulatory authorities, may not effectively treat such conditions. Any such off-label use of our products could harm our reputation in the marketplace among physicians and patients. There may also be increased risk of injury to patients if physicians attempt to use our products for uses for which they are not authorized or approved, which could lead to product liability suits that might require significant financial and management resources and that could harm our reputation.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authorization or approval in the U.S. will be heavily scrutinized by the FDA, the FTC, the Department of Justice (the “DOJ”), the Office of Inspector General of HHS, state attorneys general, members of the U.S. Congress, and the public. Additionally, advertising and promotion of any product candidate that obtains approval outside of the U.S.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 information to healthcare practitioners, injunctions, or civil or criminal penalties.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advertising and promotion of products in the European Union is subject to European Union Member States’ national laws implementing Titles VIII and VIIIa of Directive 2001/83/EC on the Community code relating to medicinal products for human use, Directive 2006/114/EC concerning misleading and comparative advertising, and Directive 2005/29/EC on unfair commercial practices, as well as other national legislation of individual European Union Member State governing the advertising and promotion of medicinal products. European Union Member States’ legislation may also restrict or impose limitations on the ability to advertise products directly to the general public. In addition, voluntary European Union and national Codes of Conduct provide guidelines on the advertising and promotion of products to the general public and may impose limitations on promotional activities with healthcare professionals. Any actual or alleged failure to comply with promotion requirements may result in fines, warning letters, injunctions, or civil or criminal penalties.</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mAb product candidates, including PEMGARDA, may face significant competition from vaccines, antiviral agents and other therapeutics, including mAbs, for COVID-19 that are currently available or in development.</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18"/>
          <w:szCs w:val="18"/>
          <w:color w:val="auto"/>
        </w:rPr>
        <w:t>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with a perceived superior risk-benefit profile or other perceived superior attributes such as mode of administration or dosing regimen, develops a therapeutic at a lower cost or is more successful at commercializing an approved therapeutic, we may not be able to successfully commercialize our product candidates targeting COVID-19, even if authorized or approved, or compete with other therapeutics or vaccines, which could adversely impact our business and operations. For example, PEMGARDA has been authorized with a boxed warning for anaphylaxis, which could impede our ability to successfully market and commercialize PEMGARDA and our ability to compete successfully against our competitors.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authorizations or approvals of those product candidates in the U.S. and in foreign countries. Our current and potential future competitors may also have significantly more experience commercializing drugs, particularly mAbs and other biological products, that have been authorized or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 Our success is also subject to the risk of current and future disruptive technologies, such as AI; if our competitors are able to more effectively utilize any such new technologies, including but not limited to those that may involve AI or be created using AI, to discover, develop and commercialize products that compete with any of our product candidates, such technologies could adversely impact our ability to compete against our competitors.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authorized, approved or that will be authorized or approved in the future for the prevention or treatment of diseases we intend to target. Therefore, our ability to compete successfully will depend largely on our ability to:</w:t>
      </w:r>
    </w:p>
    <w:p>
      <w:pPr>
        <w:spacing w:after="0" w:line="68" w:lineRule="exact"/>
        <w:rPr>
          <w:sz w:val="20"/>
          <w:szCs w:val="20"/>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differentiated from products in the market;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required regulatory authorizations or approvals;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placement in COVID-19 prevention and treatment guidelines from organizations such as the CDC, the WHO and the Infectious Diseases Society of America (the “IDSA”);</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supply to meet market demand;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including PEMGARDA. The inability to compete with existing or subsequently introduced drugs would have an adverse impact on our business, financial condition and prospects. In addition, the reimbursement structure of authorized or approved mAbs by other companies could impact the anticipated reimbursement structure of our mAbs, if authorized or approved, and our business, financial condition, results of operations and prospects.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government entities, such as the CDC, the WHO and non-government professional societies, such as the IDSA, may produce treatment and/or prevention guidelines for COVID-19, including the use of mAbs for these indications. However, our mAbs, even if authorized or approved, may fail to be added to such guidelines or receive poor positioning within such guidelines, which may instead recommend products of our competitors.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authorized or approved product must demonstrate compelling advantages in efficacy, convenience, tolerability and safety in order to overcome price competition and to be commercially successful. Accordingly, our competitors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succeed in obtaining patent protection, discovering, developing, receiving authorization or approval for, or commercializing, drugs before we do, which would have an adverse impact on our business and results of operations.</w:t>
      </w:r>
    </w:p>
    <w:p>
      <w:pPr>
        <w:spacing w:after="0" w:line="5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PEMGARDA and our product candidates depends significantly on coverage and adequate reimbursement or the willingness of patients to pay for these therapies.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PEMGARDA,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and may change from one calendar year to the next. One payor’s determination to provide coverage for a drug product does not assure that other payors will also provide coverage, and adequate reimbursement. In the U.S., the principal decisions about Medicare reimbursement for new medicines are typically made by CMS, an agency within HHS. CMS decides whether and to what extent products will be covered and reimbursed under Medicare and private payors tend to follow CMS to a substantial degree. CMS has published in the Calendar Year 2023 Physician Fee Schedule Final Rule, and reaffirmed in subsequent Calendar Year Rulemaking, a policy that all COVID-19 mAbs for pre-exposure prophylaxis of COVID-19 and their administration will be covered and reimbursed under the Part B preventative vaccine benefit. CMS has not communicated a timeline for publishing coverage information for any such product once it has been granted an EUA. A significant delay in publication of product specific billing codes and their associated payment rates could impact initial prescription rates by providers and demand by patients. Furthermore, a delay by CMS in publishing updated payment limits following any price increase of a product could impact prescription rates by providers or lead to deferment in treatment for patients, which could adversely affect our sales.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In addition, for products administered under the supervision of a physician, obtaining coverage and adequate reimbursement may be particularly difficult because of the higher prices often associated with such drugs.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the IDSA, may produce treatment and/or prevention guidelines for the prevention and treatment of COVID-19, including guidance regarding the use of mAbs in these indications. If our product candidates, to the extent authorized or approved, fail to be added to these guidelines, or if they receive poor positioning within these guidelines, payors and other customers may be less inclined to add any such product candidate to their formularies, significantly reducing demand for such product candidate, if authorized or approved.</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increasing efforts by third-party payors in the U.S. and abroad to cap or reduce healthcare costs may cause such organizations to limit both coverage and the level of reimbursement for newly approved products and, as a result, they may not cover or provide adequate payment for our product candidates, if authorized or approved. In order to secure coverage and reimbursement for any product that might be authorized or approved for sale, we may need to conduct expensive pharmacoeconomic studies in order to demonstrate the medical necessity and cost-effectiveness of our products, in addition to the costs required to obtain FDA or comparable regulatory authorizations or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to the extent any of our product candidates are authorized or approved outside of the U.S. For example, in many countries in the European Union, procedures to obtain price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18"/>
          <w:szCs w:val="18"/>
          <w:color w:val="auto"/>
        </w:rPr>
        <w:t>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European Union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products in some European countries, including some European Union member states, data comparing the cost-effectiveness of products to other available therapies may be required. Health Technology Assessment (“HTA”) of medicinal products is becoming an increasingly common part of the pricing and reimbursement procedures in some European Union member states, including those representing the larger markets. The HTA process, which is currently governed by national laws in each European Union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currently varies between European Union member states, although the HTA Regulation which aims to harmonize the clinical benefit assessment of HTA across the European Union applies beginning on January 12, 2025. If in the future we seek but are unable to obtain and then maintain favorable pricing and reimbursement status in European Union member states that represent significant markets, our anticipated revenue from and growth prospects for products in the European Union could be negatively affected. If we experience setbacks or unforeseen difficulties in obtaining favorable pricing and reimbursement decisions, any planned launches in the affected European Union member states would be delayed, which could negatively impact any anticipated revenue from and growth prospects for relevant product candidates.</w:t>
      </w:r>
    </w:p>
    <w:p>
      <w:pPr>
        <w:spacing w:after="0" w:line="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PEMGARDA or any other product candidate, if authorized or approved for sale in the U.S. or in other countries, will be considered medically reasonable and necessary, that it will be considered cost-effective by third-party payors, that coverage or an adequate level of reimbursement will be available or that reimbursement policies and practices in the U.S. and in foreign countries where our products are sold will not adversely affect our ability to sell our product candidates profitably, if they are authorized or approved for sale.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determine to seek approval as biological products may face biosimilar competition sooner than anticipated.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future, if we determine to pursue and we are successful in achieving regulatory approval to commercialize any biological product candidate that we develop, such approved product may face competition from biosimilar products. In the U.S., product candidates are regulated by the FDA as biological products subject to approval under the BLA pathway. 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biological products.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should we determine in the future to pursue such regulatory pathway,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In the European Union, biosimilars can only be authorized once the period of data exclusivity on our candidate, as ‘reference’ biological medicinal product, has expired. In general, this means that the biological reference medicine must have been authorized for at least eight years before another company can apply for approval of a similar biological product.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an even greater risk as we sell any products that have been authorized or approved, such as PEMGARDA, which received an EUA from the FDA in March 2024. Side effects or adverse events known or reported to be associated with, or manufacturing defects in, the products sold by us could exacerbate a patient’s condition, or could result in serious injury or impairment or even death. For example, in the CANOPY clinical trial, the most common adverse reactions included systemic infusion-related reactions and hypersensitivity reactions, local infusion site reactions, and infusion site infiltration or extravasation. Anaphylaxis has been observed with PEMGARDA, and the PEMGARDA Fact Sheet for HCPs includes a boxed warning for anaphylaxis. This could result in product liability claims against us and/or recalls of one or more of our products. In many countries, including in European Union member states, national laws provide for strict (no-fault) liability which applies even where damages are caused both by a defect in a product and by the act or omission of a third party. If we cannot successfully defend ourselves against claims that our product candidates or drugs caused injuries, we will incur substantial liabilities. Regardless of merit or eventual outcome, liability claims may result in:</w:t>
      </w:r>
    </w:p>
    <w:p>
      <w:pPr>
        <w:spacing w:after="0" w:line="86" w:lineRule="exact"/>
        <w:rPr>
          <w:sz w:val="20"/>
          <w:szCs w:val="20"/>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continue commercialization of our product candidates.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a deficiency in our or our CDMO’s, CROs’, contractors’, consultants’ or collaborators’ cybersecurity.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Maintaining the security of our information systems and communication systems is a critical issue for us, and we devote considerable internal and external resources to network security and other security measures to protect our systems and users, but these security measures cannot provide absolute security. Moreover, even security measures that are deemed appropriate, reasonable, and/or in accordance with applicable legal standards or requirements may not be able to protect the information we maintain. The multitude and complexity of our information systems may furthermore make them susceptible to service interruption, cybersecurity incidents, disruption of data integrity, inadvertent errors that expose our data or systems, malicious intrusion, or cyberattacks. Despite our efforts, the possibility of these events occurring, and the ever-changing threat landscape, cannot be eliminated entirely and there can be no assurance that any measures we take will prevent cyber-attacks or cybersecurity incidents that could adversely affect our business.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internal information systems, and those of third parties on which we rely, are also vulnerable to, among other things, computer viruses, malware, natural disasters, terrorism, war, telecommunication and electrical failures, system malfunctions, cyberattacks or cyber-intrusions over the Internet, social engineering (e.g., phishing attacks), attacks enhanced or facilitated by AI, and other similar threats. The source of these vulnerabilities may be persons inside or outside our organization. We have in the past and plan to in the future identify defects, errors, or vulnerabilities, which could inadvertently permit access to or exposure of data, including personal data, that we maintain or which third parties maintain on our behalf. The risk of a cybersecurity incident, particularly through cyberattacks or cyber intrusion, including by computer hackers, foreign governments and cyber terrorists, has generally increased as the number, intensity and sophistication of attempted attacks and intrusions from around the world have increased. For example, the ongoing conflict between Russia and Ukraine has led to an increase in cyberattacks on Ukraine, including its government, companies, institutions and people, as well on the financial and communications infrastructure of other countries, companies and individuals therein. If any such event were to occur in countries in which we operate, it could lead to the loss, destruction, alteration, prevention of access to, disclosure, dissemination of, or damage or unauthorized access to, our data (including trade secrets or other confidential information, intellectual property,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proprietary business information and personal data) or data that is processed or maintained on our behalf, and cause interruptions in our operations, resulting in a material disruption of our product development programs. For example, the loss or alteration of clinical trial data from completed or ongoing or planned clinical trials could result in delays in our regulatory approval efforts, significantly increase our costs to recover or reproduce the data, and reduce trial participants’ or patients’ trust in us. Additionally, such events could lead to an interruption in our supply chain for the manufacturing of clinical and commercial drug substance and drug product, as well as related materials, and could significantly impact development and commercialization timelines and capabilities. If our information systems or a third-party’s information systems on which we rely suffer severe damage, disruption or shutdown and issues are not resolved in a timely manner, we could experience delays in reporting our financial results, and we may lose revenue and profits as a result of our inability to timely manufacture or distribute our products. We continue to implement security measures to bolster our network security and protect our systems, however, such efforts are not guaranteed to prevent such events from occurring.</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ensure that our data protection efforts and our investment in information technology, or the efforts or investments of our CDMO, CROs, consultants or other third parties with which we work, will prevent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rely on third parties to manufacture, package and label our product candidates, and any data breaches or other cybersecurity incidents relating to their information systems, or the information systems of other business partners, could also have a material adverse effect on our business. Controls employed by our information technology department and our CDMO, CROs, consultants and other third parties could prove inadequate, and our ability to monitor such third parties’ data security practices is limited. Due to applicable laws, rules, regulations and standards or contractual obligations, we may be held responsible for information security failures or cybersecurity incidents attributed to our third-party service providers as they relate to the information we share with them.</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Notifications and follow-up actions related to a data breach or other cybersecurity incident could impact our reputation and cause us to incur significant costs, including significant legal expenses and remediation costs as well as potential regulatory scrutiny. We expect to incur significant costs in an effort to detect and prevent cybersecurity incidents, and we may face increased costs and requirements to expend substantial resources in the event of an actual or perceived cybersecurity incident. However, we cannot guarantee that we will be able to detect or prevent any such cybersecurity incidents, or that we can remediate any such incidents in an effective or timely manner. Our efforts to improve security and protect data from compromise may also identify previously undiscovered cybersecurity incidents. To the extent that any disruption or cybersecurity incident was to result in a loss of or damage to our data or applications, or inappropriate disclosure of confidential or proprietary information or personal data, we could incur material reputational harm, penalties, regulatory scrutiny, liabilities, legal claims, and/or mandated changes in our business practices, and the further development of our product candidates could be delayed. Any such event could also compel us to comply with federal and state breach notification laws, and foreign law equivalents, subject us to investigations or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a cybersecurity incident, such coverage will cover any indemnification claims against us relating to any cybersecurity incident, such coverage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U.S., numerous federal and state laws and regulations could apply to our operations or the operations of our partners, including state data breach notification laws, state health information privacy laws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54" w:lineRule="auto"/>
        <w:rPr>
          <w:sz w:val="20"/>
          <w:szCs w:val="20"/>
          <w:color w:val="auto"/>
        </w:rPr>
      </w:pPr>
      <w:r>
        <w:rPr>
          <w:rFonts w:ascii="Times New Roman" w:cs="Times New Roman" w:eastAsia="Times New Roman" w:hAnsi="Times New Roman"/>
          <w:sz w:val="18"/>
          <w:szCs w:val="18"/>
          <w:color w:val="auto"/>
        </w:rPr>
        <w:t>and federal and state consumer protection laws and regulations, including Section 5 of the FTC Act and the FTC Health Breach Notification Rule,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as amended by the Health Information Technology for Economic and Clinical Health Act, and the regulations promulgated thereunder (“HIPAA”). HIPAA imposes privacy and security obligations on “covered entities,” covered entity health care providers, health plans, and health care clearinghouses, as well as their “business associates” (i.e., certain persons or entities that create, receive, maintain, or transmit protected health information in connection with providing a specified service or performing a function for or on behalf of a covered entity). Depending on the facts and circumstances, we could be subject to significant penalties if we, our affiliates, or our agents knowingly receive individually identifiable health information maintained by a HIPAA-covered entity in a manner that is not authorized or permitted by HIPAA.</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federal level, 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and has taken the position that individually identifiable health information is considered sensitive data that merits stronger safeguards. With respect to privacy, the FTC also sets expectations for failing to honor the privacy promises made to individuals about how a company handles consumers’ personal information; such failure may also constitute unfair or deceptive acts or practices in violation of the FTC Act. The FTC also has the power to enforce the Health Breach Notification Rule, which imposes notification obligations on companies for breaches of certain health information contained in personal health records. Enforcement by the FTC under the FTC Act can result in civil penalties or enforcement actions.</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Europe, the GDPR, including as implemented in the UK, governs the processing of personal data of individuals within the European Economic Area (“EEA”) and the UK, including clinical trial data. Among other things, the GDPR imposes requirements regarding the security of personal data and notification of data breaches to the competent national data processing authorities, requires having lawful bases for processing personal data (which may in certain situations require explicit consent of data subjects). The GDPR imposes substantial fines for breaches and violations (for the most serious violations of up to the greater of €20 million or 4% of annual global turnover) and confers the right for data subjects to lodge complaints with supervisory authorities, seek judicial remedies and obtain compensation for damages resulting from violations of the GDPR. In addition, the GDPR generally restricts the transfers of personal data from the EEA, including the European Union, United Kingdom and Switzerland, to other jurisdictions that the European Commission/United Kingdom Secretary of State, as applicable, does not recognize as having “adequate” data protection laws unless the parties to the transfer have implemented specific safeguards to protect the transferred personal data. While, previously, U.S. companies could rely on self-certification to the EU-U.S. and Swiss-U.S. Privacy Shield frameworks administered by the U.S. Department of Commerce as one of these safeguards to legitimize transfers from the European Union and Switzerland to the U.S., this has been invalidated by the Court of Justice of the European Union (the “CJEU”). The CJEU found that the Standard Contractual Clauses (“SCCs”), one of the primary safeguards for legitimizing data transfers, were valid in principle, but placed obligations on the parties entering into them including to verify whether an adequate level of protection is provided in the recipient jurisdiction, and whether additional measures are required to bring the level of protection in line with European Union standards. Following this decision, the European Data Protection Board issued guidance on how organizations should approach international data transfers of GDPR-covered personal data, including the supplemental measures companies can adopt to help protect against overarching surveillance outside of the European Union. In June 2021, the European Commission adopted a new set of SCCs aimed at enabling lawful transfers of personal data to non-adequate countries outside the EEA, the deadline for the adoption of which was December 27, 2022. The United Kingdom Information Commissioner’s Office also issued guidance on how to approach undertaking risk assessments for transfers of United Kingdom- data to non-adequate countries outside the United Kingdom. With respect to the U.S., on July 10, 2023, the European Commission adopted its adequacy decision for the EU-US Data Privacy Framework, providing for personal data to flow freely from the European Union to U.S.-based companies that participate in the Data Privacy Framework.</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lack of valid transfer mechanisms for GDPR-covered data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European Union and United Kingdom). Further, the European Union and United Kingdom data protection laws (including laws on data transfers as set out above) may also be updated/revised, accompanied by new guidance and/or judicial/regulatory interpretations, which could entail further impacts on our compliance efforts and increased cost.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Any failure or perceived failure by us, a company that we acquire, or one of our service providers to comply with laws, regulations, policies, legal or contractual obligations, industry standards or regulatory guidance relating to privacy or data security could result in governmental investigations and enforcement actions, litigation, fines and penalties, exposure to indemnification obligations or other liabilities, and adverse publicity, all of which could have an adverse effect on our reputation, as well as our business, financial condition, and results of operations.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states are constantly adopting new laws or amending existing laws, requiring attention to frequently changing regulatory requirements. For example, the California Consumer Privacy Act, as amended by the CCPA. The CCPA gives California consumers (as defined by law) expanded rights, including to access, correct and delete their personal information and to opt-out of certain personal information disclosures, including sales of their personal information. It also requires covered companies to provide disclosures to California consumers and includes opt-out rights for certain uses of sensitive data. Under the CCPA, the California data protection agency is authorized to issue substantive regulations, including with respect to risk assessments and cybersecurity audits, which could result in increased privacy and information security enforcement. The agency continues to draft and propose implementing regulations for the CCPA. The CCPA provides for civil penalties for violations, as well as a private right of action for data breaches of certain types of data that is expected to increase data breach litigation. Similar state consumer protection laws have passed in other states and there are now more than a dozen in effect. Future laws may have potentially conflicting requirements that would make compliance challenging and present legal risk and could result in significant compliance costs. Health-specific consumer privacy laws were also passed in multiple states, including Washington and Nevada.</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as a result of the broad scale release and availability of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 the GDPR, CCPA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However, these policies and practices may not be aligned with every applicable legal or regulatory standard immediately, due in part to the rapidly shifting landscape of privacy and data security requirements. A regulatory review or other independent assessment of the privacy program may result in identifying one or more areas of non-compliance. Additionally, if third parties with which we work, such as vendors or service providers, violate applicable laws, rules or regulations or our policies or contractual obligations, such violations may also put our or our clinical trial and employee data, including personal data, at risk, which could in turn have an adverse effect on our business. The landscape of laws regulating personal data is constantly evolving, and compliance with these laws requires a flexible privacy framework and substantial resources. Accordingly compliance efforts will likely be an increasing and substantial cost in the future.</w:t>
      </w:r>
    </w:p>
    <w:p>
      <w:pPr>
        <w:spacing w:after="0" w:line="82"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1040"/>
        <w:spacing w:after="0" w:line="373" w:lineRule="auto"/>
        <w:rPr>
          <w:sz w:val="20"/>
          <w:szCs w:val="20"/>
          <w:color w:val="auto"/>
        </w:rPr>
      </w:pPr>
      <w:r>
        <w:rPr>
          <w:rFonts w:ascii="Times New Roman" w:cs="Times New Roman" w:eastAsia="Times New Roman" w:hAnsi="Times New Roman"/>
          <w:sz w:val="18"/>
          <w:szCs w:val="18"/>
          <w:color w:val="auto"/>
        </w:rPr>
        <w:t xml:space="preserve">amount exceeding our resources, and our clinical trials or regulatory approvals could be suspended, which could seriously harm our business. </w:t>
      </w:r>
      <w:r>
        <w:rPr>
          <w:rFonts w:ascii="Times New Roman" w:cs="Times New Roman" w:eastAsia="Times New Roman" w:hAnsi="Times New Roman"/>
          <w:sz w:val="18"/>
          <w:szCs w:val="18"/>
          <w:b w:val="1"/>
          <w:bCs w:val="1"/>
          <w:color w:val="auto"/>
        </w:rPr>
        <w:t>Risks Related to Our Dependence on Third Parties</w:t>
      </w:r>
    </w:p>
    <w:p>
      <w:pPr>
        <w:spacing w:after="0" w:line="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supervise, analyze and monitor a significant portion of our nonclinical activities and clinical trials for our product candidates, and if those third parties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engaged CROs and other third parties to conduct nonclinical activities and clinical trials for our product candidates, and to monitor and manage data. We expect to continue to rely on third parties such as clinical data management organizations, medical institutions and clinical investigators to conduct such activities and trials. We also rely on third parties for their research and discovery capabilities, including the nonclinical activity of assay development and virology testing of our product candidates.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on commercially reasonable terms, if at all. Switching or adding CROs or other third-party vendors requires management time and focus, and may involve substantial cost or result in delays that materially impact our ability to meet our desired program timelines for our product candidates. Though we intend to carefully manage our relationships with our CROs and other third-party vendors, there can be no assurance that we will not encounter challenges or delays in the future or that any such delays or challenges will not have a material adverse impact on our business, financial condition and prospects.</w:t>
      </w:r>
    </w:p>
    <w:p>
      <w:pPr>
        <w:spacing w:after="0" w:line="8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any third parties conducting our nonclinical activities or our clinical trials, or monitoring and managing our data, will not be our employees, and except for remedies available to us under our agreements with such third parties, we cannot control whether or not they devote sufficient time and resources to our programs. If these third parties do not successfully carry out their contractual duties or obligations or meet expected deadlines, or if the quality or accuracy of the nonclinical, clinical or other data they generate or otherwise obtain is compromised or not timely made available to us or regulatory authorities, due to the failure to adhere to applicable protocols, regulatory requirements, contractual obligations or for other reasons, our preclinical studies or clinical trials may be extended, delayed or terminated, the strength and reliability of our data may be adversely impacted, which may impact our ability to obtain or maintain regulatory authorization or approval, or result in modification to the regulatory authorization or approval documents (e.g., EUA fact sheet, letter of authorization or prescribing information), and may impact our ability to successfully commercialize our product candidates. Consequently, our results of operations and the commercial prospects for our product candidates may be harmed, our costs could increase substantially and our ability to generate revenue could be impaired significantly. For example, following receipt of EUA from the FDA in March 2024 for PEMGARDA™ (pemivibart) for the pre-exposure prophylaxis (prevention) of COVID-19 in certain adults and adolescent individuals (12 years of age and older weighing at least 40 kg), we were informed in mid-July 2024 by our third-party authentic virus neutralization assay (“AVNA”) vendor that a possible contamination event may have impacted the AVNA potency value generated by such vendor for pemivibart against JN.1, which was the dominant circulating SARS-CoV-2 variant in the U.S. between January 2024 and April 2024. Along with the pseudotyped viral neutralization assay (“PVNA”) potency value for pemivibart against JN.1, the original PEMGARDA Fact Sheet for HCPs reflected the AVNA potency value for pemivibart against JN.1. As a result of the possible contamination event at our third-party AVNA vendor that may have impacted the AVNA potency value for pemivibart against JN.1, the FDA made modifications to the PEMGARDA Fact Sheet for HCPs, including, among other changes, removal of the AVNA potency value for pemivibart against JN.1 and incorporation of certain other available information for HCPs to consider when determining whether to prescribe PEMGARDA.</w:t>
      </w:r>
    </w:p>
    <w:p>
      <w:pPr>
        <w:spacing w:after="0" w:line="30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reliance on CROs and other third parties reduces our control over our nonclinical activities and clinical trials, but does not relieve us of our regulatory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cGCPs, the clinical data generated in our clinical trials may be deemed unreliable and the FDA or comparable foreign regulatory authorities may require us to perform additional clinical trials before authorizing or approving our product candidates. We cannot assure you that upon inspection by a given regulatory authority, such regulatory authority will determine that any of our clinical trials complies with cGCP regulations. In addition, our clinical trials must be conducted with product produced under cGMP conditions. Our failure to comply with these regulations may require us to repeat clinical trials, which would delay the regulatory authorization or approval process for our product candidates.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are required to register certain clinical trials and post the results of certain completed clinical trials on a government-sponsored database, such as ClinicalTrials.gov, within specified timeframes. This remains our obligation regardless of whether we have contracted any third party to assist and failure to do so can result in fines, adverse publicity and civil and criminal sanctions.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which may lead to the delay or denial of regulatory authorization or approval for our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supplies for our clinical trials. Any performance failure on the part of such third parties could delay clinical development or marketing approval or authorization of our product candidates or commercialization of our products, producing additional losses and depriving us of potential revenue.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our CROs or other third-party vendors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test, label, package, store and distribute clinical and commercial supplies of our product candidates.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currently rely on third parties for manufacturing, testing, labeling, packaging, storing and distributing our product candidates. We do not own or operate any facilities for product manufacturing, testing, labeling, packaging, or storage.</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by our third-party contractors to manufacture and test our product candidates may be inspected by the FDA after we submit an EUA or a BLA to the FDA. We have established a relationship with WuXi Biologics as our CDMO to manufacture our product candidates for clinical and commercial supply. We do not control the manufacturing process of, and are completely dependent on, our CDMO for compliance with the cGMP requirements. If our CDMO cannot successfully manufacture material that conforms to our specifications and the strict regulatory requirements of the FDA or other regulatory authorities, we will not be able to secure and/or maintain regulatory authorization or approval for our product candidates. In addition, we have limited control over the ability of our CDMO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timely develop, obtain regulatory authorization or approval for or market our product candidates, if authorized or approved. If we are not able to meet market demand for any authorized or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8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rely exclusively on WuXi Biologics’ China-based facilities for clinical supply and commercial supply. We will likely continue to rely on foreign CDMOs in the future. Foreign CDMOs may be subject to trade restrictions and other foreign regulatory requirements, which could increase the cost or reduce the supply of material available to us, delay the procurement or supply of such material, or delay or prevent the shipment of material out of the foreign country to the U.S. There is additional uncertainty as it is not known what actions, including the imposition of potential sanctions or tariffs, may be taken by the new U.S. presidential administration.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 Foreign CDMOs may also be the subject of U.S. legislation. For example, in late-2023 and early-2024, there was congressional activity, including the introduction of the BIOSECURE Act (H.R. 7085) in the House of Representatives (which was passed in September 2024) and a substantially similar Senate bill (S.3558), which, if enacted, would discourage contracting with Chinese biotechnology companies, and specifically WuXi Apptec and its subsidiaries on the development or manufacturing of pharmaceutical products. If this legislation became law, or if a similar law were passed, it would have the potential to severely restrict the ability of U.S. biopharmaceutical companies like us to purchase services or products from, or otherwise collaborate with, certain Chinese biotechnology companies “of concern” without losing the ability to contract with, or otherwise receive funding from, the U.S. government. It is possible some of our contractual counterparties, including WuXi Biologics, could be impacted by the legislation described above. If WuXi Biologics or any of the other third parties that we engage to supply any materials or manufacture products for our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preclinical tests and clinical trials should cease to continue to do so for any reason, we could experience delays in advancing these tests and trials while we identify and qualify replacement suppliers or manufacturers and we may be unable to obtain replacement supplies on terms that are favorable to us, or at all. In addition, if we are not able to obtain adequate supplies of our products or product candidates or the substances used to manufacture them, it will be more difficult for us to develop our product candidates, commercialize our products and compete effectively.</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our reliance on third parties for manufacturing, testing, labeling, packaging and storing our product candidates entails risks to which we would not be subject if we manufactured, tested, labeled, packaged and stored our product candidates ourselves, including:</w:t>
      </w:r>
    </w:p>
    <w:p>
      <w:pPr>
        <w:spacing w:after="0" w:line="54" w:lineRule="exact"/>
        <w:rPr>
          <w:sz w:val="20"/>
          <w:szCs w:val="20"/>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sufficient manufacturing capacity on desired timelines;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a third-party manufacturer to execute our manufacturing procedures and other logistical support requirements appropriately;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additional manufacturing agreements with third parties under commercially reasonable terms, if at all;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the intellectual property rights in any improvements made by a third-party manufacturer in the manufacturing process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manufacturer may gain knowledge from working with us that could be used to supply one of our competitors with a product that competes with ours;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operations of a third-party manufacturer or suppliers by conditions unrelated to our business or operations, including the bankruptcy of the manufacturer or supplier.</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engaged WuXi Biologics for development and generation of the production cell line starting material manufacturing for our product candidates.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could be lengthy and we could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or maintain regulatory authorization or approval or impact our ability to successfully commercialize our product candidates, if authorized or approved. Some of these events could be the basis for FDA action, including injunction, request for recall, seizure or total or partial suspension of production.</w:t>
      </w:r>
    </w:p>
    <w:p>
      <w:pPr>
        <w:spacing w:after="0" w:line="6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discovery, development or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third-party collaborators for the discovery, development and commercialization of our product candidates, including for the commercialization of any of our product candidates that are approved for marketing outside the U.S.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in July 2021, we entered into a license agreement with Biocon to combat COVID-19 in Southern Asia. Under the license agreement, we will provide Biocon materials and know-how to manufacture and commercialize an antibody treatment based on adintrevimab in India and select emerging markets. However, our agreement with Biocon may not result in the successful development and commercialization of an antibody treatment for COVID-19 in India or other markets. Biocon’s ability to successfully manufacture in those territories may be restricted by foreign regulatory requirements.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17" w:lineRule="exact"/>
        <w:rPr>
          <w:sz w:val="20"/>
          <w:szCs w:val="20"/>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European Commission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18"/>
          <w:szCs w:val="18"/>
          <w:color w:val="auto"/>
        </w:rPr>
        <w:t>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including PEMGARDA, and technologies. Our success depends in large part on our ability to obtain and maintain patent and other intellectual property protection in the U.S.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three issued U.S. patents with claims directed to adintrevimab, ADG10, and methods of use of adintrevimab, alone or in combination with ADG10 (an antibody-based product candidate previously considered for potential use in combination with adintrevimab for the treatment and prevention of COVID-19), respectively.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t>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trade secrets, our business and competitive position would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or our partner(s) elect not to patent. Whether proprietary information, data and processes were developed internally, through collaboration partnering, or licensed from one or more third parties, we seek to protect them, in part, by confidentiality agreements and invention assignment agreements with our employees, consultants, scientific advisors, contractors and partners. Although these agreements are designed to protect proprietary information, we cannot be certain that our trade secrets and other confidential proprietary information will not be disclosed or that competitors will not otherwise gain access to trade secrets or independently develop substantially equivalent information and techniques. Although we generally require all of our employees to assign their inventions to us, and all of our employees, consultants, advisors and any third parties who have access to proprietary know-how, information or technology to enter into confidentiality agreements, we cannot provide any assurances that all such agreements have been duly executed with all third parties who may have helped to develop our intellectual property or who had access to proprietary information, or that our agreements will not be breached. If any of the parties to these confidentiality agreements breaches or violates the terms of such agreements, we may not have adequate remedies for any such breach or violation, and we could lose trade secrets as a result.</w:t>
      </w:r>
    </w:p>
    <w:p>
      <w:pPr>
        <w:spacing w:after="0" w:line="8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our trade secrets, like patent litigation, is expensive and time-consuming, and the outcome is unpredictable. Further, the laws of some foreign countries do not protect proprietary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rights to the same extent or in the same manner as the laws of the U.S. The enforceability of confidentiality agreements may vary from jurisdiction to jurisdiction. As a result, we may encounter significant problems in protecting and defending our intellectual property both in the U.S. and abroad. Additionally, if the steps taken to maintain our trade secrets are deemed inadequate, we may have insufficient recourse against third parties for misappropriating the trade secret.</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confidence in these individuals, organizations and systems, our agreements or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materially harmed.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an assignment and license agreement, a collaboration agreement and a platform transfer agreement with Adimab, pursuant to which we are obligated to make payments upon achievement of milestone events and royalties. If these agreements are terminated, our business and prospects will be materially and adversely affected.</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party to the Adimab Assignment Agreement with Adimab, under which Adimab has assigned to us its rights, title and interest in and to certain of its coronavirus-specific antibodies, including modified or derivative forms thereof, and related intellectual property. Pursuant to the Adimab Assignment Agreement, Adimab additionally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for all indications and uses, with the exception of certain diagnostic uses and use as a research reagent. Under the Adimab Assignment Agreement, we are obligated to use commercially reasonable efforts to achieve specified development and regulatory milestones for subject products in certain major markets and to commercialize a subject product in any country in which we obtain marketing approval. This agreement additionally contains obligations that require us to make payments in the event certain milestone events are achieved and royalty payments on net sales of any subject products, in accordance with the Adimab Assignment Agreement, beginning upon the first commercial sale of a subject product in accordance with the Adimab Assignment Agreement, on a product-by-product and country-by-country basis, for a period ending on the later of (i) 12 years after the first commercial sale of such product in such country and (ii) the expiration of the last valid claim of a patent covering such product in such country.</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also party to the Adimab Collaboration Agreement with Adimab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its platform patents and technology and antibody patents to perform our responsibilities during the Evaluation Term. In addition,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 We are obligated to use commercially reasonable efforts to develop, seek marketing approval for, and commercialize one product that contains an antibody discovered in each optioned research program. The Adimab Collaboration Agreement additionally contains obligations that require us to make payments in the event certain milestone events are achieved and royalty payments on net sales of subject products, in accordance with the Adimab Collaboration Agreement, on a product-by-product and country-by-country basis, for a period ending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also party 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 During the first four years of the Adimab Platform Transfer Agreement, we owe a fixed annual fee to Adimab, which allows us to receive material improvements to the platform technology, including materially improved antibody optimization libraries, updates that provide new functionality to the platform, and software upgrades, from Adimab through June 2027. After such time, until June 2042, unless terminated earlier, we have the option to receive additional material improvements to the platform technology from Adimab, subject to a commercially reasonable fee to be negotiated by the parties. The Adimab Platform Transfer Agreement also contains obligations that require us to make payments to Adimab in the event certain specified development and regulatory milestone events are achieved and royalty payments on net sales of subject products, in accordance with the Adimab Platform Transfer Agreement, on a product-by-product and country-by-country basis, for a period ending 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we are building our internal capabilities in order to discover and develop mAb candidates, our business continues to be reliant upon the intellectual property rights assigned and licensed to us under the Adimab Assignment Agreement, the Adimab Collaboration Agreement and the Adimab Platform Transfer Agreement. If we materially breach the Adimab Assignment Agreement, the Adimab Collaboration Agreement or the Adimab Platform Transfer Agreement, our licenses under the Adimab Assignment Agreement, the Adimab Collaboration Agreement and the Adimab Platform Transfer Agreement can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the Adimab Collaboration Agreement or the Adimab Platform Transfer Agreement is terminated as a result of our breach or otherwise, our business and prospects will be materially and adversely affected.</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collaborations and licenses could subject us to a number of risks, including:</w:t>
      </w:r>
    </w:p>
    <w:p>
      <w:pPr>
        <w:spacing w:after="0" w:line="117" w:lineRule="exact"/>
        <w:rPr>
          <w:sz w:val="20"/>
          <w:szCs w:val="20"/>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75"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stockholders’ percentage ownership of our company;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select indications or design clinical trials in a way that may be less successful than if we were doing so;</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 from these products;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(the “Leahy-Smith Act”) was signed into law. The Leahy-Smith Act included a number of significant changes to U.S.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both"/>
        <w:spacing w:after="0" w:line="253" w:lineRule="auto"/>
        <w:rPr>
          <w:sz w:val="20"/>
          <w:szCs w:val="20"/>
          <w:color w:val="auto"/>
        </w:rPr>
      </w:pPr>
      <w:r>
        <w:rPr>
          <w:rFonts w:ascii="Times New Roman" w:cs="Times New Roman" w:eastAsia="Times New Roman" w:hAnsi="Times New Roman"/>
          <w:sz w:val="18"/>
          <w:szCs w:val="18"/>
          <w:color w:val="auto"/>
        </w:rPr>
        <w:t>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U.S. As a result, we may encounter significant problems in protecting and defending our intellectual property both in the U.S.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U.S. and other countries may materially diminish the value of our intellectual property or narrow the scope of our patent protection.</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one example, in Europe, a new unitary patent system became effective in June 2023, which may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8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 For example, WuXi Biologics has provided only high-level information to us identifying the general nature of the licensed control elements in the expression vector used in the production cell line starting material for product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our product candidates, and a third party may claim that our development or commercialization of our product candidates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our product candidates, which may not be feasible on a technical or commercial basis in a timely manner, and we may have to delay or abandon development of our product candidates, which could have a material adverse effect on our business.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incorrect, which may negatively impact our ability to develop and market our product candidates. Our failure to identify and correctly interpret relevant third-party patents may negatively impact our ability to develop and market our products.</w:t>
      </w:r>
    </w:p>
    <w:p>
      <w:pPr>
        <w:spacing w:after="0" w:line="5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7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inter partes reviews, and reexamination proceedings before the USPTO or oppositions and other comparable proceedings in foreign jurisdictions. Numerous U.S.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provide any assurance that our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product candidates, including oppositions, interference proceedings, reexaminations, post-grant review, inter partes review, or derivation proceedings before the USPTO in the U.S.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our product candidates. In order to successfully challenge the validity of any U.S. patents asserted against us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8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18"/>
          <w:szCs w:val="18"/>
          <w:color w:val="auto"/>
        </w:rPr>
        <w:t>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U.S. or Europe. These products may compete with our product candidates, and our future patents or other intellectual property rights may not be effective or sufficient to prevent them from competing. Additionally, unforeseen global events such as the conflict between Russia and Ukraine, and sanctions relating to these events could affect our ability to file, prosecute, and defend patents and patent applications in those jurisdictions.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legal or regulatory action by various stakeholders or governments could potentially result in us not seeking intellectual property protection for or agreeing not to enforce or being restricted from enforcing intellectual property related to our products. For example, there were discussions at the World Trade Organization (the “WTO”) regarding the role of intellectual property in the context of the COVID-19 response, including a proposal that would release WTO members from their obligation under the WTO Agreement on Trade Related Aspects of Intellectual Property Rights to grant and enforce various types of intellectual property protection on health products and technology in relation to the treatment of COVID-19.</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For example,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As a result, it is possible that certain countries may take steps to facilitate compulsory licenses that permit the distribution of a therapeutic in those countries.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U.S. over the lifetime of our owned and licensed patents and/or applications and any patent rights we may obtain in the future. Furthermore, the USPTO and various non-U.S.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We also expect to rely on trademarks to protect our company name. Once we select new trademarks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jc w:val="both"/>
        <w:spacing w:after="0" w:line="255" w:lineRule="auto"/>
        <w:rPr>
          <w:sz w:val="20"/>
          <w:szCs w:val="20"/>
          <w:color w:val="auto"/>
        </w:rPr>
      </w:pPr>
      <w:r>
        <w:rPr>
          <w:rFonts w:ascii="Times New Roman" w:cs="Times New Roman" w:eastAsia="Times New Roman" w:hAnsi="Times New Roman"/>
          <w:sz w:val="18"/>
          <w:szCs w:val="18"/>
          <w:color w:val="auto"/>
        </w:rPr>
        <w:t>and apply to register them, our trademark applications may not be approved. Although we would be given an opportunity to respond to those rejections, we may be unable to overcome such rejections. We currently have trademark applications pending in the U.S. and in certain foreign jurisdictions, but we have no issued trademark registrations in the U.S. Third parties may oppose or attempt to cancel our trademark applications or trademarks, or otherwise challenge our use of the trademarks. For example, in October 2023, Ipsen Biopharm, LTD (“Ipsen”) and its affiliates filed oppositions against our trademark applications for “INVIVYD” in the USPTO based on Ipsen’s registered trademark for the oncology drug “ONIVYDE”. We resolved this issue by entering into a coexistence agreement with Ipsen in which Ipsen withdrew their oppositions of the INVIVYD mark and we agreed to limit our use of INVIVYD to a “house mark.”</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are found to infringe the trademark rights of a third party, we could be forced to rebrand our company or our drugs, which could result in loss of brand recognition and could require us to devote resources to advertising and marketing new brands. In the event such infringement is found to have caused commercial harm, we could be found liable for substantial monetary damages, potentially including treble damages and attorneys’ fees, if we are found to have willfully infringed the trademark at issue.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140" w:hanging="504"/>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any of our patents, should they issue;</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make the inventions covered by our future issued patents or our pending patent applications;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an EUA for PEMGARDA, which the FDA would be required to revoke if HHS determines that emergency use is no longer warranted, which would adversely impact our ability to market PEMGARDA in the United States.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has the authority to grant an EUA to allow unapproved medical products to be used in an emergency to diagnose, treat or prevent serious or life-threatening diseases or conditions when there are no adequate, approved and available alternatives. On March 22, 2024, we received an EUA from the FDA for 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FDCA, unless the declaration is terminated or authorization revoked sooner. Because the FDA is required to revoke an EUA if HHS determines that emergency use is no longer warranted, we cannot predict how long our EUA for PEMGARDA will remain in place. If the FDA terminates or revokes our EUA for PEMGARDA prior to us having pursued and received regulatory approval to commercialize PEMGARDA through a traditional approval pathway, we would be required to cease our commercialization efforts, which would substantially and negatively impact our business.</w:t>
      </w:r>
    </w:p>
    <w:p>
      <w:pPr>
        <w:spacing w:after="0" w:line="7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the Physician Payments Sunshine Act and regulations promulgated under such laws. These laws will impact, among other things, our clinical research, proposed sales, marketing and educational programs, and other interactions with healthcare professionals and patients. In addition, we may be subject to patient privacy laws by both the federal government and the states in which we conduct or may conduct our business. The laws that will affect our operations include, but are not limited to:</w:t>
      </w:r>
    </w:p>
    <w:p>
      <w:pPr>
        <w:spacing w:after="0" w:line="81" w:lineRule="exact"/>
        <w:rPr>
          <w:sz w:val="20"/>
          <w:szCs w:val="20"/>
          <w:color w:val="auto"/>
        </w:rPr>
      </w:pPr>
    </w:p>
    <w:p>
      <w:pPr>
        <w:jc w:val="both"/>
        <w:ind w:left="1140" w:hanging="504"/>
        <w:spacing w:after="0" w:line="254"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directly or indirectly, overtly or covertly, in cash or in kind in return for, or to induce, either the referral of an individual, or the purchase, lease, order or arrangement for or recommendation of the purchase, lease, order or arrangement for any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140" w:hanging="504"/>
        <w:spacing w:after="0" w:line="253"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can be enforced by private citizens through civil whistleblower or qui tam actions, and which prohibits, among other things, individuals or entities from knowingly presenting, or causing to be presented, claims for payment of government funds, including from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for payment of government funds. Several pharmaceutical and other healthcare companies have been investigated and have reached substantial financial settlements with the federal government under the civil False Claims Act for a variety of alleged misconduct, including, for example, allegedly providing free product to customers with the expectation that the customers would bill federal programs for the product. The government may deem companies to have “caused” the submission of false or fraudulent claims by, for example,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jc w:val="both"/>
        <w:ind w:left="1140" w:hanging="504"/>
        <w:spacing w:after="0" w:line="254"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certain healthcare providers, health plans, healthcare clearinghouses, and their respective “business associates,” certain persons or entities that create, receive, maintain or transmit protected health information for or on behalf of a covered entity as well as their covered subcontractors, with respect to safeguarding the privacy, security and transmission of protected health information. Other analogous state and foreign laws govern the privacy and security of health information in some circumstances. Additionally, numerous federal and state laws, including state security breach notification laws, and federal and state consumer protection and privacy laws, (including, for example, Section 5 of the FTC Act and the FTC Health Breach Notification Rule, and the CCPA, as amended by the CPRA) govern the collection, use and disclosure of personal information. Many of these laws differ from each other in significant ways and thus complicate compliance efforts;</w:t>
      </w:r>
    </w:p>
    <w:p>
      <w:pPr>
        <w:spacing w:after="0" w:line="80"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including those by private payors. Similar to the federal Anti-Kickback Statute,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and when we obtain regulatory authorization or approval for a product candidate, such products will remain subject to ongoing regulatory oversight, which may result in significant additional expense.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and when we obtain any regulatory authorization or approval for our product candidates, such as PEMGARDA, which received an EUA from the FDA in March 2024, they will be subject to ongoing regulatory requirements applicable to manufacturing, labeling, packaging, storage, advertising, promoting, sampling, record-keeping and submission of safety and other post-market information, among other things. For example, we will be required to immediately report any serious 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jc w:val="both"/>
        <w:spacing w:after="0" w:line="255" w:lineRule="auto"/>
        <w:rPr>
          <w:sz w:val="20"/>
          <w:szCs w:val="20"/>
          <w:color w:val="auto"/>
        </w:rPr>
      </w:pPr>
      <w:r>
        <w:rPr>
          <w:rFonts w:ascii="Times New Roman" w:cs="Times New Roman" w:eastAsia="Times New Roman" w:hAnsi="Times New Roman"/>
          <w:sz w:val="18"/>
          <w:szCs w:val="18"/>
          <w:color w:val="auto"/>
        </w:rPr>
        <w:t>unexpected adverse events and certain quality or production problems with our authorized or approved products to regulatory authorities along with other periodic reports. Any regulatory approvals that we receive for a product candidate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Additionally, the FDA has expected that companies that receive an EUA for COVID-19 antibodies will proceed to licensure of their products under a BLA, which, if required of us by the FDA with respect to any product candidate for which we receive an EUA, would be time-consuming and expensive.</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including any limitations on advertising and promotion for a product authorized under an EUA, such as PEMGARDA.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authorization or approval, commonly known as off-label promotion. If one or more of our products were granted an EUA, such as PEMGARDA, there are additional limitations the FDA places upon manufacturers as to promotional communications and conditions the FDA imposes on manufacturers as to permissible form and substance and process for regulatory submission of promotional communications, which conditions are subject to change. If an EUA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Furthermore, the FDA may terminate an EUA, including our EUA for PEMGARDA, if safety issues or other concerns about our product, such as loss of neutralizing activity against dominant circulating SARS-CoV-2 variants, arise or if we fail to comply with the conditions of authorization.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an EUA, BLA or foreign marketing application. We need to monitor adverse events resulting from the use of our products candidates, as do the regulatory authorities, and we file periodic reports with the authorities concerning adverse events. The FDA, the competent authorities of the European Union Member States on behalf of the EMA, and the competent authorities of other European countries also periodically inspect records related to safety reporting. The EMA’s Pharmacovigilance Risk Assessment Committee may propose to the Committee for Medicinal Products for Human Use that a marketing authorization holder be required to take specific steps or advise that the existing marketing authorization be varied, suspended or revoked.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variation, suspension or withdrawal of marketing authorization, or suspension of manufacturing, or imposition of financial penalties or other enforcement measures.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authorization or approval of a product candidate, a regulatory authority may:</w:t>
      </w:r>
    </w:p>
    <w:p>
      <w:pPr>
        <w:spacing w:after="0" w:line="117" w:lineRule="exact"/>
        <w:rPr>
          <w:sz w:val="20"/>
          <w:szCs w:val="20"/>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authorization or approval;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 product candidates; 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successfully commercialize PEMGARDA or any future product candidates and harm our business, financial condition, results of operations and prospects.</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Despite obtaining authorization under an EUA for PEMGARDA in the U.S., we may never obtain authorization or approval for or commercialize PEMGARDA or any other product candidate in any other jurisdiction, which would limit our ability to realize any of their full market potential.</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 In addition, in order to distribute PEMGARDA or any other product candidates, if authorized or approved, we will need to secure and maintain required state licenses.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Authorization or approval by the FDA in the U.S. does not ensure authorization or approval by regulatory authorities in other countries or jurisdictions. However, the failure to obtain authorization or approval in one jurisdiction may negatively impact our ability to obtain authorization or approval elsewhere. In addition, clinical trials conducted in one country may not be accepted by regulatory authorities in other countries.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Authorization and approval processes vary among countries and can involve additional product testing and validation and additional administrative review periods. Seeking foreign regulatory authorization or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authorized or approved for sale in any jurisdiction other than PEMGARDA in the U.S. under an EUA, including in international markets, and we do not have experience in obtaining regulatory authorization or approval in international markets. If we fail to comply with regulatory requirements in international markets or to obtain and maintain required authorizations or approvals, or if regulatory authorizations or approvals in international markets are delayed, our market opportunity will be reduced and our ability to realize the full market potential of any product we develop will be unrealized.</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prevent or delay regulatory authorization or approval of product candidates, restrict or regulate post-authorization or post-approval activities, and affect our ability to profitably sell any product candidates for which we obtain regulatory authorization or approval.</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The ACA substantially changed the way healthcare is financed by both the government and private insurers and significantly impacts the U.S.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have been judicial and congressional challenges to certain aspects of the ACA and its implementing regulations as well as efforts to modify them or alter their interpretation or implementation. While the U.S. Congress has not passed comprehensive repeal legislation, several bills affecting the implementation of certain taxes under the ACA have been signed into law. The Tax Act included a provision that repealed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the ACA-mandated “Cadillac” tax on high-cost employer-sponsored health coverage and also eliminated the health insurer tax. Additional legislative changes, regulatory changes and judicial challenges related to the ACA remain possible, but the nature and extent of such potential changes or challenges are uncertain at this time. It is unclear how any efforts to modify, or invalidate the ACA, its implementing regulations, or portions thereof, and other reform measures that may be adopted in the future will affect our business.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pursuant to the Budget Control Act of 2011, which began in 2013, and due to subsequent legislative amendments to the statute, including the BBA and the Infrastructure Investment and Jobs Act, will remain in effect through 2031. Under current legislation, sequestration is currently set at 2% and will increase to 2.25% for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first half of fiscal year 2030, to 3% for the second half of fiscal year 2030, and to 4% for the remainder of the sequestration period that lasts through the first six months of fiscal year 2031. The American Taxpayer Relief Act of 2012, among other things, further reduced Medicare payments to several providers, including hospitals, and increased the statute of limitations period for the government to recover overpayments to providers from three to five years. Additionally, the American Rescue Plan Act of 2021 eliminated the statutory Medicaid drug rebate cap, effective January 1, 2024. These laws may result in additional reductions in Medicare, Medicaid and other healthcare funding or otherwise have an adverse effect on customers for our product candidates, if approved, and, accordingly, our financial operations.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FDA concurrently released a final rule and guidance in September 2020 providing pathways for states to build and submit importation plans for drugs from Canada. The Inflation Reduction Act of 2022 (the “IRA”), among other things, permits the HHS to negotiate prescription drug prices with companies, subject to a specified cap, for Medicare units of a specified number of certain FDA approved or licensed brand name drugs or biologics without generic or biosimilar competitors each year, with such prices first set to take effect starting in 2026 for such products reimbursed under Medicare Part D and in 2028 for products reimbursed under Medicare Part B. Failure to comply with requirements under the drug price negotiation program is subject to an excise tax and/or a civil monetary penalty. The IRA further makes several changes to the Medicare Part D benefit, including a limit on annual out-of-pocket costs, and a change in manufacturer liability under the program for an applicable drug that could negatively affect the profitability of our product candidates. Failure to comply with requirements under the Part D benefit redesign is subject to a civil monetary penalty. The IRA also prohibits Medicare Part D plans from imposing cost-sharing for certain vaccines that are recommended by the Advisory Committee on Immunization Practices.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Congress may continue to consider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Additionally, some individual states have begun establishing Prescription Drug Affordability Boards to review high-cost drugs and, in some cases, set upper payment limits.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will be taken in response to the COVID-19 pandemic.</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w:t>
      </w:r>
    </w:p>
    <w:p>
      <w:pPr>
        <w:spacing w:after="0" w:line="68" w:lineRule="exact"/>
        <w:rPr>
          <w:sz w:val="20"/>
          <w:szCs w:val="20"/>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authorization or approval;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if authorized or approved;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authorizations or approvals for our products would harm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attract and retain key executives and to attract, retain and motivate qualified personnel.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highly dependent on the management, scientific, clinical, manufacturing, commercial, financial, legal and business development expertise of our executive officers. Executive officers may terminate employment with us at any time,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jc w:val="both"/>
        <w:spacing w:after="0" w:line="282" w:lineRule="auto"/>
        <w:rPr>
          <w:sz w:val="20"/>
          <w:szCs w:val="20"/>
          <w:color w:val="auto"/>
        </w:rPr>
      </w:pPr>
      <w:r>
        <w:rPr>
          <w:rFonts w:ascii="Times New Roman" w:cs="Times New Roman" w:eastAsia="Times New Roman" w:hAnsi="Times New Roman"/>
          <w:sz w:val="18"/>
          <w:szCs w:val="18"/>
          <w:color w:val="auto"/>
        </w:rPr>
        <w:t>and the ability to attract a key executive to replace that position and the ability to retain additional key executives are critical to our success. We do not maintain “key person” insurance for any of our executives or employees.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May 2024, William Duke, Jr., our Chief Financial Officer, has served as our “principal executive officer.” Mr. Duke assumed such role following the separation from Invivyd of our previous Chief Executive Officer and Interim Chief Executive Officer and is expected to continue to serve until a permanent successor can be identified. Executive leadership transition periods can often be difficult and may result in changes in leadership strategy and style. There may be organizational changes or changes in business strategy in connection with any future Chief Executive Officer transition, and we can provide no assurances that any such changes will be beneficial or will have the desired impact on the company.</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commercialization personnel, including market access, marketing and sales personnel, are also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authorization or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and executing our development and commercialization strategy. Our consultants and advisors may be employed by employers other than us and may have commitments under consulting or advisory contracts with other entities that may limit their availability to us. We also rely on contractors to support the sales, market access and medical affairs activities for commercialization and scientific exchange. If we are unable to continue to attract and retain high quality personnel and engage high quality contractors, our ability to pursue our growth strategy and achieve our business objectives will be limited.</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Adimab is currently our largest stockholder and beneficially owns approximately 18.1% of the voting power of our outstanding common stock based on information provided about Adimab’s ownership in a Schedule 13D Amendment filed by Adimab on January 22, 2024.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7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and regulatory capabilities and have implemented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Depending on our development progress, we may experience growth in the number of our employees and the scope of our operations, particularly in the areas of research and discovery, clinical product development, regulatory affairs, and sales, marketing and distribution. To manage our future growth, we must continue to implement and improve our managerial, operational and financial systems, expand our facilities and continue to recruit, train and retain qualified personnel. Due to our limited financial resources and the limited experience of our management team in managing a company with such anticipated growth, we may not be able to effectively manage the expansion of our operations or recruit, train and retain such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CDMO,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CDMO, suppliers and vendors may engage in misconduct, including intentional, reckless and/or negligent conduct that violates civil, criminal or administrative laws or regulations, including fraudulent conduct or other illegal activity.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jc w:val="both"/>
        <w:spacing w:after="0" w:line="252" w:lineRule="auto"/>
        <w:rPr>
          <w:sz w:val="20"/>
          <w:szCs w:val="20"/>
          <w:color w:val="auto"/>
        </w:rPr>
      </w:pPr>
      <w:r>
        <w:rPr>
          <w:rFonts w:ascii="Times New Roman" w:cs="Times New Roman" w:eastAsia="Times New Roman" w:hAnsi="Times New Roman"/>
          <w:sz w:val="18"/>
          <w:szCs w:val="18"/>
          <w:color w:val="auto"/>
        </w:rPr>
        <w:t>Misconduct by these parties could include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1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volatile, and purchasers of our common stock could incur substantial losses.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stock price may be volatile. Since the IPO and through March 12, 2025, our common stock has traded at prices ranging from $0.35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72" w:lineRule="exact"/>
        <w:rPr>
          <w:sz w:val="20"/>
          <w:szCs w:val="20"/>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performance of PEMGARDA;</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identify, develop, obtain authorization or approval for, and commercialize mAbs in a manner that keeps pace with viral evolution;</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clinical trials or the commencement, enrollment or results of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regulatory filings for our product candidates, and any adverse development or perceived adverse development with respect to the applicable regulatory authority’s receipt and review of such filings, including without limitation the FDA’s declination to accept or review an EUA application submission or an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EUA for PEMGARDA, and the scope and timing of any amendments thereto;</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termination of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any requested amendment to our existing EUA for PEMGARDA, or failure to receive regulatory authorization or approval of any other product candidate;</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safety concerns related to the use of PEMGARDA or any other product candidate;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new product candidates or technologies, or the results of clinical trials or regulatory decisions;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listing requirements of The Nasdaq Stock Market (“Nasdaq”);</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including as a result of the COVID-19 pandemic, the ongoing conflict between Russia and Ukraine, increases in inflation rates, disruptions to global supply chain or other macroeconomic factors, that have often been unrelated or disproportionate to the prospects of the issuer and which have resulted in decreased stock prices for many companies notwithstanding the lack of a fundamental change in their underlying business models or prospects. The realization of any of the above risks or any of a broad range of other risks, including those described in this section, could have a significant and material adverse impact on the market price of our common stock.</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For example, on January 31, 2023, a securities class action lawsuit captioned Brill v. Invivyd, Inc., et. al., Case No. 1:23-CV-10254-LTS, was filed against us and certain of our former officers in the U.S. District Court for the District of Massachusetts. The lawsuit was dismissed with prejudice in September 2024. However, we may be the target of similar litigation in the future.</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be able to comply with the continued listing standards of Nasdaq.</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and are unable to timely regain compliance, we may be delisted from the Nasdaq Global Market. For example, on December 27, 2024, we received a letter from Nasdaq notifying us that, because the closing bid price for our common stock had closed below $1.00 per share for 30 consecutive business days, we no longer complied with the minimum bid price requirement for continued listing on the Nasdaq Global Market pursuant to Nasdaq Listing Rule 5450(a)(1) (the “Minimum Bid Price Requirement”).</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Nasdaq’s notice had no immediate effect on the listing of our common stock, and, in accordance with Nasdaq Listing Rule 5810(c)(3)(A), we were provided an initial period of 180 calendar days, or until June 25, 2025, to regain compliance with the Minimum Bid Price Requirement by maintaining a closing bid price of at least $1.00 per share for a minimum of ten consecutive business days. On February 21, 2025, we received a letter from Nasdaq notifying us that we had regained compliance with the Minimum Bid Price Requirement, and the matter was closed.</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actively monitor our stock price, and, as appropriate, will consider implementing available options to maintain or, if necessary, regain compliance with the Minimum Bid Price Requirement. There can be no assurance, however, that we will be able to maintain or, if necessary, regain compliance with the Minimum Bid Price Requirement and meet Nasdaq’s other continued listing requirements. To the extent that we are unable to maintain or, if necessary, regain compliance with the Minimum Bid Price Requirement or Nasdaq’s other continued listing requirements, there is a risk that our common stock may be delisted from Nasdaq. Delisting from Nasdaq may adversely affect our ability to raise additional financing through the public or private sale of equity securities, significantly affect the ability of investors to trade our securities, or negatively affect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value and liquidity of our common stock. Delisting also could have other negative results, including the potential loss of employee confidence, the loss of institutional investors or interest in potential business development opportunities.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if we are delisted from Nasdaq and we are not able to list our common stock on another exchange, our common stock may be eligible to trade on an over-the-counter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over-the-counter quotation system.</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As a relatively new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7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available for immediate resale. This could cause the market price of our common stock to drop significantly, even if our business is doing well.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filed registration statements on Form S-8 under the Securities Act of 1933, as amended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several of our large stockholders, or their transferees, have rights, subject to some conditions, to require us to file one or more registration statements covering their shares or to include their shares in registration statements that we may file for ourselves or other stockholders. On February 9, 2024, we filed a registration statement on Form S-3 to register an aggregate of up to 37,745,998 shares of our common stock held by holders with registration rights, including 30,921,286 issued and outstanding shares of our common stock and 6,824,712 shares of common stock issuable upon exercise of an outstanding common stock purchase warrant issued by us. Such shares of common stock may be freely sold in the public market for so long as such Form S-3 remains effective, subject to the vesting and the exercise of the common stock purchase warrant with respect to the shares of common stock underlying such warrant. If these additional shares are sold, or if it is perceived that they will be sold, in the public market, the trading price of our common stock could decline.</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take actions by written consent;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five percent or more of our common stock and their respective affiliates beneficially own a majority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have held their shares for a longer period, they may be more interested in selling our company to an acquirer than other investors, or they may want us to pursue strategies that deviate from the interests of other stockholders.</w:t>
      </w:r>
    </w:p>
    <w:p>
      <w:pPr>
        <w:spacing w:after="0" w:line="6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Jumpstart Our Business Startups Act of 2012, as amended (the “JOBS Act”), and may remain an emerging growth company until the last day of the fiscal year following the fifth anniversary of the completion of the IPO. However, if certain events occur prior to the end of such five-year period, including if we become a “large accelerated filer,” our annual gross revenues are $1.235 billion or more or we issue more than $1.0 billion of non-convertible debt in the previous three-year period, we will cease to be an emerging growth company prior to the end of such five-year period. For so long as we remain an emerging growth company, we are permitted and intend to take advantage of exemptions from certain disclosure requirements that are applicable to other public companies that are not emerging growth companies. These exemptions include:</w:t>
      </w:r>
    </w:p>
    <w:p>
      <w:pPr>
        <w:spacing w:after="0" w:line="81" w:lineRule="exact"/>
        <w:rPr>
          <w:sz w:val="20"/>
          <w:szCs w:val="20"/>
          <w:color w:val="auto"/>
        </w:rPr>
      </w:pPr>
    </w:p>
    <w:p>
      <w:pPr>
        <w:ind w:left="1140" w:hanging="504"/>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may deem important. We cannot predict whether investors will find our common stock less attractive because we will rely on these exemptions. If some investors find our common stock less attractive as a result of our reliance on these exemptions,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and will remain a smaller reporting company so long as either of the following conditions are true – (i) the market value of our common stock held by non-affiliates is less than $250 million as of the end of that year’s second fiscal quarter, or (ii) our annual revenues are less than $100 million during the most recently completed fiscal year and the market value of our common stock held by non-affiliates is less than $700 million as of the end of that year’s second fiscal quarter.</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 of the Sarbanes-Oxley Act.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rely on these exemptions. If some investors find our common stock less attractive as a result, there may be a less active trading market for our common stock and our stock prices may be more volatile.</w:t>
      </w:r>
    </w:p>
    <w:p>
      <w:pPr>
        <w:spacing w:after="0" w:line="68"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seeking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which the DGCL confers jurisdiction on the Court of Chancery of the State of Delaware;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As of December 31, 2024, we had U.S. federal net operating loss (“NOL”) carryforwards of $392.0 million, which may be available to reduce future taxable income and have an indefinite carryforward period but are limited in their usage to an annual deduction equal to 80% of annual taxable income. In addition, as of December 31, 2024, we had state NOL carryforwards of $249.3 million, which may be available to reduce future taxable income, of which $24.3 million have an indefinite carryforward period while the remaining $225.0 million begin to expire in 2032. As of December 31, 2024, we also had U.S. federal and state research and development tax credit carryforwards of $23.0 million and $7.2 million, respectively, which may be available to reduce future tax liabilities and expire at various dates beginning in 2040 and 2035 respectively.</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(the “CARES Act”), federal NOLs incurred in taxable years beginning after December 31, 2017 and in future taxable years may carry forward indefinitely, but the deductibility of such federal NOLs incurred in taxable years beginning after December 31, 2020 may be limited. There is variation in how states are responding. In addition, for state income tax purposes, there may be periods during which the use of NOLs is suspended or otherwise limited.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 382. 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now eliminates the previously available option to deduct research and development expenditures and requires taxpayers to amortize them over five or fifteen years. Although U.S. Congress considered legislation that would defer the amortization requirement to future periods; the provision has not been repealed or otherwise modified.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majority of our cash is held in accounts at U.S. banking institutions that we believe are of high quality. Cash held in depository accounts may exceed the $250,000 Federal Deposit Insurance Corporation (“FDIC”) insurance limits. If such banking institutions were to fail, such as Silicon Valley Bank when the FDIC took control in March 2023, we could lose all or a portion of those amounts held in excess of such insurance limitations.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the FCPA and similar anti-bribery and anti-corruption laws. We could face liability and other serious consequences for violations.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 contractors, or collaborators, or those of our affiliates, will comply with all applicable laws and regulations, particularly given the high level of complexity of</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56" w:lineRule="auto"/>
        <w:rPr>
          <w:sz w:val="20"/>
          <w:szCs w:val="20"/>
          <w:color w:val="auto"/>
        </w:rPr>
      </w:pPr>
      <w:r>
        <w:rPr>
          <w:rFonts w:ascii="Times New Roman" w:cs="Times New Roman" w:eastAsia="Times New Roman" w:hAnsi="Times New Roman"/>
          <w:sz w:val="18"/>
          <w:szCs w:val="18"/>
          <w:color w:val="auto"/>
        </w:rPr>
        <w:t>these laws. Violations of these laws and regulations could result in fines, criminal sanctions against us, our officers, or our employees, the closing down of facilities, including those of our suppliers and manufacturer,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7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the U.S. presidential administration,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or review other regulatory submissions can be affected by a variety of factors, including government budget and funding levels, a reduction in the FDA’s workforce and its ability to hire and retain key personnel and accept the payment of user fees, shifting policy priorities as a result of changes in the U.S. presidential administration and political appointees tasked to oversee the agency,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the FDA and other related government agencies. For example, over the last several years, the U.S. government has shut down several times and certain regulatory agencies, such as the FDA and the SEC, have had to furlough critical FDA, SEC and other government employees and stop critical activities. Further, the current U.S. presidential administration recently established the Department of Government Efficiency, which implemented a federal government hiring freeze and announced certain additional efforts to reduce federal government employee headcount and the size of the federal government. It is unclear how these executive actions or other potential actions by the current U.S. presidential administration or other parts of the federal government will impact the FDA or other regulatory authorities that oversee our business. These budgetary pressures may reduce the FDA’s ability to perform its responsibilities. If a significant reduction in the FDA’s workforce occurs, the FDA’s budget is significantly reduced or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or take other actions critical to the development or marketing of our product candidates, which could have a material adverse effect on our business.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and geopolitical events, including as a result of trade tensions between the U.S. and China, could adversely affect our business, financial condition or results of operations, including conduct of our clinical trials and our manufacturing activities.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conflict, including the ongoing conflict between Russia and Ukraine, terrorism or other political events, including as a result of trade tensions between the U.S. and China. Sanctions imposed by the U.S. and other countries in response to conflicts, including the one in Ukraine, may also adversely impact the financial markets and the global economy, and any economic countermeasures by the affected countries or others could exacerbate market and economic instability. We have conducted and may in the future conduct clinical trials for our product candidates outside of the U.S. and unfavorable economic conditions resulting in the weakening of the U.S. dollar would make those clinical trials more costly to operate. Furthermore, a severe or prolonged economic downturn, higher inflation and interest rates,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authorized or approved, and our ability to raise additional capital when needed on acceptable terms, if at all. Additionally, political pressures, shifting public health priorities, and evolving FDA policies under the new U.S. presidential administration could also impact the demand for COVID-19-related prevention and treatment measures, affecting the commercial potential of our COVID-19 product candidates.</w:t>
      </w:r>
    </w:p>
    <w:p>
      <w:pPr>
        <w:spacing w:after="0" w:line="8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weak or declining economy or political disruption, including any international trade disputes, or changes in laws or policies governing the terms of international trade, and in particular increased trade restrictions, tariffs or taxes on imports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1" w:name="page102"/>
    <w:bookmarkEnd w:id="101"/>
    <w:p>
      <w:pPr>
        <w:jc w:val="both"/>
        <w:spacing w:after="0" w:line="258" w:lineRule="auto"/>
        <w:rPr>
          <w:sz w:val="20"/>
          <w:szCs w:val="20"/>
          <w:color w:val="auto"/>
        </w:rPr>
      </w:pPr>
      <w:r>
        <w:rPr>
          <w:rFonts w:ascii="Times New Roman" w:cs="Times New Roman" w:eastAsia="Times New Roman" w:hAnsi="Times New Roman"/>
          <w:sz w:val="18"/>
          <w:szCs w:val="18"/>
          <w:color w:val="auto"/>
        </w:rPr>
        <w:t>countries where we manufacture products, such as China, could strain our manufacturer or suppliers, possibly resulting in supply disruption or increased manufacturing and distribution costs. For example, in 2025, the U.S. imposed tariffs on certain imports from Canada, Mexico and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while we seek to limit our concentration of risk as it relates to cash management by having a separate operating bank account with a U.S. commercial bank for routine disbursements, while maintaining our cash investments with an independent SEC-registered financial advisor, our liquidity, business and financial condition may be materially and adversely affected by unanticipated events such as a bank collapse. Any of the foregoing could seriously harm our business, and we cannot anticipate all of the ways in which the political or economic climate and financial market conditions could seriously harm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4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the risks from foreseeable cybersecurity threats and for detecting and responding to any cybersecurity incidents. These policies and processes are built into our information technology (“IT”) function and are designed to align with the NIST Cybersecurity Framework, published by the U.S. National Institute of Standards and Technology.</w:t>
      </w:r>
    </w:p>
    <w:p>
      <w:pPr>
        <w:spacing w:after="0" w:line="10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adopted an IT Security Management Policy (“IT Policy”) to establish the requirements for securing and managing our IT assets and data, as well as an Incident Response Policy designed to coordinate the activities for preparing for, identifying, responding to, and recovering from cybersecurity threats. Our Head of IT is primarily responsible for implementing and overseeing the IT Policy, which is applicable to all our employees and contractors, as well as any third parties with access to our IT assets and data. Our Head of IT is also primarily responsible for leading incident response services under the Incident Response Policy. Our Head of IT leverages over 20 years of experience in various cybersecurity functions. As part of our overall risk mitigation strategy, we maintain an Enterprise Risk Register to identify, prioritize and track system risks, including cybersecurity risks. Additionally, we maintain cybersecurity insurance; however, such insurance may not be sufficient in type or amount to cover the total losses or damages related to a cybersecurity incident.</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implement technical, physical, and organizational measures designed to manage and mitigate risks from cybersecurity threats. For example, we employ multifactor authentication, single sign-on, and email filtering services across our systems. Additionally, we conduct monthly video-based cybersecurity awareness trainings across our workforce, which cover relevant topics such as social engineering, phishing, password protection, confidential data protection, and mobile security. We regularly perform company-wide phishing tests. We currently leverage multiple third-party service providers to assist in monitoring, managing, and detecting cybersecurity threats and conducting periodic vulnerability assessments of our critical assets.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are not aware of any cybersecurity threats, including as a result of any previous cybersecurity incidents, that have materially affected or are reasonably likely to materially affect our business strategy, results of operations, or financial condition. However, evolving cybersecurity threats make it increasingly challenging to anticipate, detect, and defend against cybersecurity threats and incidents. For discussion of cybersecurity risks, please see Item 1A, “Risk Factors.”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our Board of Directors has overall responsibility for risk oversight, the Audit Committee of our Board of Directors (the “Audit Committee”) is responsible for overseeing our cybersecurity risk management and strategy. The Audit Committee reviews and discusses with management and the Company’s auditors, as appropriate, our risks relating to data privacy, technology, and information security, including cybersecurity and back-up of information systems. The Audit Committee also confers with management and our auditors, as appropriate, regarding the adequacy and effectiveness of our policies and the internal controls regarding information security.</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Head of IT meets regularly with our Chief Financial Officer to discuss our cybersecurity threat landscape, address opportunities for improvement and issues, and evaluate solutions to cover identified gaps. Our Head of IT, in collaboration with members of senior management, reports significant cybersecurity matters to our Audit Committee, consistent with the Incident Response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operate as a hybrid company with employees working at our principal office in Waltham, Massachusetts, our laboratory in Newton, Massachusetts and remotely.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principal office is located at 1601 Trapelo Road, Suite 178, Waltham, MA, 02451, where we lease 9,600 square feet of office space for general and administrative purposes. We lease this space under a lease agreement that is scheduled to expire on April 30, 2025.</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we lease laboratory and office space in Newton, Massachusetts for research and development purposes. We lease this space under a lease agreement that is scheduled to expire on November 30, 2025.</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sufficient to meet our current needs, and that, if we require additional physical facilities, we will be able to obtain additional facilities on commercially reasonable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other litigation relating to claims arising in the ordinary course of business. We accrue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2024, we were not a party to any material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“IVVD”.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11, 2025, there were 8 holders of record of our common stock. This number does not reflect the beneficial holders of our common stock who hold shares in street name through brokerage accounts or other nominees.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all available funds and future earnings for the development, operation and expansion of our business and do not anticipate declaring or paying any cash dividends for the foreseeable future.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securities authorized for issuance under equity compensation plans is incorporated by reference into the information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as previously disclosed on our Current Reports on Form 8-K or Quarterly Reports on Form 10-Q, we did not issue any unregistered equity securities during the twelve months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quarter ended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5" w:name="page106"/>
    <w:bookmarkEnd w:id="10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Invivyd, Inc. is a biopharmaceutical company devoted to delivering protection from serious viral infectious diseases, beginning with SARS-CoV-2.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PEMGARDA™ (pemivibart) is our first monoclonal antibody (“mAb”) to receive regulatory authorization and was designed to keep pace with SARS-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CoV-2 viral evolution.</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2024, we nominated VYD2311, a next generation mAb candidate for COVID-19, as a drug candidate, and in September 2024, we announced dosing of the first participants in a Phase 1 clinical trial of VYD2311. VYD2311 is a mAb with high in vitro neutralization potency shown against prominent SARS-CoV-2 variants tested to date.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 and patient-friendly than intravenous administration. In February 2025, we announced completion of recruitment in our Phase 1 clinical trial of VYD2311, as well as positive clinical data for both safety and pharmacokinetics. We expect additional data readouts from the Phase 1 clinical trial and VYD2311 program throughout 2025.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five years in the COVID-19 space, we aim to develop mAbs that could be used in prevention or treatment of serious viral diseases, starting with COVID-19 and potentially expanding into other high-need indications.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and March</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2025, we announced continued neutralizing activity of PEMGARDA and VYD2311 against dominant SARS-CoV-2 variants XEC and LP.8.1, respectively.</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recent focus has been and will continue to be supporting the commercialization of PEMGARDA, advancing VYD2311 as our next generation mAb candidate for COVID-19, and establishing streamlined development pathways that could enable us to efficiently introduce new mAb candidates targeting SARS-CoV-2, leveraging previously generated safety and efficacy data from our clinical trials of adintrevimab and/or pemivibart.</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development, testing and clinical and commercial manufacturing activities.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net proceeds of $464.7 million from sales of our preferred stock, with net proceeds of $327.5 million from our initial public offering (“IPO”), and with net proceeds of $39.3 million from sales of our common stock under the Sales Agreement (as defined below). After receiving EUA in March 2024,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$169.9 million for the year ended December 31, 2024. As of December 31, 2024, we had an accumulated deficit of $902.0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spacing w:after="0" w:line="79"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PEMGARDA;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VYD2311;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any new indications or patient populations;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 as well as ongoing SARS-CoV-2 variant monitoring and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7" w:name="page108"/>
    <w:bookmarkEnd w:id="107"/>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6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22, 2024, we received EUA from the FDA for PEMGARDA, and as such, we will continue to incur significant commercialization expenses related to product manufacturing, marketing, sales and distribution.</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we will not have sufficient cash and cash equivalents to fund our operating expenses and capital requirements beyond one year from the issuance date of the consolidated financial statements in this Annual Report on Form 10-K,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March 2024, we received EUA from the FDA for PEMGARDA. Product revenue, net consists of product revenue earned on the sales of PEMGARDA in the U.S.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PEMGARDA manufacturing costs, labor and overhead costs, and stability study costs. PEMGARDA manufacturing costs include manufacturing materials, third-party manufacturing costs, packaging costs, shipping costs, and royalties.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4" w:lineRule="exact"/>
        <w:rPr>
          <w:sz w:val="20"/>
          <w:szCs w:val="20"/>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8" w:name="page109"/>
    <w:bookmarkEnd w:id="108"/>
    <w:p>
      <w:pPr>
        <w:ind w:left="1140" w:right="20" w:hanging="504"/>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advancing VYD2311 through clinical development, pursue EUA or regulatory approval of our product candidates, and continue to discover and develop additional product candidates.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89" w:lineRule="exact"/>
        <w:rPr>
          <w:sz w:val="20"/>
          <w:szCs w:val="20"/>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9" w:name="page110"/>
    <w:bookmarkEnd w:id="109"/>
    <w:p>
      <w:pPr>
        <w:jc w:val="both"/>
        <w:ind w:left="1140" w:hanging="504"/>
        <w:spacing w:after="0" w:line="266"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-854075</wp:posOffset>
            </wp:positionV>
            <wp:extent cx="285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pursuant to the relevant declaration under Section 564 of the FDCA.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Through December 31, 2024,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0" w:name="page111"/>
    <w:bookmarkEnd w:id="110"/>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December 31, 2024,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tcPr>
          <w:p>
            <w:pPr>
              <w:spacing w:after="0"/>
              <w:rPr>
                <w:sz w:val="18"/>
                <w:szCs w:val="18"/>
                <w:color w:val="auto"/>
              </w:rPr>
            </w:pPr>
          </w:p>
        </w:tc>
      </w:tr>
      <w:tr>
        <w:trPr>
          <w:trHeight w:val="210"/>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shd w:val="clear" w:color="auto" w:fill="CFF0FC"/>
          </w:tcPr>
          <w:p>
            <w:pPr>
              <w:spacing w:after="0"/>
              <w:rPr>
                <w:sz w:val="18"/>
                <w:szCs w:val="18"/>
                <w:color w:val="auto"/>
              </w:rPr>
            </w:pPr>
          </w:p>
        </w:tc>
      </w:tr>
      <w:tr>
        <w:trPr>
          <w:trHeight w:val="210"/>
        </w:trPr>
        <w:tc>
          <w:tcPr>
            <w:tcW w:w="7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(21,404 )</w:t>
            </w: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(4,975 )</w:t>
            </w: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tcPr>
          <w:p>
            <w:pPr>
              <w:spacing w:after="0"/>
              <w:rPr>
                <w:sz w:val="18"/>
                <w:szCs w:val="18"/>
                <w:color w:val="auto"/>
              </w:rPr>
            </w:pPr>
          </w:p>
        </w:tc>
      </w:tr>
      <w:tr>
        <w:trPr>
          <w:trHeight w:val="210"/>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202,260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212,758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(10,498 )</w:t>
            </w:r>
          </w:p>
        </w:tc>
      </w:tr>
      <w:tr>
        <w:trPr>
          <w:trHeight w:val="20"/>
        </w:trPr>
        <w:tc>
          <w:tcPr>
            <w:tcW w:w="7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(176,876 )</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(212,758 )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35,882</w:t>
            </w:r>
          </w:p>
        </w:tc>
        <w:tc>
          <w:tcPr>
            <w:tcW w:w="100" w:type="dxa"/>
            <w:vAlign w:val="bottom"/>
          </w:tcPr>
          <w:p>
            <w:pPr>
              <w:spacing w:after="0"/>
              <w:rPr>
                <w:sz w:val="18"/>
                <w:szCs w:val="18"/>
                <w:color w:val="auto"/>
              </w:rPr>
            </w:pPr>
          </w:p>
        </w:tc>
      </w:tr>
      <w:tr>
        <w:trPr>
          <w:trHeight w:val="20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(7,164 )</w:t>
            </w:r>
          </w:p>
        </w:tc>
      </w:tr>
      <w:tr>
        <w:trPr>
          <w:trHeight w:val="20"/>
        </w:trPr>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(7,164 )</w:t>
            </w:r>
          </w:p>
        </w:tc>
      </w:tr>
      <w:tr>
        <w:trPr>
          <w:trHeight w:val="20"/>
        </w:trPr>
        <w:tc>
          <w:tcPr>
            <w:tcW w:w="7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(169,925 )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(198,643 )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28,718</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-1585595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-1585595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-745490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-745490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$25.4 million for the year ended December 31, 2024. There was no product revenue, net for the year ended December 31, 2023. The $25.4 million increase is the result of product sales in 2024 following the launch of PEMGARDA.</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$1.6 million for the year ended December 31, 2024. There was no cost of product revenue for the year ended December 31, 2023. The $1.6 million increase is the result of PEMGARDA product sales following launch and certain period costs.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(64,938 )</w:t>
            </w:r>
          </w:p>
        </w:tc>
      </w:tr>
      <w:tr>
        <w:trPr>
          <w:trHeight w:val="216"/>
        </w:trPr>
        <w:tc>
          <w:tcPr>
            <w:tcW w:w="718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66,080</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(3,275 )</w:t>
            </w: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(8,800 )</w:t>
            </w: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(10,471 )</w:t>
            </w:r>
          </w:p>
        </w:tc>
      </w:tr>
      <w:tr>
        <w:trPr>
          <w:trHeight w:val="20"/>
        </w:trPr>
        <w:tc>
          <w:tcPr>
            <w:tcW w:w="7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158,658</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-156845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-156845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-10795</wp:posOffset>
            </wp:positionV>
            <wp:extent cx="25031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03170" cy="26035"/>
                    </a:xfrm>
                    <a:prstGeom prst="rect">
                      <a:avLst/>
                    </a:prstGeom>
                    <a:noFill/>
                  </pic:spPr>
                </pic:pic>
              </a:graphicData>
            </a:graphic>
          </wp:anchor>
        </w:drawing>
      </w:r>
    </w:p>
    <w:p>
      <w:pPr>
        <w:ind w:left="180" w:hanging="172"/>
        <w:spacing w:after="0" w:line="238" w:lineRule="auto"/>
        <w:tabs>
          <w:tab w:leader="none" w:pos="18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$137.3 million for the year ended December 31, 2024, compared to $158.7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$21.4 million decrease in research and development expenses was primarily due to the following:</w:t>
      </w:r>
    </w:p>
    <w:p>
      <w:pPr>
        <w:spacing w:after="0" w:line="99" w:lineRule="exact"/>
        <w:rPr>
          <w:sz w:val="20"/>
          <w:szCs w:val="20"/>
          <w:color w:val="auto"/>
        </w:rPr>
      </w:pPr>
    </w:p>
    <w:p>
      <w:pPr>
        <w:jc w:val="both"/>
        <w:ind w:left="1140" w:hanging="504"/>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pemivibart program resulted from $60.2 million in contract costs for commercial manufacturing, $5.0 million in contract research costs for our Phase 3 CANOPY clinical trial, and $0.2 million in nonclinical expenses, partially offset by an increase of $0.5 million in other external expenses;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VYD2311 program resulted from the nomination of our VYD2311 product candidate in the first quarter of 2024 and consisted primarily of contract manufacturing costs, nonclinical expenses and contract research costs for our Phase 1 clinical trial;</w:t>
      </w:r>
    </w:p>
    <w:p>
      <w:pPr>
        <w:spacing w:after="0" w:line="6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adintrevimab program of $3.3 million resulted from the nomination of our pemivibart product candidate in the first quarter of 2023;</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personnel related costs resulted from $6.6 million in headcount-related costs and capitalization of $2.2 million of certain inventory costs which were recorded as research and development costs prior to the EUA of PEMGARDA; and</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external discovery-related and other costs resulted from $8.2 million in contract manufacturing costs related to our pipeline candidates and $3.7 million in other non-clinical expenses, partially offset by a $1.2 million increase in other external costs and $0.2 million in clinical trial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IPR&amp;D expense recognized for the year ended December 31, 2024.</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IPR&amp;D expenses of $5.0 million for the year ended December 31, 2023 consisted of $3.6 million incurred related to milestones under the Adimab Assignment Agreement and $1.4 million incurred related to an option exercise fee, a drug discovery fee and an optimization completion fee under the Adimab Collaboration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2" w:name="page113"/>
    <w:bookmarkEnd w:id="112"/>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0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27,323</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$63.4 million for the year ended December 31, 2024, compared to $49.1 million for the year ended December 31, 2023. The $14.3 million increase in selling, general and administrative expenses was primarily due to the following:</w:t>
      </w:r>
    </w:p>
    <w:p>
      <w:pPr>
        <w:spacing w:after="0" w:line="54" w:lineRule="exact"/>
        <w:rPr>
          <w:sz w:val="20"/>
          <w:szCs w:val="20"/>
          <w:color w:val="auto"/>
        </w:rPr>
      </w:pPr>
    </w:p>
    <w:p>
      <w:pPr>
        <w:jc w:val="both"/>
        <w:ind w:left="1140" w:hanging="504"/>
        <w:spacing w:after="0" w:line="26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personnel related costs was primarily due to an increase in headcount-related costs, including an increase in stock-based compensation expense of $2.4 million that was primarily due to the accelerated vesting of a portion of the outstanding stock options granted to our former Chief Executive Officer, in accordance with the terms of his employment agreement;</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and consultant fees was primarily due to an $11.6 million increase related to the commercialization of PEMGARDA, partially offset by decreases of $0.9 million and $0.7 million in director and officer insurance premiums and professional service fees, respectively; and</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costs was primarily related to software license costs and related amortization.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was $7.0 million for the year ended December 31, 2024, consisting primarily of interest earned on our invested cash balances.</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$14.1 million for the year ended December 31, 2023, consisting primarily of $7.3 million of interest earned on our invested cash balances and $6.8 million of net accretion of discounts related to our marketable securities.</w:t>
      </w:r>
    </w:p>
    <w:p>
      <w:pPr>
        <w:spacing w:after="0" w:line="266"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Through December 31, 2024, we have incurred significant operating losses and negative cash flows from operations. Although we received an EUA from the FDA for PEMGARDA in March 2024, we may continue to incur significant expenses and potential operating losses for the foreseeable future as we continue to commercialize PEMGARDA and advance the development of our other product candidates. To date, we have financed our operations primarily with net proceeds of $464.7 million from sales of our preferred stock, with aggregate net proceeds from our IPO in August 2021 of $327.5 million, and with net proceeds of $39.3 million from sales of our common stock under the Sales Agreement (as defined below). After receiving EUA in March 2024, we have also funded our operations from sales of PEMGARDA.</w:t>
      </w:r>
    </w:p>
    <w:p>
      <w:pPr>
        <w:spacing w:after="0" w:line="8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 In February 2024, we sold 9,000,000 shares of our common stock under the Sales Agreement at an average price of $4.50 per share for $39.3 million in net proceeds. As of December 31, 2024, $34.5 million remained available for sale under the Sales Agreement.</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had cash and cash equivalents of $69.3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40"/>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8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09"/>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(170,491 )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(173,164 )</w:t>
            </w: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(140 )</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280,684</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(131,292 )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108,565</w:t>
            </w:r>
          </w:p>
        </w:tc>
        <w:tc>
          <w:tcPr>
            <w:tcW w:w="100" w:type="dxa"/>
            <w:vAlign w:val="bottom"/>
            <w:shd w:val="clear" w:color="auto" w:fill="CFF0FC"/>
          </w:tcPr>
          <w:p>
            <w:pPr>
              <w:spacing w:after="0"/>
              <w:rPr>
                <w:sz w:val="19"/>
                <w:szCs w:val="19"/>
                <w:color w:val="auto"/>
              </w:rPr>
            </w:pPr>
          </w:p>
        </w:tc>
      </w:tr>
      <w:tr>
        <w:trPr>
          <w:trHeight w:val="20"/>
        </w:trPr>
        <w:tc>
          <w:tcPr>
            <w:tcW w:w="8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$170.5 million of cash, primarily due to our net loss of $169.9 million and changes in our operating assets and liabilities of $23.5 million, partially offset by non-cash charges of $22.9 million. The changes in our operating assets and liabilities primarily consisted of a $24.9 million increase in inventory, a $10.9 million increase in accounts receivable, a $1.7 million decrease in operating lease liabilities, and a $0.7 million decrease in other non-current liabilities, partially offset by a $9.0 million increase in accrued expenses, a $3.2 million decrease in prepaid expenses, a $2.4 million increase in accounts payable, and a $0.1 million decrease in other non-current assets. The increase in accrued expenses was primarily due to the timing of vendor invoicing and payments. The decrease in prepaid expenses and other current assets was primarily due to the utilization of WuXi Biologics manufacturing prepayments.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$173.2 million of cash, primarily due to our net loss of $198.6 million, partially offset by non-cash charges of $19.6 million and changes in our operating assets and liabilities of $5.8 million. The changes in our operating assets and liabilities primarily consisted of a $19.2 million increase in accrued expenses, a $6.5 million increase in accounts payable, and a $0.7 million increase in non-current liabilities, partially offset by a $18.9 million increase in prepaid expenses and other current assets, and a $1.6 million decrease in operating lease liabilities. The increases in accounts payable and accrued expenses were primarily due to the timing of vendor invoicing and payments. The increase in prepaid expenses and other current assets was primarily due to prepayments and deposits to WuXi Biologics for commercial manufacturing.</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consisted of $0.1 million in purchases of property and equipment.</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2023 consisted of $372.5 million in maturities of marketable securities, offset by $91.2 million in purchases of marketable securities and $0.6 million in purchases of property and equipment.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consisted of $39.3 million from the issuance of common stock under the Sales Agreement, $0.4 million from exercises of stock options, and $0.2 million from issuances of common stock under our employee stock purchase plan, partially offset by $0.6 million in payments for offering costs related to the Sales Agreement.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consisted of $1.0 million from exercises of stock options and $0.2 million from issuances of common stock under our employee stock purchase plan, partially offset by $0.1 million in payments for offering costs.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commercialization efforts. Our funding requirements and timing and amount of our operating expenditures will depend on many factors, including:</w:t>
      </w:r>
    </w:p>
    <w:p>
      <w:pPr>
        <w:spacing w:after="0" w:line="117" w:lineRule="exact"/>
        <w:rPr>
          <w:sz w:val="20"/>
          <w:szCs w:val="20"/>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 such as VYD2311;</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consolidated financial statements. Based on current operating plans and excluding any contribution from future revenues or external financing, we will not have sufficient cash and cash equivalents to fund our operating expenses and capital requirements beyond one year from the issuance of these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5" w:name="page116"/>
    <w:bookmarkEnd w:id="115"/>
    <w:p>
      <w:pPr>
        <w:jc w:val="both"/>
        <w:spacing w:after="0" w:line="253" w:lineRule="auto"/>
        <w:rPr>
          <w:sz w:val="20"/>
          <w:szCs w:val="20"/>
          <w:color w:val="auto"/>
        </w:rPr>
      </w:pPr>
      <w:r>
        <w:rPr>
          <w:rFonts w:ascii="Times New Roman" w:cs="Times New Roman" w:eastAsia="Times New Roman" w:hAnsi="Times New Roman"/>
          <w:sz w:val="18"/>
          <w:szCs w:val="18"/>
          <w:color w:val="auto"/>
        </w:rPr>
        <w:t>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Such restrictions could adversely impact our ability to conduct our operations and execute our business plan.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and Manufacturing Commitments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committed to noncancelable purchase obligations related to commercial drug substance and drug product manufacturing under the Commercial Manufacturing Agreement. As of December 31, 2024, the total remaining contractually binding commercial drug substance and drug product purchase obligations due to WuXi Biologics was $27.6 million, which is expected to be paid in 2025. As of December 31, 2024, $27.5 million of the $27.6 million total remaining purchase obligation, related to the contractually binding commercial drug substance and drug product batches was included in accounts payable and accrued expenses, which is expected to be paid in 2025.</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December 31, 2024, we committed to noncancelable purchase obligations related to the procurement of materials to be used in future drug substance and drug product manufacturing under the Commercial Manufacturing Agreement. As of December 31, 2024, the total remaining contractually binding purchase obligations due to WuXi Biologics was $11.6 million, which is expected to be paid in 2025. As of December 31, 2024, $11.3 million of the $11.6 million total remaining purchase obligation related to the procurement of materials to be used in future drug substance and drug product manufacturing was included in accounts payable and accrued expenses, which is expected to be paid in 2025.</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2021, we entered into a five-year noncancelable facilities lease agreement for approximately 9,600 square feet of office space in Waltham, Massachusetts, which provides for monthly rental payments, including base rent charges of $0.4 million per year, subject to periodic rent increases, and our proportionate share of operating expenses. This lease agreement is scheduled to expire on April 30, 2025.</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2022, we entered into a two-year noncancelable agreement for dedicated laboratory and office space in Newton, Massachusetts (the “Newton, MA Lease”), which was amended in September 2022. Pursuant to the amended Newton, MA Lease, we entered into a two-year noncancelable agreement for new dedicated laboratory and office space in Newton, Massachusetts, on the same campus as, and in lieu of, the space leased under the original lease. We took occupancy of the new dedicated laboratory and office space in December 2022. The amended Newton, MA Lease provided for monthly rental payments, including base rent charges of $1.3 million per year. In August 2024, the Newton, MA Lease was further amended to extend the lease through November 2025, with an option to further extend the lease for an additional twenty-five months or continue the lease on a month-to-month basis after completion of the term ending in November 2025.</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2024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3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9"/>
        </w:trPr>
        <w:tc>
          <w:tcPr>
            <w:tcW w:w="4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38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88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112</w:t>
            </w:r>
          </w:p>
        </w:tc>
        <w:tc>
          <w:tcPr>
            <w:tcW w:w="5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4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6" w:name="page117"/>
    <w:bookmarkEnd w:id="116"/>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a separate cell line license agreement with WuXi Biologics, we are obligated to pay royalties of less than 1.0% to WuXi Biologics based on our net sales of any products covered by the license. However, if we use WuXi Biologics to manufacture all of our commercial supplies, no royalties would be owed by us to WuXi Biologics for net sales of licensed products. We have an option to buy out our royalty obligations by making a one-time payment in the low eight-figures to WuXi Biologics. The amount and timing of such royalty payments are not known. For additional information, see Note 7 to our annual consolidated financial statements appearing at the end of this Annual Report on Form 10-K.</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2020, we entered into the Adimab Assignment Agreement with Adimab, with respect to discovery and optimization of coronavirus-specific antibodies, including COVID-19 and SARS. Under the Adimab Assignment Agreement,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under the agreement is $24.6 million, of which a total of $11.1 million has been achieved and paid as of December 31, 2024. In March 2023, we achieved the first specified milestone for the second product candidate under the agreement upon dosing of the first subject in a Phase 1 clinical trial evaluating pemivibart, which obligated us to make a $0.4 million milestone payment to Adimab, which was paid in May 2023. In September 2023, we achieved specified milestones for the second product candidate under the agreement upon dosing of the first subject in a pivotal clinical trial evaluating pemivibart, which obligated us to make a $3.2 million milestone payment to Adimab, which was paid in October 2023. The next potential milestone under the Adimab Assignment Agreement is a low single-digit million-dollar regulatory milestone. In addition, we are obligated to pay Adimab royalties of a mid-single-digit percentage based on our net sales of products under the agreement, beginning upon the first commercial sale of a product in accordance with the terms of the Adimab Assignment Agreement. During the year ended December 31, 2024, we expensed $1.0 million of royalties, while reserving all rights under the Adimab Assignment Agreement and the applicable law. Further, we are obligated to pay Adimab royalties of a specified percentage in the range of 45% to 55% of any compulsory sublicense consideration received by us in lieu of certain royalty payments. For additional information, see Note 7 to our annual consolidated financial statements appearing at the end of this Annual Report on Form 10-K.</w:t>
      </w:r>
    </w:p>
    <w:p>
      <w:pPr>
        <w:spacing w:after="0" w:line="8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May 2021, as amended in November 2022 and September 2023, we entered into the Adimab Collaboration Agreement with Adimab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through December 31, 2023, we were obligated to pay Adimab a quarterly fee in exchange for Adimab and its affiliates agreeing not to assist or direct certain third parties to discover or optimize antibodies that are intended to bind to coronaviruses or influenza viruses, which obligation could be cancelled at our option at any time. In December 2023, pursuant to the terms of the Adimab Collaboration Agreement, we elected to decrease the scope of Adimab’s exclusivity obligations to cover only coronaviruses and obtained a corresponding decrease in the quarterly fee. Effective January 2024, we are obligated to pay Adimab a quarterly fee of $0.6 million, a decrease from the previous quarterly fee of $1.3 million.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During the year ended December 31, 2024, we were not obligated to pay any option exercise fee, a drug delivery fee, or optimization completion fee. During the year ended December 31, 2023, we were obligated to make a $1.0 million, a $0.2 million, and a $0.2 million payment to Adimab related to an option exercise fee, a drug delivery fee and an optimization completion fee, respectively. Under the Adimab Collaboration Agreement, we are obligated to pay Adimab up to $18.0 million upon the achievement of specified development and regulatory milestones for each product that achieves such milestones. The next potential milestone under the Adimab Collaboration Agreement is a low single-digit million dollar clinical milestone. We are also obligated to pay Adimab royalties of a mid-single-digit percentage based on net sales of any product under the Adimab Collaboration Agreement,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 The amount and timing of such milestone and royalty payments are not known. For additional information, see Note 7 to our annual consolidated financial statements appearing at the end of this Annual Report on Form 10-K.</w:t>
      </w:r>
    </w:p>
    <w:p>
      <w:pPr>
        <w:spacing w:after="0" w:line="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2022, we entered into the Adimab Platform Transfer Agreement with Adimab, under which we were granted the right under certain intellectual property of Adimab to practice certain elements of Adimab’s platform technology,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18"/>
          <w:szCs w:val="18"/>
          <w:color w:val="auto"/>
        </w:rPr>
        <w:t>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Under the Adimab Platform Transfer Agreement, we are obligated to pay Adimab an annual fee of single digit millions through June 2027, which allows us to receive from Adimab material improvements to the platform technology, including materially improved antibody optimization libraries, updates that provide new functionality to the platform, and software upgrades. Beginning in July 2027 and ending in June 2042, unless terminated earlier, we have the option to receive additional material improvements to the platform technology from Adimab, subject to a commercially reasonable fee to be negotiated by the parties. We are also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The amount and timing of such royalty payments are not known. For additional information, see Note 7 to our annual consolidated financial statements appearing at the end of this Annual Report on Form 10-K.</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we entered into the PHP MSA. Concurrently with the PHP MSA, we entered into the first work order with PHP under the PHP MSA, pursuant to which PHP agreed to advise and counsel us regarding clinical development and regulatory matters with respect to our product candidates. The PHP Work Order was effective for six months from November 2022 and terminated in accordance with its terms in May 2023. As compensation for the services and deliverables under the PHP Work Order, we paid PHP a cash fee of $0.5 million per month during the term of the PHP Work Order for an aggregate fee of $3.0 million.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other contracts in the normal course of business with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U.S. The preparation of consolidated financial statements requires us to make estimates and assumptions that affect the reported amounts of assets, and liabilities and the disclosure of contingent assets and liabilities at the date of the consolidated financial statements, and the reported amounts of revenues and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on Form 10-K, we believe the following accounting policies used in the preparation of our consolidated financial statements require the most significant judgments and estimates.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recognize revenue in accordance with ASC Topic 606 - Revenue from Contracts with Customers (“ASC 606”). Under ASC 606, an entity recognizes revenue when or as performance obligations are satisfied by transferring control of promised goods or services to the customer, in an amount that reflects the consideration which the entity expects to be entitled to in exchange for those goods or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determine revenue recognition for arrangements that an entity determines are within the scope of ASC 606, we perform the following five steps:</w:t>
      </w:r>
    </w:p>
    <w:p>
      <w:pPr>
        <w:spacing w:after="0" w:line="27" w:lineRule="exact"/>
        <w:rPr>
          <w:sz w:val="20"/>
          <w:szCs w:val="20"/>
          <w:color w:val="auto"/>
        </w:rPr>
      </w:pPr>
    </w:p>
    <w:p>
      <w:pPr>
        <w:jc w:val="both"/>
        <w:ind w:firstLine="8"/>
        <w:spacing w:after="0" w:line="253" w:lineRule="auto"/>
        <w:tabs>
          <w:tab w:leader="none" w:pos="2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At contract inception, we assess the goods or services promised within each contract, determines those that are performance obligations, and assesses whether each</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8" w:name="page119"/>
    <w:bookmarkEnd w:id="118"/>
    <w:p>
      <w:pPr>
        <w:jc w:val="both"/>
        <w:spacing w:after="0" w:line="282" w:lineRule="auto"/>
        <w:rPr>
          <w:sz w:val="20"/>
          <w:szCs w:val="20"/>
          <w:color w:val="auto"/>
        </w:rPr>
      </w:pPr>
      <w:r>
        <w:rPr>
          <w:rFonts w:ascii="Times New Roman" w:cs="Times New Roman" w:eastAsia="Times New Roman" w:hAnsi="Times New Roman"/>
          <w:sz w:val="18"/>
          <w:szCs w:val="18"/>
          <w:color w:val="auto"/>
        </w:rPr>
        <w:t>promised good or service is distinct. We then recognize as revenue the amount of the transaction price that is allocated to the respective performance obligation when (or as) the performance obligation is satisfied.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EUA from the FDA in March 2024, we began generating product revenue from sales of PEMGARDA in April 2024.</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entered into a third-party logistics distribution agreement (the “3PL Agreement”) to engage a logistics distribution agent (the “3PL Agent”) to distribute our products to our customers. The 3PL Agent provides services to us that include storage, distribution, processing product returns, customer service support, logistics support, electronic data interface and system access support. Revenue is recognized when or as performance obligations are satisfied by transferring control of promised goods to a customer, generally upon delivery, based on an amount that reflects the consideration to which we expected to be entitled.</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we have applied for mandatory distribution licenses that some states require for us to sell our product throughout the U.S. In order for us to execute sales in the U.S. prior to obtaining such licenses, the Company and an affiliate of the 3PL Agent (the “Title Company”) entered into a Temporary Title Model Agreement (the “Temporary Title Model Agreement”), which was an amendment to the 3PL Agreement, so that the Title Company could purchase and take title to the product and sell the product to the specialty distributors who contracted to purchase the product from us. Although under the Temporary Title Model Agreement, the Title Company took title to the product, the economic substance of the transaction provided that the Title Company did not possess the risk of loss or participate in the significant risks and rewards of ownership of the product or have the ability to control, direct the use of, and obtain substantially all of the remaining benefits from the product. Accordingly, we did not recognize revenue upon the transfer of the goods at the time of sale to the Title Company and recognized revenue when the goods were sold from the Title Company to the specialty distributors.</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July 2024, we obtained nearly all of the necessary state distribution licenses to sell our product throughout the U.S. and ceased using the Temporary Title Model Agreement process in the third quarter of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revenues are recorded net of applicable reserves for variable consideration, including discounts and allowances.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Discounts and Allowances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record reserves, based on contractual terms, for the following components of variable consideration related to product sold during the reporting period, as well as our estimate of product that remains in the distribution channel inventory of our customers at the end of the reporting period, if applicable. On a quarterly basis, we update our estimates, if necessary, and record any material adjustments in the period they are identified.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Discounts and Distributor Fees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provide customary discounts on PEMGARDA sales for prompt payment, the terms of which are explicitly stated in our contracts. We also pay fees to specialty distributors for sales order management, data, and distribution services, the terms of which are also explicitly stated in our contracts. Such fees are not for a distinct good or service and, accordingly, are recorded as a reduction of revenue, as well as a reduction to accounts receivable (trade discounts) or as a component of accrued expenses (distributor fees).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Government Chargebacks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discount obligations under our contract with the U.S. Department of Veterans Affairs. These reserves are recorded in the same period the related revenue is recognized, resulting in a reduction of product revenue and the establishment of a current liability, which is included as a component of accrued expenses.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offer a right of return for purchased units of PEMGARDA for damage, defect, recall, and/or product expiry, provided the product expiry is within a specified period as set forth in the Company’s return goods policy. We estimate the amount of product sales that will be returned using quantitative and qualitative considerations. Reserves for estimated returns are recorded as a reduction of product revenue in the period that the related revenue is recognized, as well as a component of accrued expenses.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Incentives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incentives include a co-pay assistance program for eligible patients with commercial insurance in the U.S. The co-pay assistance program assists certain commercially insured patients by reducing each participating patient’s financial responsibility for the purchase price, up to a specified dollar amount of assistance.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9" w:name="page120"/>
    <w:bookmarkEnd w:id="119"/>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81" w:lineRule="exact"/>
        <w:rPr>
          <w:sz w:val="20"/>
          <w:szCs w:val="20"/>
          <w:color w:val="auto"/>
        </w:rPr>
      </w:pPr>
    </w:p>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in connection with performing nonclinical studies,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CDMO related to the production of our product candidates for nonclinical studies, preclinical studies, clinical trials and commercial supply, prior to receiving authorization or approval;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and vendors in connection with research and development activities.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For CRO expense and accruals, there is estimation uncertainty related to the timing of submission of investigator fees for the period. For CDMO expense and accruals, there is estimation uncertainty related to the percentage of completion of in process batch manufacturing at period end. To date, we have not had significant changes to our estimates.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 option-pricing model.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After the initial public offering, the fair value of our common stock is based on the quoted market price of our common stock. Due to the proximity to the IPO, we continue to lack company-specific historical and implied volatility information. Therefore, we estimate our expected stock volatility based on the historical volatility of a publicly traded set of peer companies and we expect to continue to do so until such time that we have adequate historical data regarding the volatility of our own traded stock price. We have primarily issued awards with service-based vesting conditions through December 31, 2024.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in Item 15, Exhibit and Financial Statement Schedules,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Financial Officer (our principal executive officer and principal financial officer), evaluated the effectiveness of our disclosure controls and procedures as of December 31, 2024. The term “disclosure controls and procedures,” as defined in Rules 13a-15(e) and 15d-15(e) under the Exchange Act as amended,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2024, our Chief Financial Officer concluded that our disclosure controls and procedures as of such date were effective at the reasonable assurance level.</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2024,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December 31, 2024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adopted or terminated a “Rule 10b5-1 trading arrangement” or “non-Rule 10b5-1 trading arrangement,” as each term is defined in Item 408 of Regulation S-K, except as follows:</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2024, Stacy Price, our former Chief Technology &amp; Manufacturing Officer, terminated the “Rule 10b5-1 trading arrangement” previously adopted on June 28, 2024, which was intended to satisfy the affirmative defense of Rule 10b5-1(c) of the Exchange Act. The plan provided for the potential sale on behalf of Ms. Price of up to 257,291 shares of our common stock. The duration of the plan was until September 1, 2025, or earlier upon the completed sale of the maximum shares subject to the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(other than as set forth below) will be included in our definitive proxy statement to be filed with the SEC with respect to our 2025 Annual Meeting of Stockholders within 120 days of the end of the fiscal year to which this Annual Report on Form 10-K relates (our “Proxy Statement”), which information is incorporated herein by reference.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Ethics and Conduct within the meaning of Item 406(b) of Regulation S-K. This Code of Business Ethics and Conduct applies to our directors, officers, and employees, including our principal executive officer, principal financial officer, principal accounting officer or controller, or persons performing similar functions, and is posted in the “Corporate Governance” sub-section of the “Investors &amp; Media” section (https://investors.invivyd.com/) of our corporate website (https://invivyd.com/). We intend to disclose on our website any amendments to, or waivers from, the Code of Business Ethics and Conduct that are required to be disclosed pursuant to the disclosure requirements of Item 5.05 of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which information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our Proxy Statement, which information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our Proxy Statement, which information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which information is incorporated herein by reference.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(a)(1) For a list of the financial statements filed as part of this Annual Report on Form 10-K, see Index to Consolidated Financial Statements on page F-1 of this Annual Report on Form 10-K, incorporated into this Item by reference.</w:t>
      </w:r>
    </w:p>
    <w:p>
      <w:pPr>
        <w:spacing w:after="0" w:line="54"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have been omitted because they are either not required or not applicable or the information is included in the consolidated financial statements or the notes thereto.</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(a)(3)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40" w:type="dxa"/>
            <w:vAlign w:val="bottom"/>
            <w:gridSpan w:val="27"/>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90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Amended and Restated Certificate of Incorporation (incorporated by reference to Exhibit 3.1 of the Registrant’s Current Report on Form</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4"/>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8-K (File No. 001-40703), filed with the Securities and Exchange Commission on August 10,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5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Registrant’s Current Report on Form 8-K (File No. 001-40703), filed with the Securities and Exchange Commission on September 13,</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65">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95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4"/>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Registrant’s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98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Amended and Restated Bylaws (incorporated by reference to Exhibit 3.2 of the Registrant’s Current Report on Form 8-K (File No. 001-</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40703)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Securities and Exchange Commission on September 13, 2022).</w:t>
              </w:r>
            </w:hyperlink>
          </w:p>
        </w:tc>
        <w:tc>
          <w:tcPr>
            <w:tcW w:w="38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8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No. 1 to the Amended and Restated Bylaws (incorporated by reference to Exhibit 3.2 of the Registrant’s Current Report on</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8-K (File No. 001-40703), filed with the Securities and Exchange Commission on May 25, 2023).</w:t>
              </w:r>
            </w:hyperlink>
          </w:p>
        </w:tc>
        <w:tc>
          <w:tcPr>
            <w:tcW w:w="20" w:type="dxa"/>
            <w:vAlign w:val="bottom"/>
            <w:tcBorders>
              <w:bottom w:val="single" w:sz="8" w:color="0000EE"/>
            </w:tcBorders>
          </w:tcPr>
          <w:p>
            <w:pPr>
              <w:spacing w:after="0"/>
              <w:rPr>
                <w:sz w:val="17"/>
                <w:szCs w:val="17"/>
                <w:color w:val="auto"/>
              </w:rPr>
            </w:pPr>
          </w:p>
        </w:tc>
        <w:tc>
          <w:tcPr>
            <w:tcW w:w="24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98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Delaware Certificate of Change of Registered Agent (incorporated by reference to Exhibit 3.3 of the Registrant’s Registration Statement</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on Form S-3 (File No. 333-267643), filed with the Securities and Exchange Commission on September 28, 2022).</w:t>
              </w:r>
            </w:hyperlink>
          </w:p>
        </w:tc>
        <w:tc>
          <w:tcPr>
            <w:tcW w:w="20" w:type="dxa"/>
            <w:vAlign w:val="bottom"/>
            <w:tcBorders>
              <w:bottom w:val="single" w:sz="8" w:color="0000EE"/>
            </w:tcBorders>
          </w:tcPr>
          <w:p>
            <w:pPr>
              <w:spacing w:after="0"/>
              <w:rPr>
                <w:sz w:val="17"/>
                <w:szCs w:val="17"/>
                <w:color w:val="auto"/>
              </w:rPr>
            </w:pPr>
          </w:p>
        </w:tc>
        <w:tc>
          <w:tcPr>
            <w:tcW w:w="1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9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Second Amended and Restated Investors’ Rights Agreement by and among the Registrant and certain of its stockholders, dated April 16,</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2021 (incorporated by reference to Exhibit 4.1 of the Registrant’s Registration Statement on Form S-1 (File No. 333-257975), filed with</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4"/>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the Securities and Exchange Commission on July 16,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99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Description of the Registrant’s Common Stock (incorporated by reference to Exhibit 4.2 of the Registrant’s Annual Report on Form 10-K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(File No. 001-40703), filed with the Securities and Exchange Commission on March 28, 2024).</w:t>
              </w:r>
            </w:hyperlink>
          </w:p>
        </w:tc>
        <w:tc>
          <w:tcPr>
            <w:tcW w:w="20" w:type="dxa"/>
            <w:vAlign w:val="bottom"/>
            <w:tcBorders>
              <w:bottom w:val="single" w:sz="8" w:color="0000EE"/>
            </w:tcBorders>
          </w:tcPr>
          <w:p>
            <w:pPr>
              <w:spacing w:after="0"/>
              <w:rPr>
                <w:sz w:val="17"/>
                <w:szCs w:val="17"/>
                <w:color w:val="auto"/>
              </w:rPr>
            </w:pPr>
          </w:p>
        </w:tc>
        <w:tc>
          <w:tcPr>
            <w:tcW w:w="30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Common Stock Purchase Warrant (incorporated by reference to Exhibit 4.3 of the Registrant’s Annual Report on Form 10-K (File No.</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001-40703), filed with the Securities and Exchange Commission on March 23, 2023).</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6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2020 Equity Incentive Plan and Forms of Stock Option Grant Notice, Stock Option Agreement, and Exercise Notice (incorporated by</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reference to Exhibit 10.4 of the Registrant’s Quarterly Report on Form 10-Q (File No. 001-40703),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4"/>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Commission on November 10,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5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2021 Equity Incentive Plan, as amended, and Forms of Stock Option Grant Notice, Stock Option Agreement, Exercise Notice, RSU</w:t>
            </w:r>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Award Grant Notice and RSU Award Agreement.</w:t>
            </w:r>
          </w:p>
        </w:tc>
        <w:tc>
          <w:tcPr>
            <w:tcW w:w="20" w:type="dxa"/>
            <w:vAlign w:val="bottom"/>
            <w:tcBorders>
              <w:bottom w:val="single" w:sz="8" w:color="0000EE"/>
            </w:tcBorders>
          </w:tcPr>
          <w:p>
            <w:pPr>
              <w:spacing w:after="0"/>
              <w:rPr>
                <w:sz w:val="17"/>
                <w:szCs w:val="17"/>
                <w:color w:val="auto"/>
              </w:rPr>
            </w:pPr>
          </w:p>
        </w:tc>
        <w:tc>
          <w:tcPr>
            <w:tcW w:w="63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8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2021 Employee Stock Purchase Plan (incorporated by reference to Exhibit 10.6 of the Registrant’s Quarterly Report on Form 10-Q (File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No. 001-40703), filed with the Securities and Exchange Commission on November 10, 2022).</w:t>
              </w:r>
            </w:hyperlink>
          </w:p>
        </w:tc>
        <w:tc>
          <w:tcPr>
            <w:tcW w:w="32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54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Form of Indemnification Agreement with Executive Officers and Directors.</w:t>
            </w:r>
          </w:p>
        </w:tc>
        <w:tc>
          <w:tcPr>
            <w:tcW w:w="20" w:type="dxa"/>
            <w:vAlign w:val="bottom"/>
            <w:tcBorders>
              <w:bottom w:val="single" w:sz="8" w:color="0000EE"/>
            </w:tcBorders>
          </w:tcPr>
          <w:p>
            <w:pPr>
              <w:spacing w:after="0"/>
              <w:rPr>
                <w:sz w:val="17"/>
                <w:szCs w:val="17"/>
                <w:color w:val="auto"/>
              </w:rPr>
            </w:pPr>
          </w:p>
        </w:tc>
        <w:tc>
          <w:tcPr>
            <w:tcW w:w="45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8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Employment Agreement by and between the Registrant and David Hering, dated July 5, 2022 (incorporated by reference to Exhibit 10.1</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of the Registrant’s Current Report on Form 8-K (File No. 001-40703), filed with the Securities and Exchange Commission on July 5,</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5">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99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First Amendment to the Employment Agreement of David Hering by and between the Registrant and David Hering, dated June 15, 2023</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(incorporated by reference to Exhibit 10.1 of the Registrant’s Quarterly Report on Form 10-Q (File No. 001-40703), filed with the</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Securities and Exchange Commission on August 10, 2023).</w:t>
              </w:r>
            </w:hyperlink>
          </w:p>
        </w:tc>
        <w:tc>
          <w:tcPr>
            <w:tcW w:w="40" w:type="dxa"/>
            <w:vAlign w:val="bottom"/>
            <w:tcBorders>
              <w:bottom w:val="single" w:sz="8" w:color="0000EE"/>
            </w:tcBorders>
          </w:tcPr>
          <w:p>
            <w:pPr>
              <w:spacing w:after="0"/>
              <w:rPr>
                <w:sz w:val="17"/>
                <w:szCs w:val="17"/>
                <w:color w:val="auto"/>
              </w:rPr>
            </w:pPr>
          </w:p>
        </w:tc>
        <w:tc>
          <w:tcPr>
            <w:tcW w:w="56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99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Separation Agreement by and between the Registrant and David Hering, dated May 3, 2024 (incorporated by reference to Exhibit 10.3 of</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 Registrant’s Quarterly Report on Form 10-Q (File No. 001-40703), filed with the Securities and Exchange Commission on August 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7">
              <w:r>
                <w:rPr>
                  <w:rFonts w:ascii="Times New Roman" w:cs="Times New Roman" w:eastAsia="Times New Roman" w:hAnsi="Times New Roman"/>
                  <w:sz w:val="18"/>
                  <w:szCs w:val="18"/>
                  <w:color w:val="0000FF"/>
                  <w:w w:val="94"/>
                </w:rPr>
                <w:t>2024).</w:t>
              </w:r>
            </w:hyperlink>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140" w:type="dxa"/>
            <w:vAlign w:val="bottom"/>
          </w:tcPr>
          <w:p>
            <w:pPr>
              <w:spacing w:after="0"/>
              <w:rPr>
                <w:sz w:val="24"/>
                <w:szCs w:val="24"/>
                <w:color w:val="auto"/>
              </w:rPr>
            </w:pPr>
          </w:p>
        </w:tc>
        <w:tc>
          <w:tcPr>
            <w:tcW w:w="5580" w:type="dxa"/>
            <w:vAlign w:val="bottom"/>
            <w:gridSpan w:val="9"/>
          </w:tcPr>
          <w:p>
            <w:pPr>
              <w:jc w:val="right"/>
              <w:ind w:right="888"/>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960" w:type="dxa"/>
            <w:vAlign w:val="bottom"/>
            <w:gridSpan w:val="24"/>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Employment Agreement by and between the Registrant and Jill Andersen, dated September 24, 2021 (incorporated by reference to</w:t>
              </w:r>
            </w:hyperlink>
          </w:p>
        </w:tc>
      </w:tr>
      <w:tr>
        <w:trPr>
          <w:trHeight w:val="20"/>
        </w:trPr>
        <w:tc>
          <w:tcPr>
            <w:tcW w:w="12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Exhibit 10.11 of the Registrant’s Annual Report on Form 10-K (File No. 001-40703), filed with the Securities and Exchange Commission</w:t>
              </w:r>
            </w:hyperlink>
          </w:p>
        </w:tc>
      </w:tr>
      <w:tr>
        <w:trPr>
          <w:trHeight w:val="20"/>
        </w:trPr>
        <w:tc>
          <w:tcPr>
            <w:tcW w:w="12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on March 31, 2022).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Employment Agreement by and between the Registrant and Jeremy Gowler, dated September 17, 2022 (incorporated by reference to</w:t>
              </w:r>
            </w:hyperlink>
          </w:p>
        </w:tc>
      </w:tr>
      <w:tr>
        <w:trPr>
          <w:trHeight w:val="20"/>
        </w:trPr>
        <w:tc>
          <w:tcPr>
            <w:tcW w:w="12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Exhibit 10.1 of the Registrant’s Current Report on Form 8-K (File No. 001-40703), filed with the Securities and Exchange Commission</w:t>
              </w:r>
            </w:hyperlink>
          </w:p>
        </w:tc>
      </w:tr>
      <w:tr>
        <w:trPr>
          <w:trHeight w:val="20"/>
        </w:trPr>
        <w:tc>
          <w:tcPr>
            <w:tcW w:w="12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on December 6, 2022).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First Amendment to the Employment Agreement of Jeremy Gowler, by and between the Registrant and Jeremy Gowler, dated April 11,</w:t>
              </w:r>
            </w:hyperlink>
          </w:p>
        </w:tc>
      </w:tr>
      <w:tr>
        <w:trPr>
          <w:trHeight w:val="20"/>
        </w:trPr>
        <w:tc>
          <w:tcPr>
            <w:tcW w:w="12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2024 (incorporated by reference to Exhibit 10.1 of the Registrant’s Current Report on Form 8-K (File No. 001-40703), filed with the</w:t>
              </w:r>
            </w:hyperlink>
          </w:p>
        </w:tc>
      </w:tr>
      <w:tr>
        <w:trPr>
          <w:trHeight w:val="20"/>
        </w:trPr>
        <w:tc>
          <w:tcPr>
            <w:tcW w:w="12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Securities and Exchange Commission on April 12, 2024).</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Separation Agreement by and between the Registrant and Jeremy Gowler, dated May 31, 2024 (incorporated by reference to Exhibit 10.4</w:t>
              </w:r>
            </w:hyperlink>
          </w:p>
        </w:tc>
      </w:tr>
      <w:tr>
        <w:trPr>
          <w:trHeight w:val="20"/>
        </w:trPr>
        <w:tc>
          <w:tcPr>
            <w:tcW w:w="12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of the Registrant’s Quarterly Report on Form 10-Q (File No. 001-40703), filed with the Securities and Exchange Commission on August</w:t>
              </w:r>
            </w:hyperlink>
          </w:p>
        </w:tc>
      </w:tr>
      <w:tr>
        <w:trPr>
          <w:trHeight w:val="20"/>
        </w:trPr>
        <w:tc>
          <w:tcPr>
            <w:tcW w:w="12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40" w:type="dxa"/>
            <w:vAlign w:val="bottom"/>
          </w:tcPr>
          <w:p>
            <w:pPr>
              <w:spacing w:after="0" w:line="196" w:lineRule="exact"/>
              <w:rPr>
                <w:rFonts w:ascii="Times New Roman" w:cs="Times New Roman" w:eastAsia="Times New Roman" w:hAnsi="Times New Roman"/>
                <w:sz w:val="18"/>
                <w:szCs w:val="18"/>
                <w:color w:val="0000FF"/>
                <w:w w:val="95"/>
              </w:rPr>
            </w:pPr>
            <w:hyperlink r:id="rId183">
              <w:r>
                <w:rPr>
                  <w:rFonts w:ascii="Times New Roman" w:cs="Times New Roman" w:eastAsia="Times New Roman" w:hAnsi="Times New Roman"/>
                  <w:sz w:val="18"/>
                  <w:szCs w:val="18"/>
                  <w:color w:val="0000FF"/>
                  <w:w w:val="95"/>
                </w:rPr>
                <w:t>14, 2024).</w:t>
              </w:r>
            </w:hyperlink>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Employment Agreement by and between the Registrant and Robert Allen, dated March 14, 2023 (incorporated by reference to Exhibit</w:t>
              </w:r>
            </w:hyperlink>
          </w:p>
        </w:tc>
      </w:tr>
      <w:tr>
        <w:trPr>
          <w:trHeight w:val="20"/>
        </w:trPr>
        <w:tc>
          <w:tcPr>
            <w:tcW w:w="128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of the Registrant’s Annual Report on Form 10-K (File No. 001-40703), filed with the Securities and Exchange Commission on</w:t>
              </w:r>
            </w:hyperlink>
          </w:p>
        </w:tc>
      </w:tr>
      <w:tr>
        <w:trPr>
          <w:trHeight w:val="20"/>
        </w:trPr>
        <w:tc>
          <w:tcPr>
            <w:tcW w:w="128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March 28, 2024).</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Employment Agreement by and between the Registrant and William Duke, Jr. dated July 19, 2023 (incorporated by reference to Exhibit</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Registrant’s Current Report on Form 8-K (File No. 001-40703), filed with the Securities and Exchange Commission on</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September 5, 2023).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Employment Agreement by and between the Registrant and Julie Green, dated January 24, 2024 (incorporated by reference to Exhibit</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0000FF"/>
                </w:rPr>
                <w:t xml:space="preserve"> of the Registrant’s Annual Report on Form 10-K (File No. 001-40703), filed with the Securities and Exchange Commission on</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March 28, 2024).</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the Employment Agreement of Julie Green, by and between the Registrant and Julie Green, dated October 23, 2024.</w:t>
            </w: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18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by and between the Registrant and Timothy Lee, dated May 30, 2024.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Non-Employee Director Compensation Policy (incorporated by reference to Exhibit 10.3 of the Registrant’s Quarterly Report on Form</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10-Q (File No. 001-40703), filed with the Securities and Exchange Commission on May 11, 2023).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Assignment and License Agreement by and between the Registrant and Adimab, LLC, dated July 8, 2020 (incorporated by reference to</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Exhibit 10.5 of the Registrant’s Registration Statement on Form S-1 (File No. 333-257975), filed with the Securities and Exchange</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Commission on July 16,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EE"/>
            </w:tcBorders>
            <w:gridSpan w:val="3"/>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Collaboration Agreement by and between the Registrant and Adimab, LLC, dated May 21, 2021 (incorporated by reference to Exhibit</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of the Registrant’s Registration Statement on Form S-1 (File No. 333-257975), filed with the Securities and Exchange Commission</w:t>
              </w:r>
            </w:hyperlink>
          </w:p>
        </w:tc>
      </w:tr>
      <w:tr>
        <w:trPr>
          <w:trHeight w:val="20"/>
        </w:trPr>
        <w:tc>
          <w:tcPr>
            <w:tcW w:w="128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on July 16,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3"/>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Amendment Number One to the Collaboration Agreement by and between the Registrant and Adimab, LLC, November 18, 2022</w:t>
              </w:r>
            </w:hyperlink>
          </w:p>
        </w:tc>
      </w:tr>
      <w:tr>
        <w:trPr>
          <w:trHeight w:val="20"/>
        </w:trPr>
        <w:tc>
          <w:tcPr>
            <w:tcW w:w="1280" w:type="dxa"/>
            <w:vAlign w:val="bottom"/>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(incorporated by reference to Exhibit 10.13 of the Registrant’s Annual Report on Form 10-K (File No. 001-40703), filed with the</w:t>
              </w:r>
            </w:hyperlink>
          </w:p>
        </w:tc>
      </w:tr>
      <w:tr>
        <w:trPr>
          <w:trHeight w:val="20"/>
        </w:trPr>
        <w:tc>
          <w:tcPr>
            <w:tcW w:w="1280" w:type="dxa"/>
            <w:vAlign w:val="bottom"/>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Securities and Exchange Commission on March 23, 2023).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Amendment Number Two to the Collaboration Agreement by and between the Registrant and Adimab, LLC, dated September 19, 2023</w:t>
              </w:r>
            </w:hyperlink>
          </w:p>
        </w:tc>
      </w:tr>
      <w:tr>
        <w:trPr>
          <w:trHeight w:val="20"/>
        </w:trPr>
        <w:tc>
          <w:tcPr>
            <w:tcW w:w="1280" w:type="dxa"/>
            <w:vAlign w:val="bottom"/>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(incorporated by reference to Exhibit 10.2 of the Registrant’s Quarterly Report on Form 10-Q (File No. 001-40703), filed with the</w:t>
              </w:r>
            </w:hyperlink>
          </w:p>
        </w:tc>
      </w:tr>
      <w:tr>
        <w:trPr>
          <w:trHeight w:val="20"/>
        </w:trPr>
        <w:tc>
          <w:tcPr>
            <w:tcW w:w="1280" w:type="dxa"/>
            <w:vAlign w:val="bottom"/>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Securities and Exchange Commission on November 9, 2023).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Second Amended and Restated Commercial Manufacturing Services Agreement by and between the Registrant and WuXi Biologics</w:t>
              </w:r>
            </w:hyperlink>
          </w:p>
        </w:tc>
      </w:tr>
      <w:tr>
        <w:trPr>
          <w:trHeight w:val="20"/>
        </w:trPr>
        <w:tc>
          <w:tcPr>
            <w:tcW w:w="1280" w:type="dxa"/>
            <w:vAlign w:val="bottom"/>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(Hong Kong) Limited, dated September 19, 2023 (incorporated by reference to Exhibit 10.3 of the Registrant’s Quarterly Report on Form</w:t>
              </w:r>
            </w:hyperlink>
          </w:p>
        </w:tc>
      </w:tr>
      <w:tr>
        <w:trPr>
          <w:trHeight w:val="20"/>
        </w:trPr>
        <w:tc>
          <w:tcPr>
            <w:tcW w:w="1280" w:type="dxa"/>
            <w:vAlign w:val="bottom"/>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10-Q (File No. 001-40703), filed with the Securities and Exchange Commission on November 9, 2023).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Cell Line License Agreement by and between the Registrant and WuXi Biologics (Hong Kong) Limited, dated December 2, 2020</w:t>
              </w:r>
            </w:hyperlink>
          </w:p>
        </w:tc>
      </w:tr>
      <w:tr>
        <w:trPr>
          <w:trHeight w:val="20"/>
        </w:trPr>
        <w:tc>
          <w:tcPr>
            <w:tcW w:w="1280" w:type="dxa"/>
            <w:vAlign w:val="bottom"/>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3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(incorporated by reference to Exhibit 10.8 of the Registrant’s Registration Statement on Form S-1 (File No. 333-257975), filed with the</w:t>
              </w:r>
            </w:hyperlink>
          </w:p>
        </w:tc>
      </w:tr>
      <w:tr>
        <w:trPr>
          <w:trHeight w:val="20"/>
        </w:trPr>
        <w:tc>
          <w:tcPr>
            <w:tcW w:w="1280" w:type="dxa"/>
            <w:vAlign w:val="bottom"/>
          </w:tcPr>
          <w:p>
            <w:pPr>
              <w:spacing w:after="0" w:line="20" w:lineRule="exact"/>
              <w:rPr>
                <w:sz w:val="1"/>
                <w:szCs w:val="1"/>
                <w:color w:val="auto"/>
              </w:rPr>
            </w:pPr>
          </w:p>
        </w:tc>
        <w:tc>
          <w:tcPr>
            <w:tcW w:w="40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38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Securities and Exchange Commission on July 16,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EE"/>
            </w:tcBorders>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Amendment No. 1 to the Cell Line License Agreement by and between the Registrant and WuXi Biologics (Hong Kong) Limited, dated</w:t>
              </w:r>
            </w:hyperlink>
          </w:p>
        </w:tc>
      </w:tr>
      <w:tr>
        <w:trPr>
          <w:trHeight w:val="20"/>
        </w:trPr>
        <w:tc>
          <w:tcPr>
            <w:tcW w:w="1280" w:type="dxa"/>
            <w:vAlign w:val="bottom"/>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38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February 2, 2023 (incorporated by reference to Exhibit 10.16 of the Registrant’s Annual Report on Form 10-K (File No. 001-40703), filed</w:t>
              </w:r>
            </w:hyperlink>
          </w:p>
        </w:tc>
      </w:tr>
      <w:tr>
        <w:trPr>
          <w:trHeight w:val="20"/>
        </w:trPr>
        <w:tc>
          <w:tcPr>
            <w:tcW w:w="1280" w:type="dxa"/>
            <w:vAlign w:val="bottom"/>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380" w:type="dxa"/>
            <w:vAlign w:val="bottom"/>
            <w:tcBorders>
              <w:left w:val="single" w:sz="8" w:color="0000FF"/>
            </w:tcBorders>
            <w:gridSpan w:val="4"/>
            <w:shd w:val="clear" w:color="auto" w:fill="0000FF"/>
          </w:tcPr>
          <w:p>
            <w:pPr>
              <w:spacing w:after="0" w:line="20" w:lineRule="exact"/>
              <w:rPr>
                <w:sz w:val="1"/>
                <w:szCs w:val="1"/>
                <w:color w:val="auto"/>
              </w:rPr>
            </w:pPr>
          </w:p>
        </w:tc>
        <w:tc>
          <w:tcPr>
            <w:tcW w:w="640" w:type="dxa"/>
            <w:vAlign w:val="bottom"/>
            <w:gridSpan w:val="9"/>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with the Securities and Exchange Commission on March 23, 2023).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Amendment No. 2 to the Cell Line License Agreement by and between the Registrant and WuXi Biologics (Hong Kong) Limited, dated</w:t>
              </w:r>
            </w:hyperlink>
          </w:p>
        </w:tc>
      </w:tr>
      <w:tr>
        <w:trPr>
          <w:trHeight w:val="20"/>
        </w:trPr>
        <w:tc>
          <w:tcPr>
            <w:tcW w:w="1280" w:type="dxa"/>
            <w:vAlign w:val="bottom"/>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38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March 13, 2024 (incorporated by reference to Exhibit 10.23 of the Registrant’s Annual Report on Form 10-K (File No. 001-40703), filed</w:t>
              </w:r>
            </w:hyperlink>
          </w:p>
        </w:tc>
      </w:tr>
      <w:tr>
        <w:trPr>
          <w:trHeight w:val="20"/>
        </w:trPr>
        <w:tc>
          <w:tcPr>
            <w:tcW w:w="1280" w:type="dxa"/>
            <w:vAlign w:val="bottom"/>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380" w:type="dxa"/>
            <w:vAlign w:val="bottom"/>
            <w:tcBorders>
              <w:left w:val="single" w:sz="8" w:color="0000FF"/>
            </w:tcBorders>
            <w:gridSpan w:val="4"/>
            <w:shd w:val="clear" w:color="auto" w:fill="0000FF"/>
          </w:tcPr>
          <w:p>
            <w:pPr>
              <w:spacing w:after="0" w:line="20" w:lineRule="exact"/>
              <w:rPr>
                <w:sz w:val="1"/>
                <w:szCs w:val="1"/>
                <w:color w:val="auto"/>
              </w:rPr>
            </w:pPr>
          </w:p>
        </w:tc>
        <w:tc>
          <w:tcPr>
            <w:tcW w:w="64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with the Securities and Exchange Commission on March 28, 2024).</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4220" w:type="dxa"/>
            <w:vAlign w:val="bottom"/>
            <w:gridSpan w:val="8"/>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380" w:type="dxa"/>
            <w:vAlign w:val="bottom"/>
            <w:tcBorders>
              <w:left w:val="single" w:sz="8" w:color="0000EE"/>
            </w:tcBorders>
            <w:gridSpan w:val="4"/>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Clinical Master Services Agreement by between the Registrant and WuXi Biologics (Hong Kong) Limited, dated July 21, 2020</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5040" w:type="dxa"/>
            <w:vAlign w:val="bottom"/>
            <w:tcBorders>
              <w:left w:val="single" w:sz="8" w:color="0000FF"/>
            </w:tcBorders>
            <w:gridSpan w:val="6"/>
            <w:shd w:val="clear" w:color="auto" w:fill="0000FF"/>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(incorporated by reference to Exhibit 10.17 of the Registrant’s Annual Report on Form 10-K (File No. 001-40703), filed with the</w:t>
              </w:r>
            </w:hyperlink>
          </w:p>
        </w:tc>
      </w:tr>
      <w:tr>
        <w:trPr>
          <w:trHeight w:val="20"/>
        </w:trPr>
        <w:tc>
          <w:tcPr>
            <w:tcW w:w="1280" w:type="dxa"/>
            <w:vAlign w:val="bottom"/>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5120" w:type="dxa"/>
            <w:vAlign w:val="bottom"/>
            <w:tcBorders>
              <w:left w:val="single" w:sz="8" w:color="0000FF"/>
            </w:tcBorders>
            <w:gridSpan w:val="7"/>
            <w:shd w:val="clear" w:color="auto" w:fill="0000FF"/>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4"/>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Securities and Exchange Commission on March 23, 2023).</w:t>
              </w:r>
            </w:hyperlink>
          </w:p>
        </w:tc>
      </w:tr>
      <w:tr>
        <w:trPr>
          <w:trHeight w:val="20"/>
        </w:trPr>
        <w:tc>
          <w:tcPr>
            <w:tcW w:w="1280" w:type="dxa"/>
            <w:vAlign w:val="bottom"/>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2"/>
        </w:trPr>
        <w:tc>
          <w:tcPr>
            <w:tcW w:w="1280" w:type="dxa"/>
            <w:vAlign w:val="bottom"/>
          </w:tcPr>
          <w:p>
            <w:pPr>
              <w:spacing w:after="0"/>
              <w:rPr>
                <w:sz w:val="24"/>
                <w:szCs w:val="24"/>
                <w:color w:val="auto"/>
              </w:rPr>
            </w:pPr>
          </w:p>
        </w:tc>
        <w:tc>
          <w:tcPr>
            <w:tcW w:w="4880" w:type="dxa"/>
            <w:vAlign w:val="bottom"/>
            <w:gridSpan w:val="10"/>
          </w:tcPr>
          <w:p>
            <w:pPr>
              <w:jc w:val="right"/>
              <w:ind w:right="400"/>
              <w:spacing w:after="0"/>
              <w:rPr>
                <w:sz w:val="20"/>
                <w:szCs w:val="20"/>
                <w:color w:val="auto"/>
              </w:rPr>
            </w:pPr>
            <w:r>
              <w:rPr>
                <w:rFonts w:ascii="Times New Roman" w:cs="Times New Roman" w:eastAsia="Times New Roman" w:hAnsi="Times New Roman"/>
                <w:sz w:val="18"/>
                <w:szCs w:val="18"/>
                <w:color w:val="auto"/>
              </w:rPr>
              <w:t>121</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5" w:name="page126"/>
    <w:bookmarkEnd w:id="125"/>
    <w:tbl>
      <w:tblPr>
        <w:tblLayout w:type="fixed"/>
        <w:tblInd w:w="20" w:type="dxa"/>
        <w:tblCellMar>
          <w:top w:w="0" w:type="dxa"/>
          <w:left w:w="0" w:type="dxa"/>
          <w:bottom w:w="0" w:type="dxa"/>
          <w:right w:w="0" w:type="dxa"/>
        </w:tblCellMar>
      </w:tblPr>
      <w:tr>
        <w:trPr>
          <w:trHeight w:val="139"/>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10.27</w:t>
            </w:r>
          </w:p>
        </w:tc>
        <w:tc>
          <w:tcPr>
            <w:tcW w:w="1960" w:type="dxa"/>
            <w:vAlign w:val="bottom"/>
            <w:vMerge w:val="restart"/>
          </w:tcPr>
          <w:p>
            <w:pPr>
              <w:spacing w:after="0"/>
              <w:rPr>
                <w:rFonts w:ascii="Times New Roman" w:cs="Times New Roman" w:eastAsia="Times New Roman" w:hAnsi="Times New Roman"/>
                <w:sz w:val="18"/>
                <w:szCs w:val="18"/>
                <w:color w:val="0000FF"/>
                <w:w w:val="97"/>
              </w:rPr>
            </w:pPr>
            <w:hyperlink r:id="rId199">
              <w:r>
                <w:rPr>
                  <w:rFonts w:ascii="Times New Roman" w:cs="Times New Roman" w:eastAsia="Times New Roman" w:hAnsi="Times New Roman"/>
                  <w:sz w:val="18"/>
                  <w:szCs w:val="18"/>
                  <w:color w:val="0000FF"/>
                  <w:w w:val="97"/>
                </w:rPr>
                <w:t>Controlled Equity Offering</w:t>
              </w:r>
            </w:hyperlink>
          </w:p>
        </w:tc>
        <w:tc>
          <w:tcPr>
            <w:tcW w:w="120" w:type="dxa"/>
            <w:vAlign w:val="bottom"/>
            <w:tcBorders>
              <w:bottom w:val="single" w:sz="8" w:color="0000FF"/>
            </w:tcBorders>
          </w:tcPr>
          <w:p>
            <w:pPr>
              <w:spacing w:after="0"/>
              <w:rPr>
                <w:rFonts w:ascii="Times New Roman" w:cs="Times New Roman" w:eastAsia="Times New Roman" w:hAnsi="Times New Roman"/>
                <w:sz w:val="9"/>
                <w:szCs w:val="9"/>
                <w:color w:val="0000FF"/>
                <w:w w:val="76"/>
              </w:rPr>
            </w:pPr>
            <w:hyperlink r:id="rId199">
              <w:r>
                <w:rPr>
                  <w:rFonts w:ascii="Times New Roman" w:cs="Times New Roman" w:eastAsia="Times New Roman" w:hAnsi="Times New Roman"/>
                  <w:sz w:val="9"/>
                  <w:szCs w:val="9"/>
                  <w:color w:val="0000FF"/>
                  <w:w w:val="76"/>
                </w:rPr>
                <w:t>SM</w:t>
              </w:r>
            </w:hyperlink>
          </w:p>
        </w:tc>
        <w:tc>
          <w:tcPr>
            <w:tcW w:w="7840" w:type="dxa"/>
            <w:vAlign w:val="bottom"/>
            <w:gridSpan w:val="11"/>
            <w:vMerge w:val="restart"/>
          </w:tcPr>
          <w:p>
            <w:pPr>
              <w:ind w:left="40"/>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Sales Agreement by and between the Registrant and Cantor Fitzgerald &amp; Co., dated December 22, 2023</w:t>
              </w:r>
            </w:hyperlink>
          </w:p>
        </w:tc>
        <w:tc>
          <w:tcPr>
            <w:tcW w:w="0" w:type="dxa"/>
            <w:vAlign w:val="bottom"/>
          </w:tcPr>
          <w:p>
            <w:pPr>
              <w:spacing w:after="0"/>
              <w:rPr>
                <w:sz w:val="1"/>
                <w:szCs w:val="1"/>
                <w:color w:val="auto"/>
              </w:rPr>
            </w:pPr>
          </w:p>
        </w:tc>
      </w:tr>
      <w:tr>
        <w:trPr>
          <w:trHeight w:val="48"/>
        </w:trPr>
        <w:tc>
          <w:tcPr>
            <w:tcW w:w="1260" w:type="dxa"/>
            <w:vAlign w:val="bottom"/>
            <w:vMerge w:val="continue"/>
          </w:tcPr>
          <w:p>
            <w:pPr>
              <w:spacing w:after="0"/>
              <w:rPr>
                <w:sz w:val="4"/>
                <w:szCs w:val="4"/>
                <w:color w:val="auto"/>
              </w:rPr>
            </w:pPr>
          </w:p>
        </w:tc>
        <w:tc>
          <w:tcPr>
            <w:tcW w:w="19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84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2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(incorporated by reference to Exhibit 10.1 of the Registrant’s Current Report on Form 8-K (File No. 001-40703), filed with the Securities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20" w:type="dxa"/>
            <w:vAlign w:val="bottom"/>
            <w:gridSpan w:val="13"/>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and Exchange Commission on December 22, 2023).</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Prevention Policy of the Registrant.</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920" w:type="dxa"/>
            <w:vAlign w:val="bottom"/>
            <w:gridSpan w:val="13"/>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Subsidiaries of the Registrant (incorporated by reference to Exhibit 21.1 of the Registrant’s Annual Report on Form 10-K (File No. 001-</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242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20" w:type="dxa"/>
            <w:vAlign w:val="bottom"/>
            <w:gridSpan w:val="13"/>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March 23, 2023).</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242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160" w:type="dxa"/>
            <w:vAlign w:val="bottom"/>
            <w:tcBorders>
              <w:right w:val="single" w:sz="8" w:color="0000EE"/>
            </w:tcBorders>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Rules 13a-14(a) and 15d-14(a) under the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920" w:type="dxa"/>
            <w:vAlign w:val="bottom"/>
            <w:gridSpan w:val="13"/>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Incentive Compensation Recovery Policy of the Registrant (incorporated by reference to Exhibit 97.1 of the Registrant’s Annual Report</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20" w:type="dxa"/>
            <w:vAlign w:val="bottom"/>
            <w:gridSpan w:val="8"/>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20" w:type="dxa"/>
            <w:vAlign w:val="bottom"/>
            <w:gridSpan w:val="13"/>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on Form 10-K (File No. 001-40703), filed with the Securities and Exchange Commission on March 28, 2024).</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8020" w:type="dxa"/>
            <w:vAlign w:val="bottom"/>
            <w:gridSpan w:val="9"/>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20" w:hanging="399"/>
        <w:spacing w:after="0"/>
        <w:tabs>
          <w:tab w:leader="none" w:pos="420" w:val="left"/>
        </w:tabs>
        <w:numPr>
          <w:ilvl w:val="0"/>
          <w:numId w:val="7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Filed herewith.</w:t>
      </w:r>
    </w:p>
    <w:p>
      <w:pPr>
        <w:spacing w:after="0" w:line="2" w:lineRule="exact"/>
        <w:rPr>
          <w:sz w:val="20"/>
          <w:szCs w:val="20"/>
          <w:color w:val="auto"/>
        </w:rPr>
      </w:pPr>
    </w:p>
    <w:p>
      <w:pPr>
        <w:ind w:left="420" w:hanging="399"/>
        <w:spacing w:after="0"/>
        <w:tabs>
          <w:tab w:leader="none" w:pos="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7" w:lineRule="exact"/>
        <w:rPr>
          <w:sz w:val="20"/>
          <w:szCs w:val="20"/>
          <w:color w:val="auto"/>
        </w:rPr>
      </w:pPr>
    </w:p>
    <w:p>
      <w:pPr>
        <w:ind w:left="420" w:hanging="399"/>
        <w:spacing w:after="0"/>
        <w:tabs>
          <w:tab w:leader="none" w:pos="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pursuant to Item 601(b)(10)(iv) of Regulation S-K.</w:t>
      </w:r>
    </w:p>
    <w:p>
      <w:pPr>
        <w:spacing w:after="0" w:line="9" w:lineRule="exact"/>
        <w:rPr>
          <w:sz w:val="20"/>
          <w:szCs w:val="20"/>
          <w:color w:val="auto"/>
        </w:rPr>
      </w:pPr>
    </w:p>
    <w:p>
      <w:pPr>
        <w:ind w:left="420" w:hanging="399"/>
        <w:spacing w:after="0" w:line="250" w:lineRule="auto"/>
        <w:tabs>
          <w:tab w:leader="none" w:pos="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601(a)(5) of Regulation S-K. A copy of any omitted schedules will be furnished supplementally to the SEC upon request.</w:t>
      </w:r>
    </w:p>
    <w:p>
      <w:pPr>
        <w:spacing w:after="0" w:line="1" w:lineRule="exact"/>
        <w:rPr>
          <w:sz w:val="20"/>
          <w:szCs w:val="20"/>
          <w:color w:val="auto"/>
        </w:rPr>
      </w:pPr>
    </w:p>
    <w:p>
      <w:pPr>
        <w:ind w:left="420" w:right="20" w:hanging="399"/>
        <w:spacing w:after="0" w:line="255" w:lineRule="auto"/>
        <w:tabs>
          <w:tab w:leader="none" w:pos="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ind w:left="20"/>
        <w:spacing w:after="0"/>
        <w:tabs>
          <w:tab w:leader="none" w:pos="4840" w:val="left"/>
          <w:tab w:leader="none" w:pos="756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1"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 Principal</w:t>
      </w:r>
    </w:p>
    <w:p>
      <w:pPr>
        <w:spacing w:after="0" w:line="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i w:val="1"/>
          <w:iCs w:val="1"/>
          <w:color w:val="auto"/>
        </w:rPr>
        <w:t>Accounting Officer)</w:t>
      </w:r>
    </w:p>
    <w:p>
      <w:pPr>
        <w:spacing w:after="0" w:line="200" w:lineRule="exact"/>
        <w:rPr>
          <w:sz w:val="20"/>
          <w:szCs w:val="20"/>
          <w:color w:val="auto"/>
        </w:rPr>
      </w:pPr>
    </w:p>
    <w:p>
      <w:pPr>
        <w:spacing w:after="0" w:line="22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8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Duke, Jr.</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189"/>
        </w:trPr>
        <w:tc>
          <w:tcPr>
            <w:tcW w:w="3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William Duke, Jr.</w:t>
            </w:r>
          </w:p>
        </w:tc>
        <w:tc>
          <w:tcPr>
            <w:tcW w:w="120" w:type="dxa"/>
            <w:vAlign w:val="bottom"/>
          </w:tcPr>
          <w:p>
            <w:pPr>
              <w:spacing w:after="0"/>
              <w:rPr>
                <w:sz w:val="16"/>
                <w:szCs w:val="16"/>
                <w:color w:val="auto"/>
              </w:rPr>
            </w:pPr>
          </w:p>
        </w:tc>
        <w:tc>
          <w:tcPr>
            <w:tcW w:w="5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7"/>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Elia</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Elia</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Tamsin Berry</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Tamsin Berry</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Srishti Gupta, M.D.</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Srishti Gupta, M.D.</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Christine Lindenboom</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Lindenboom</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Terrance McGuire</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Terrance McGuire</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F. McLaughlin</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F. McLaughlin</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711"/>
        </w:trPr>
        <w:tc>
          <w:tcPr>
            <w:tcW w:w="3500" w:type="dxa"/>
            <w:vAlign w:val="bottom"/>
          </w:tcPr>
          <w:p>
            <w:pPr>
              <w:spacing w:after="0"/>
              <w:rPr>
                <w:sz w:val="24"/>
                <w:szCs w:val="24"/>
                <w:color w:val="auto"/>
              </w:rPr>
            </w:pPr>
          </w:p>
        </w:tc>
        <w:tc>
          <w:tcPr>
            <w:tcW w:w="5960" w:type="dxa"/>
            <w:vAlign w:val="bottom"/>
            <w:gridSpan w:val="2"/>
          </w:tcPr>
          <w:p>
            <w:pPr>
              <w:jc w:val="right"/>
              <w:ind w:right="361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7" w:name="page128"/>
    <w:bookmarkEnd w:id="1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580" w:type="dxa"/>
            <w:vAlign w:val="bottom"/>
            <w:vMerge w:val="restart"/>
          </w:tcPr>
          <w:p>
            <w:pPr>
              <w:spacing w:after="0"/>
              <w:rPr>
                <w:sz w:val="16"/>
                <w:szCs w:val="16"/>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60" w:type="dxa"/>
            <w:vAlign w:val="bottom"/>
            <w:tcBorders>
              <w:bottom w:val="single" w:sz="8" w:color="0000FF"/>
            </w:tcBorders>
            <w:gridSpan w:val="6"/>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1080" w:type="dxa"/>
            <w:vAlign w:val="bottom"/>
            <w:tcBorders>
              <w:top w:val="single" w:sz="8" w:color="auto"/>
            </w:tcBorders>
          </w:tcPr>
          <w:p>
            <w:pPr>
              <w:ind w:left="840"/>
              <w:spacing w:after="0" w:line="169"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440" w:type="dxa"/>
            <w:vAlign w:val="bottom"/>
            <w:gridSpan w:val="2"/>
          </w:tcPr>
          <w:p>
            <w:pPr>
              <w:spacing w:after="0"/>
              <w:rPr>
                <w:sz w:val="18"/>
                <w:szCs w:val="18"/>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5900" w:type="dxa"/>
            <w:vAlign w:val="bottom"/>
            <w:gridSpan w:val="3"/>
          </w:tcPr>
          <w:p>
            <w:pPr>
              <w:spacing w:after="0"/>
              <w:rPr>
                <w:sz w:val="18"/>
                <w:szCs w:val="18"/>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240" w:type="dxa"/>
            <w:vAlign w:val="bottom"/>
            <w:gridSpan w:val="5"/>
          </w:tcPr>
          <w:p>
            <w:pPr>
              <w:spacing w:after="0"/>
              <w:rPr>
                <w:sz w:val="18"/>
                <w:szCs w:val="18"/>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9"/>
        </w:trPr>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682"/>
        </w:trPr>
        <w:tc>
          <w:tcPr>
            <w:tcW w:w="2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8" w:name="page129"/>
    <w:bookmarkEnd w:id="12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Invivyd,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Invivyd, Inc. and its subsidiaries (the “Company”) as of December 31, 2024 and 2023, and the related consolidated statements of operations and comprehensive loss, of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and will require additional funding to finance its future operation.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224,881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liability</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non-current liability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and no shares issued and outstanding at December 31, 2024</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December 31, 2023</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119,835,162 shares issued and outstanding at December 31, 2024;</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110,160,684 shares issued and outstanding at December 31, 2023</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909,539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(901,994 )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(732,069 )</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-4097020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-3256915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-3239770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-2408555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-1833880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$1,274 and $0 for the years ended December 31, 2024 and 2023, respectively (see Note 15).</w:t>
      </w:r>
    </w:p>
    <w:p>
      <w:pPr>
        <w:spacing w:after="0" w:line="117" w:lineRule="exact"/>
        <w:rPr>
          <w:rFonts w:ascii="Times New Roman" w:cs="Times New Roman" w:eastAsia="Times New Roman" w:hAnsi="Times New Roman"/>
          <w:sz w:val="18"/>
          <w:szCs w:val="18"/>
          <w:color w:val="auto"/>
        </w:rPr>
      </w:pPr>
    </w:p>
    <w:p>
      <w:pPr>
        <w:ind w:left="2460" w:right="1760" w:hanging="2452"/>
        <w:spacing w:after="0" w:line="329" w:lineRule="auto"/>
        <w:tabs>
          <w:tab w:leader="none" w:pos="5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$0 and $700 for the years ended December 31, 2024 and 2023, respectively (see Note 15). The accompanying notes are an integral part of these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48"/>
        </w:trPr>
        <w:tc>
          <w:tcPr>
            <w:tcW w:w="7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612"/>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612"/>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r>
      <w:tr>
        <w:trPr>
          <w:trHeight w:val="173"/>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(2)</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Acquired in-process research and development</w:t>
            </w:r>
            <w:r>
              <w:rPr>
                <w:rFonts w:ascii="Times New Roman" w:cs="Times New Roman" w:eastAsia="Times New Roman" w:hAnsi="Times New Roman"/>
                <w:sz w:val="24"/>
                <w:szCs w:val="24"/>
                <w:color w:val="auto"/>
                <w:vertAlign w:val="superscript"/>
              </w:rPr>
              <w:t>(3)</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202,260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(176,876 )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(212,758 )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(169,925 )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(198,643 )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net of tax</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(169,917 )</w:t>
            </w: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(198,384 )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Pr>
          <w:p>
            <w:pPr>
              <w:jc w:val="right"/>
              <w:ind w:right="19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(1.43 )</w:t>
            </w:r>
          </w:p>
        </w:tc>
        <w:tc>
          <w:tcPr>
            <w:tcW w:w="360" w:type="dxa"/>
            <w:vAlign w:val="bottom"/>
          </w:tcPr>
          <w:p>
            <w:pPr>
              <w:jc w:val="right"/>
              <w:ind w:right="1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(1.81 )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118,555,073</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109,526,053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-2339340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-1499235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-925195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$1,027 and $0 for the years ended December 31, 2024 and 2023, respectively (see Note 15).</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$4,546 and $8,418 for the years ended December 31, 2024 and 2023, respectively (see Note 15).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$0 and $4,975 for the years ended December 31, 2024 and 2023, respectively (see Note 15).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8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sive</w:t>
            </w:r>
          </w:p>
        </w:tc>
        <w:tc>
          <w:tcPr>
            <w:tcW w:w="140" w:type="dxa"/>
            <w:vAlign w:val="bottom"/>
          </w:tcPr>
          <w:p>
            <w:pPr>
              <w:spacing w:after="0"/>
              <w:rPr>
                <w:sz w:val="13"/>
                <w:szCs w:val="13"/>
                <w:color w:val="auto"/>
              </w:rPr>
            </w:pPr>
          </w:p>
        </w:tc>
        <w:tc>
          <w:tcPr>
            <w:tcW w:w="88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0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0"/>
                <w:szCs w:val="10"/>
                <w:color w:val="auto"/>
              </w:rPr>
            </w:pP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0"/>
                <w:szCs w:val="10"/>
                <w:color w:val="auto"/>
              </w:rPr>
            </w:pPr>
          </w:p>
        </w:tc>
        <w:tc>
          <w:tcPr>
            <w:tcW w:w="6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100" w:type="dxa"/>
            <w:vAlign w:val="bottom"/>
            <w:vMerge w:val="continue"/>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110,160,68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0"/>
                <w:szCs w:val="10"/>
                <w:color w:val="auto"/>
              </w:rPr>
            </w:pPr>
          </w:p>
        </w:tc>
        <w:tc>
          <w:tcPr>
            <w:tcW w:w="8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909,539</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(732,069 )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177,468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8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39,056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468,355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employee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206,123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net of tax</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(169,925 )</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(169,925 )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10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119,835,16</w:t>
            </w:r>
          </w:p>
        </w:tc>
        <w:tc>
          <w:tcPr>
            <w:tcW w:w="2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969,526</w:t>
            </w:r>
          </w:p>
        </w:tc>
        <w:tc>
          <w:tcPr>
            <w:tcW w:w="20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(901,994 )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67,539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120" w:type="dxa"/>
            <w:vAlign w:val="bottom"/>
            <w:gridSpan w:val="4"/>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2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1040" w:type="dxa"/>
            <w:vAlign w:val="bottom"/>
            <w:gridSpan w:val="3"/>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212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140" w:type="dxa"/>
            <w:vAlign w:val="bottom"/>
          </w:tcPr>
          <w:p>
            <w:pPr>
              <w:spacing w:after="0"/>
              <w:rPr>
                <w:sz w:val="13"/>
                <w:szCs w:val="13"/>
                <w:color w:val="auto"/>
              </w:rPr>
            </w:pPr>
          </w:p>
        </w:tc>
        <w:tc>
          <w:tcPr>
            <w:tcW w:w="9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10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0"/>
                <w:szCs w:val="10"/>
                <w:color w:val="auto"/>
              </w:rPr>
            </w:pPr>
          </w:p>
        </w:tc>
        <w:tc>
          <w:tcPr>
            <w:tcW w:w="6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109,044,046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889,657</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(272 )</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(533,426 )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355,970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1,224,330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Repurchase of unvested restricted common</w:t>
            </w: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(285,167 )</w:t>
            </w: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285,167</w:t>
            </w: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2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 of treasury stock</w:t>
            </w:r>
          </w:p>
        </w:tc>
        <w:tc>
          <w:tcPr>
            <w:tcW w:w="12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(285,167 )</w:t>
            </w:r>
          </w:p>
        </w:tc>
        <w:tc>
          <w:tcPr>
            <w:tcW w:w="68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177,475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Vesting of restricted common stock from</w:t>
            </w: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early-exercised options</w:t>
            </w:r>
          </w:p>
        </w:tc>
        <w:tc>
          <w:tcPr>
            <w:tcW w:w="12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net of tax</w:t>
            </w:r>
          </w:p>
        </w:tc>
        <w:tc>
          <w:tcPr>
            <w:tcW w:w="12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(198,643 )</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(198,643 )</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110,160,684</w:t>
            </w:r>
          </w:p>
        </w:tc>
        <w:tc>
          <w:tcPr>
            <w:tcW w:w="2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909,539</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(13 )</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(732,069 )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177,468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-128270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-128270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-128270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-128270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-128270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-128270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-128270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(169,925 )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(198,643 )</w:t>
            </w:r>
          </w:p>
        </w:tc>
      </w:tr>
      <w:tr>
        <w:trPr>
          <w:trHeight w:val="21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20" w:type="dxa"/>
            <w:vAlign w:val="bottom"/>
          </w:tcPr>
          <w:p>
            <w:pPr>
              <w:spacing w:after="0"/>
              <w:rPr>
                <w:sz w:val="18"/>
                <w:szCs w:val="18"/>
                <w:color w:val="auto"/>
              </w:rPr>
            </w:pP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marketable securities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(1,122 )</w:t>
            </w: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8"/>
                <w:szCs w:val="18"/>
                <w:color w:val="auto"/>
              </w:rPr>
            </w:pP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(10,906 )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(24,889 )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(18,892 )</w:t>
            </w:r>
          </w:p>
        </w:tc>
      </w:tr>
      <w:tr>
        <w:trPr>
          <w:trHeight w:val="216"/>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r>
      <w:tr>
        <w:trPr>
          <w:trHeight w:val="216"/>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shd w:val="clear" w:color="auto" w:fill="CFF0FC"/>
          </w:tcPr>
          <w:p>
            <w:pPr>
              <w:spacing w:after="0"/>
              <w:rPr>
                <w:sz w:val="18"/>
                <w:szCs w:val="18"/>
                <w:color w:val="auto"/>
              </w:rPr>
            </w:pPr>
          </w:p>
        </w:tc>
      </w:tr>
      <w:tr>
        <w:trPr>
          <w:trHeight w:val="216"/>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19,162</w:t>
            </w:r>
          </w:p>
        </w:tc>
        <w:tc>
          <w:tcPr>
            <w:tcW w:w="120" w:type="dxa"/>
            <w:vAlign w:val="bottom"/>
          </w:tcPr>
          <w:p>
            <w:pPr>
              <w:spacing w:after="0"/>
              <w:rPr>
                <w:sz w:val="18"/>
                <w:szCs w:val="18"/>
                <w:color w:val="auto"/>
              </w:rPr>
            </w:pPr>
          </w:p>
        </w:tc>
      </w:tr>
      <w:tr>
        <w:trPr>
          <w:trHeight w:val="216"/>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(1,663 )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(1,559 )</w:t>
            </w:r>
          </w:p>
        </w:tc>
      </w:tr>
      <w:tr>
        <w:trPr>
          <w:trHeight w:val="216"/>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FF0FC"/>
          </w:tcPr>
          <w:p>
            <w:pPr>
              <w:spacing w:after="0"/>
              <w:rPr>
                <w:sz w:val="18"/>
                <w:szCs w:val="18"/>
                <w:color w:val="auto"/>
              </w:rPr>
            </w:pPr>
          </w:p>
        </w:tc>
      </w:tr>
      <w:tr>
        <w:trPr>
          <w:trHeight w:val="20"/>
        </w:trPr>
        <w:tc>
          <w:tcPr>
            <w:tcW w:w="8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(170,491 )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(173,164 )</w:t>
            </w:r>
          </w:p>
        </w:tc>
      </w:tr>
      <w:tr>
        <w:trPr>
          <w:trHeight w:val="210"/>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(91,202 )</w:t>
            </w: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372,501</w:t>
            </w:r>
          </w:p>
        </w:tc>
        <w:tc>
          <w:tcPr>
            <w:tcW w:w="12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(615 )</w:t>
            </w:r>
          </w:p>
        </w:tc>
      </w:tr>
      <w:tr>
        <w:trPr>
          <w:trHeight w:val="20"/>
        </w:trPr>
        <w:tc>
          <w:tcPr>
            <w:tcW w:w="8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280,684</w:t>
            </w:r>
          </w:p>
        </w:tc>
        <w:tc>
          <w:tcPr>
            <w:tcW w:w="120" w:type="dxa"/>
            <w:vAlign w:val="bottom"/>
            <w:shd w:val="clear" w:color="auto" w:fill="CFF0FC"/>
          </w:tcPr>
          <w:p>
            <w:pPr>
              <w:spacing w:after="0"/>
              <w:rPr>
                <w:sz w:val="18"/>
                <w:szCs w:val="18"/>
                <w:color w:val="auto"/>
              </w:rPr>
            </w:pPr>
          </w:p>
        </w:tc>
      </w:tr>
      <w:tr>
        <w:trPr>
          <w:trHeight w:val="210"/>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FF0FC"/>
          </w:tcPr>
          <w:p>
            <w:pPr>
              <w:spacing w:after="0"/>
              <w:rPr>
                <w:sz w:val="18"/>
                <w:szCs w:val="18"/>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8"/>
                <w:szCs w:val="18"/>
                <w:color w:val="auto"/>
              </w:rPr>
            </w:pP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(149 )</w:t>
            </w:r>
          </w:p>
        </w:tc>
      </w:tr>
      <w:tr>
        <w:trPr>
          <w:trHeight w:val="21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repurchases of unvested restricted common stock</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9"/>
        </w:trPr>
        <w:tc>
          <w:tcPr>
            <w:tcW w:w="83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39,331</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top w:val="single" w:sz="8" w:color="CFF0FC"/>
            </w:tcBorders>
          </w:tcPr>
          <w:p>
            <w:pPr>
              <w:spacing w:after="0"/>
              <w:rPr>
                <w:sz w:val="18"/>
                <w:szCs w:val="18"/>
                <w:color w:val="auto"/>
              </w:rPr>
            </w:pPr>
          </w:p>
        </w:tc>
      </w:tr>
      <w:tr>
        <w:trPr>
          <w:trHeight w:val="210"/>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(131,292 )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108,565</w:t>
            </w:r>
          </w:p>
        </w:tc>
        <w:tc>
          <w:tcPr>
            <w:tcW w:w="120" w:type="dxa"/>
            <w:vAlign w:val="bottom"/>
          </w:tcPr>
          <w:p>
            <w:pPr>
              <w:spacing w:after="0"/>
              <w:rPr>
                <w:sz w:val="18"/>
                <w:szCs w:val="18"/>
                <w:color w:val="auto"/>
              </w:rPr>
            </w:pPr>
          </w:p>
        </w:tc>
      </w:tr>
      <w:tr>
        <w:trPr>
          <w:trHeight w:val="216"/>
        </w:trPr>
        <w:tc>
          <w:tcPr>
            <w:tcW w:w="8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r>
      <w:tr>
        <w:trPr>
          <w:trHeight w:val="21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offering costs in accrued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18"/>
                <w:szCs w:val="18"/>
                <w:color w:val="auto"/>
              </w:rPr>
            </w:pPr>
          </w:p>
        </w:tc>
      </w:tr>
      <w:tr>
        <w:trPr>
          <w:trHeight w:val="234"/>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costs in 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-2976880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-2976880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-2128520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-2128520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-1296670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-1296670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-730885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-730885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Invivyd, Inc. (the “Company”) is a biopharmaceutical company devoted to delivering protection from serious viral infectious diseases, beginning with SARS-CoV-2. PEMGARDA™ (pemivibart) is our first monoclonal antibody (“mAb”) to receive regulatory authorization and was designed to keep pace with SARS-CoV-2 viral evolution.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2024, the Company nominated VYD2311, a next generation mAb candidate for COVID-19, as a drug candidate, and in September 2024, the Company announced dosing of the first participants in a Phase 1 clinical trial of VYD2311. VYD2311 is a mAb with high in vitro neutralization potency shown against prominent SARS-CoV-2 variants tested to date.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 and patient-friendly than intravenous administration. In February 2025, the Company announced completion of recruitment in its Phase 1 clinical trial of VYD2311, as well as positive clinical data for both safety and pharmacokinetics. The Company expects additional data readouts from the Phase 1 clinical trial and VYD2311 program throughout 2025. Like pemivibart, VYD2311 was engineered from adintrevimab, the Company’s investigational mAb that has a robust safety data package and demonstrated clinically meaningful results in global Phase 2/3 clinical trials for both the prevention and treatment of COVID-19.</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Waltham, Massachusetts and remotely. In June 2022, and subsequently amended in September 2022 and August 2024, the Company entered into a lease for dedicated laboratory and office space in Newton, Massachusetts for research and development purposes. In 2022, the Company expanded its research team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Beyond pemivibart and VYD2311, all of the Company’s other product candidates, other than adintrevimab, are currently in research development. The Company’s additional product candidates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It is uncertain when, if ever, the Company will generate substantial revenue from product sales to be able to fund its operating expenses and capital requirements.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5" w:name="page136"/>
    <w:bookmarkEnd w:id="135"/>
    <w:p>
      <w:pPr>
        <w:jc w:val="both"/>
        <w:spacing w:after="0" w:line="266" w:lineRule="auto"/>
        <w:rPr>
          <w:sz w:val="20"/>
          <w:szCs w:val="20"/>
          <w:color w:val="auto"/>
        </w:rPr>
      </w:pPr>
      <w:r>
        <w:rPr>
          <w:rFonts w:ascii="Times New Roman" w:cs="Times New Roman" w:eastAsia="Times New Roman" w:hAnsi="Times New Roman"/>
          <w:sz w:val="18"/>
          <w:szCs w:val="18"/>
          <w:color w:val="auto"/>
        </w:rPr>
        <w:t>public offering (“IPO”) and net proceeds received from shares of common stock sold under the Sales Agreement (as defined below). In February 2024, the Company sold 9,000,000 shares of its common stock under the Sales Agreement at an average price of $4.50 per share for $39.3 million in net proceeds. After receiving EUA in March 2024, the Company has also funded its operations from sales of PEMGARDA.</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its inception, including a net loss of $169.9 million for the year ended December 31, 2024. As of December 31, 2024, the Company had an accumulated deficit of $902.0 million. The Company may continue to generate operating losses for the foreseeable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the Company will not have sufficient cash and cash equivalents to fund its operating expenses and capital requirements beyond one year from the issuance of these consolidated financial statements, and therefore, the Company has concluded that there is substantial doubt about its ability to continue as a going concern.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U.S.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periods. Significant estimates and assumptions reflected in these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Significant Suppliers and License Rights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Company’s net product revenue was generated from sales to the Company’s third-party logistic distribution agent, third-party specialty distributors, and infusion and healthcare centers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6" w:name="page137"/>
    <w:bookmarkEnd w:id="136"/>
    <w:p>
      <w:pPr>
        <w:jc w:val="both"/>
        <w:spacing w:after="0" w:line="282" w:lineRule="auto"/>
        <w:rPr>
          <w:sz w:val="20"/>
          <w:szCs w:val="20"/>
          <w:color w:val="auto"/>
        </w:rPr>
      </w:pPr>
      <w:r>
        <w:rPr>
          <w:rFonts w:ascii="Times New Roman" w:cs="Times New Roman" w:eastAsia="Times New Roman" w:hAnsi="Times New Roman"/>
          <w:sz w:val="18"/>
          <w:szCs w:val="18"/>
          <w:color w:val="auto"/>
        </w:rPr>
        <w:t>U.S. (see “Revenue Recognition” for additional information). Sales to the Company’s third-party logistic distribution agent accounted for 19% and three specialty distributors accounted for 42%, 24% and 13% of total gross sales for the year ended December 31, 2024.</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of cash, cash equivalents and accounts receivable.</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invested its excess cash in money market funds that are subject to minimal credit and market risks. The Company maintains its existing cash and cash equivalents at three accredited financial institutions. From time to time, these deposits may exceed federally insured limits. The Company has not experienced any losses historically in these accounts. Accordingly, the Company does not believe it is exposed to unusual credit risk related to its existing cash and cash equivalents beyond the normal credit risk associated with commercial banking relationships.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dependent on third-party organizations to manufacture and process its product candidates for its research and development programs. In particular, the Company relies on a single third-party contract manufacturer to produce and process its product candidates and to manufacture supply of its product candidates for preclinical and clinical activities. The Company also currently relies on this same third-party contract manufacturer for any anticipated requirements of commercial supply, including both drug substance and drug product (see Note 9). The Company expects to continue to be dependent on a small number of third-party organizations to supply it with its requirements for all product candidates. The Company’s research and development programs, including any associated commercialization efforts, could be adversely affected by a significant interruption in the supply of the necessary materials.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dependent on a limited number of third parties that provide license rights used by the Company in the development and commercialization of its product candidates and programs. Through December 31, 2024, the Company’s research and development programs primarily relate to rights conveyed by Adimab (see Note 7). The Company could experience delays in the development and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acquisition date to be cash equivalents.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Effective January 1, 2023, the Company adopted ASU No. 2016-13 (“ASU 2016-13”), ASC 326, Financial Instruments-Credit Losses: Measurement of Credit Losses on Financial Instruments, using the effective date method. As the Company had never recorded any other-than-temporary-impairment adjustments to its available-for-sale debt securities prior to the effective date, no transition provisions were applicable to the Company.</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Marketable securities represent holdings of available-for-sale marketable debt securities in accordance with the Company’s investment policy. The Company determines the appropriate classification of marketable securities at the time of purchase and reevaluates such designation at each balance sheet date. The Company classified all of its marketable securities as “available-for-sale” pursuant to ASC 320, Investments – Debt and Equity Securities. Investments not classified as cash equivalents are presented as either short-term or long-term investments based on both their maturities as well as the time period the Company intends to hold such securities. Available-for-sale securities are maintained by an investment manager and consist of U.S. Treasury securities and federal agency securities. Available-for-sale securities are carried at fair value with the unrealized gains and losses included in other comprehensive income (loss) as a component of stockholders’ equity (deficit) until realized. Any premium or discount arising at purchase is amortized or accreted to interest expense or income over the life of the instrument. Realized gains and losses are determined using the specific identification method and are included in other income (expense). There were no material realized gains or losses on marketable securities recognized during the years ended December 31, 2024 or 2023.</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assesses its available-for-sale debt securities under the available-for-sale debt security impairment model in ASC 326, Financial Instruments-Credit Losses, as of each reporting date in order to determine if a portion of any decline in fair value below carrying value recognized on its available-for-sale debt securities is the result of a credit loss. The Company records credit losses in the consolidated statements of operations and comprehensive loss as credit loss expense within other income (expense), net, which is limited to the difference between the fair value and the amortized cost of the security. To date, the Company has not recorded any credit losses on its available-for-sale debt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7" w:name="page138"/>
    <w:bookmarkEnd w:id="13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Accrued interest receivable related to the Company’s available-for-sale debt securities is presented within prepaid expenses and other current assets on the Company’s consolidated balance sheets. The Company has elected the practical expedient available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marketable securities.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as of December 31, 2024 is comprised of $10.9 million of PEMGARDA product sales to third-party specialty distributors and infusion and healthcare centers. Three third-party specialty distributors accounted for 53%, 27% and 17%, respectively, of the Company’s accounts receivable balance as of December 31, 2024. The Company evaluates the collectability of accounts receivable on a regular basis, by reviewing the financial condition and payment history of customers. There was no allowance for doubtful accounts recorded as of December 31, 2024.</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Prior to receiving regulatory approval or authorization, costs related to the manufacturing of inventory are recorded as research and development expense on the Company’s consolidated statements of operations and comprehensive loss in the period incurred. In connection with the EUA for PEMGARDA in March 2024, the Company subsequently began capitalizing PEMGARDA inventory costs as it was determined that inventory costs incurred subsequent to the EUA had a probable future economic benefit.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with cost determined on a first-in, first-out basis. Inventory costs include raw materials, third-party contract manufacturing, third-party packaging services, freight and overhead. The Company reduces its inventory to net realizable value for potentially excess, dated or obsolete inventory based on a quarterly assessment of the recoverability of its capitalized inventory. The Company periodically reviews inventory levels to identify what may expire prior to expected sale or has a cost basis in excess of its estimated realizable value and writes-down such inventories as appropriate as a component of costs of goods sold in the consolidated statements of operations and comprehensive loss.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140" w:hanging="504"/>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determined according to the fair value hierarchy described above (see Note 4). The carrying values of the Company’s accounts payable and accrued expenses approximate their fair values due to the short-term nature of these liabilities.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Shorter of lease term of useful life</w:t>
            </w:r>
          </w:p>
        </w:tc>
      </w:tr>
    </w:tbl>
    <w:p>
      <w:pPr>
        <w:spacing w:after="0" w:line="2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long-lived asset group.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would be based on the excess of the carrying value of the impaired asset group over its fair value. The Company did not recognize any impairment losses on long-lived assets during the years ended December 31, 2024 and 2023.</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39" w:name="page140"/>
    <w:bookmarkEnd w:id="13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reportable and operating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 Revenue from Contracts with Customers (“ASC 606”). Under ASC 606, an entity recognizes revenue when or as performance obligations are satisfied by transferring control of promised goods or services to the customer, in an amount that reflects the consideration which the entity expects to be entitled to in exchange for those goods or services.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EUA from the FDA in March 2024, the Company began generating product revenue from sales of PEMGARDA in April 2024.</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entered into a third-party logistics distribution agreement (the “3PL Agreement”) to engage a logistics distribution agent (the “3PL Agent”) to distribute the Company’s products to its customers. The 3PL Agent provides services to the Company that include storage, distribution, processing product returns, customer service support, logistics support, electronic data interface and system access support. Revenue is recognized when or as performance obligations are satisfied by transferring control of promised goods to a customer, generally upon delivery, based on an amount that reflects the consideration to which the Company expected to be entitled.</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the Company applied for mandatory distribution licenses that some states require for the Company to sell its product throughout the U.S. In order for the Company to execute sales in the U.S. prior to obtaining such licenses, the Company and an affiliate of the 3PL Agent (the “Title Company”) entered into a Temporary Title Model Agreement (the “Temporary Title Model Agreement”), which was an amendment to the 3PL Agreement, so that the Title Company could purchase and take title to the product and sell the product to the specialty distributors who contracted to purchase the product from the Company. Although under the Temporary Title Model Agreement, the Title Company took title to the product, the economic substance of the transaction provided that the Title Company did not possess the risk of loss or participate in the significant risks and rewards of ownership of the product or have the ability to control, direct the use of, and obtain substantially all of the remaining benefits from the product. Accordingly, the Company did not recognize revenue upon the transfer of the goods at the time of sale to the Title Company and recognized revenue when the goods were sold from the Title Company to the specialty distributors.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obtained nearly all of the necessary state distribution licenses to sell its product throughout the U.S. and ceased using the Temporary Title Model Agreement process in the third quarter of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revenues are recorded net of applicable reserves for variable consideration, including discounts and allowances.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Discounts and Allowances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reserves, based on contractual terms, for the following components of variable consideration related to product sold during the reporting period, as well as its estimate of product that remains in the distribution channel inventory of its customers at the end of the reporting period, if applicable. On a quarterly basis, the Company updates its estimates, if necessary, and records any material adjustments in the period they are identified.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Discounts and Distributor Fees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provides customary discounts on PEMGARDA sales for prompt payment, the terms of which are explicitly stated in its contracts. The Company also pays fees to specialty distributors for sales order management, data, and distribution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82" w:lineRule="auto"/>
        <w:rPr>
          <w:sz w:val="20"/>
          <w:szCs w:val="20"/>
          <w:color w:val="auto"/>
        </w:rPr>
      </w:pPr>
      <w:r>
        <w:rPr>
          <w:rFonts w:ascii="Times New Roman" w:cs="Times New Roman" w:eastAsia="Times New Roman" w:hAnsi="Times New Roman"/>
          <w:sz w:val="18"/>
          <w:szCs w:val="18"/>
          <w:color w:val="auto"/>
        </w:rPr>
        <w:t>services, the terms of which are also explicitly stated in its contracts. Such fees are not for a distinct good or service and, accordingly, are recorded as a reduction of revenue, as well as a reduction to accounts receivable (trade discounts) or as a component of accrued expenses (distributor fees).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Government Chargebacks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discount obligations under its contract with the U.S. Department of Veterans Affairs. These reserves are recorded in the same period the related revenue is recognized, resulting in a reduction of product revenue and the establishment of a current liability, which is included as a component of accrued expenses.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offers a right of return for purchased units of PEMGARDA for damage, defect, recall, and/or product expiry, provided the product expiry is within a specified period as set forth in the Company’s return goods policy. The Company estimates the amount of product sales that will be returned using quantitative and qualitative considerations. Reserves for estimated returns are recorded as a reduction of product revenue in the period that the related revenue is recognized, as well as a component of accrued expenses. To date, actual product returns have not differed materially from the Company’s estimates.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Incentives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incentives include a co-pay assistance program for eligible patients with commercial insurance in the U.S. The co-pay assistance program assists certain commercially insured patients by reducing each participating patient’s financial responsibility for the purchase price, up to a specified dollar amount of assistance.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 trials as well as to manufacture research and development materials for use in such studies and trials and for commercial supply; salaries and related personnel costs; stock-based compensation; consultant fees; and third-party license fees.</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third-party service providers, including contract research organizations (“CROs”) and a contract manufacturing organization. With the exception of the Company’s commercial manufacturing arrangement with WuXi Biologics (Hong Kong) Limited (see Note 9), these agreements are generally cancellable.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1" w:name="page142"/>
    <w:bookmarkEnd w:id="1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primarily issued awards with service-based vesting conditions through December 31, 2024.</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2024 and 2023.</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For the years ended December 31, 2024 and 2023, the Company's only element of other comprehensive loss was unrealized gains and losses on marketable securities.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There is no allocation required under the two-class method during periods of loss since the participating securities do not have a contractual obligation to share in the losses of the Company.</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61" w:lineRule="auto"/>
        <w:rPr>
          <w:sz w:val="20"/>
          <w:szCs w:val="20"/>
          <w:color w:val="auto"/>
        </w:rPr>
      </w:pPr>
      <w:r>
        <w:rPr>
          <w:rFonts w:ascii="Times New Roman" w:cs="Times New Roman" w:eastAsia="Times New Roman" w:hAnsi="Times New Roman"/>
          <w:sz w:val="18"/>
          <w:szCs w:val="18"/>
          <w:color w:val="auto"/>
        </w:rPr>
        <w:t>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and outstanding warrants are considered potential dilutive common shares.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adopted ASU 2023-07, with the fiscal year ended December 31, 2024, in these consolidated financial statements. The adoption of this guidance did not have a material impact on the Company’s consolidated financial statements related disclosures. Please refer to Note 16 for additional information.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the Company for the annual period beginning after December 15, 2024. All entities should apply the guidance prospectively but have the option to apply it retrospectively. The Company is currently evaluating the potential impacts of ASU 2023-09 on its consolidated financial statement disclosures.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potential impact of ASU 2024-03 on its consolidated financial statement disclosures.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1"/>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5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-1216660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-1216660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years ended December 31, 2024 or 2023.</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years ended December 31, 2024 or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inventories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have any inventory as of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compensation and other</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r>
      <w:tr>
        <w:trPr>
          <w:trHeight w:val="250"/>
        </w:trPr>
        <w:tc>
          <w:tcPr>
            <w:tcW w:w="77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shd w:val="clear" w:color="auto" w:fill="CFF0FC"/>
          </w:tcPr>
          <w:p>
            <w:pPr>
              <w:spacing w:after="0"/>
              <w:rPr>
                <w:sz w:val="21"/>
                <w:szCs w:val="21"/>
                <w:color w:val="auto"/>
              </w:rPr>
            </w:pPr>
          </w:p>
        </w:tc>
      </w:tr>
      <w:tr>
        <w:trPr>
          <w:trHeight w:val="548"/>
        </w:trPr>
        <w:tc>
          <w:tcPr>
            <w:tcW w:w="772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41,680</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-1799590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-1782445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the years ended December 31, 2024 and 2023, the Company did not recognize any research and development expense with respect to services performed by Adimab on the Company’s behalf under the Adimab Assignment Agreement. Please refer to Note 15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5" w:name="page146"/>
    <w:bookmarkEnd w:id="14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as of December 31, 2024;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2023, the Company achieved the first specified milestone for the second product candidate under the Adimab Assignment Agreement upon dosing of the first subject in a Phase 1 clinical trial evaluating pemivibart,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pemivibart, which obligated the Company to make a $3.2 million milestone payment to Adimab, which was paid in October 2023. The next potential milestone under the Adimab Assignment Agreement is a low single-digit million-dollar regulatory milestone, which was not considered probable under U.S. GAAP and therefore, no expense was recognized as of December 31, 2024.</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in-process research and development (“IPR&amp;D”) expense with respect to contingent consideration payable under the Adimab Assignment Agreement. During the year ended December 31, 2023, the Company recognized $3.6 million of IPR&amp;D expense with respect to contingent consideration payable under the Adimab Assignment Agreement. Except for milestone payments of $11.1 million incurred through December 31, 2023, no other milestone payments have been paid to or have been earned by Adimab through December 31, 2024.</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 the year ended December 31, 2024, the Company expensed $1.0 million of royalties, while reserving all rights under the Adimab Assignment Agreement and the applicable law. During the year ended December 31, 2023, the Company did not expense any royalties. In addition, the Company is obligated to pay Adimab royalties of a specified percentage in the range of 45% to 55% of any compulsory sublicense consideration received by the Company in lieu of certain royalty payments.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6" w:name="page147"/>
    <w:bookmarkEnd w:id="14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For each of the years ended December 31, 2024 and 2023, the Company recognized $2.4 million and $5.2 million, respectively, of research and development expense related to the quarterly fee.</w:t>
      </w:r>
    </w:p>
    <w:p>
      <w:pPr>
        <w:spacing w:after="0" w:line="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years ended December 31, 2024 and 2023, the Company recognized $0 and $0.5 million, respectively, of research and development expense with respect to services performed by Adimab on the Company’s behalf under the Adimab Collaboration Agreement. During the year ended December 31, 2024, the Company did not recognize any IPR&amp;D expense. During the year ended December 31, 2023, the Company recognized $1.0 million, $0.2 million, and $0.2 million of IPR&amp;D expense related to an option exercise fee, a drug delivery fee and an optimization completion fee, respectively. Please refer to Note 15 for additional information.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December 31, 2024 and 2023.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December 31, 2024, no royalty payments have been paid to or have been earned by Adimab under the Adimab Collaboration Agreement.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7" w:name="page148"/>
    <w:bookmarkEnd w:id="147"/>
    <w:p>
      <w:pPr>
        <w:jc w:val="both"/>
        <w:spacing w:after="0" w:line="282" w:lineRule="auto"/>
        <w:rPr>
          <w:sz w:val="20"/>
          <w:szCs w:val="20"/>
          <w:color w:val="auto"/>
        </w:rPr>
      </w:pPr>
      <w:r>
        <w:rPr>
          <w:rFonts w:ascii="Times New Roman" w:cs="Times New Roman" w:eastAsia="Times New Roman" w:hAnsi="Times New Roman"/>
          <w:sz w:val="18"/>
          <w:szCs w:val="18"/>
          <w:color w:val="auto"/>
        </w:rPr>
        <w:t>Collaboration Agreement are recognized as research and development expense as such amounts are incurred and services are rendered. Please refer to Note 15 for additional information.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the year ended December 31, 2024 and 2023, the Company recognized $2.0 million and $0.7 million, respectively, of R&amp;D expense related to the annual fees.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December 31, 2024.</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2024, no royalty payments have been paid to or have been earned by Adimab under the Adimab Platform Transfer Agreement.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8" w:name="page149"/>
    <w:bookmarkEnd w:id="148"/>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 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December 31, 2024, no royalties had become due to WuXi Biologics.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years ended December 31, 2024 or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research and development expense related to the cash compensation paid to PHP. During the year ended December 31, 2023, the Company recognized $2.2 million of research and development expense related to the cash compensation paid to PHP. Please refer to Note 15 for additional information.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180" w:lineRule="exact"/>
        <w:rPr>
          <w:sz w:val="20"/>
          <w:szCs w:val="20"/>
          <w:color w:val="auto"/>
        </w:rPr>
      </w:pPr>
    </w:p>
    <w:p>
      <w:pPr>
        <w:ind w:left="1040" w:right="300" w:hanging="452"/>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161" w:lineRule="exact"/>
        <w:rPr>
          <w:rFonts w:ascii="Times New Roman" w:cs="Times New Roman" w:eastAsia="Times New Roman" w:hAnsi="Times New Roman"/>
          <w:sz w:val="18"/>
          <w:szCs w:val="18"/>
          <w:color w:val="auto"/>
        </w:rPr>
      </w:pPr>
    </w:p>
    <w:p>
      <w:pPr>
        <w:ind w:left="1040" w:right="440" w:hanging="452"/>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161" w:lineRule="exact"/>
        <w:rPr>
          <w:rFonts w:ascii="Times New Roman" w:cs="Times New Roman" w:eastAsia="Times New Roman" w:hAnsi="Times New Roman"/>
          <w:sz w:val="18"/>
          <w:szCs w:val="18"/>
          <w:color w:val="auto"/>
        </w:rPr>
      </w:pPr>
    </w:p>
    <w:p>
      <w:pPr>
        <w:ind w:left="1040" w:right="440" w:hanging="452"/>
        <w:spacing w:after="0" w:line="282"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9" w:name="page150"/>
    <w:bookmarkEnd w:id="149"/>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2021, the Company entered into a five-year noncancelable facilities lease agreement for approximately 9,600 square feet of office space in Waltham, Massachusetts, which provides for monthly rental payments, including base rent charges of $0.4 million per year, subject to periodic rent increases, and the Company’s proportionate share of operating expenses. This lease agreement is scheduled to expire on April 30, 2025.</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which was amended in September 2022.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the Newton, MA Lease was further amended to extend the lease through November 2025, with an option to further extend the lease for an additional twenty-five months or continue the lease on a month-to-month basis after completion of the term ending in November 2025.</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90"/>
        </w:trPr>
        <w:tc>
          <w:tcPr>
            <w:tcW w:w="7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213"/>
        </w:trPr>
        <w:tc>
          <w:tcPr>
            <w:tcW w:w="7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8"/>
                <w:szCs w:val="18"/>
                <w:color w:val="auto"/>
              </w:rPr>
            </w:pPr>
          </w:p>
        </w:tc>
      </w:tr>
      <w:tr>
        <w:trPr>
          <w:trHeight w:val="23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Pr>
          <w:p>
            <w:pPr>
              <w:spacing w:after="0"/>
              <w:rPr>
                <w:sz w:val="21"/>
                <w:szCs w:val="21"/>
                <w:color w:val="auto"/>
              </w:rPr>
            </w:pPr>
          </w:p>
        </w:tc>
      </w:tr>
      <w:tr>
        <w:trPr>
          <w:trHeight w:val="230"/>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-633730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2024 was as follows (in thousands):</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73"/>
        </w:trPr>
        <w:tc>
          <w:tcPr>
            <w:tcW w:w="82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20" w:type="dxa"/>
            <w:vAlign w:val="bottom"/>
          </w:tcPr>
          <w:p>
            <w:pPr>
              <w:spacing w:after="0"/>
              <w:rPr>
                <w:sz w:val="15"/>
                <w:szCs w:val="15"/>
                <w:color w:val="auto"/>
              </w:rPr>
            </w:pPr>
          </w:p>
        </w:tc>
        <w:tc>
          <w:tcPr>
            <w:tcW w:w="25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09"/>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52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09"/>
        </w:trPr>
        <w:tc>
          <w:tcPr>
            <w:tcW w:w="8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top w:val="single" w:sz="8" w:color="CFF0FC"/>
            </w:tcBorders>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operating leases were measured using a weighted-average incremental borrowing rate of 6.0% over a weighted-average remaining lease term of 0.9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operating leases were measured using a weighted-average incremental borrowing rate of 6.0% over a weighted-average remaining lease term of 1.8 years.</w:t>
      </w:r>
    </w:p>
    <w:p>
      <w:pPr>
        <w:spacing w:after="0" w:line="54"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8"/>
          <w:szCs w:val="18"/>
          <w:color w:val="auto"/>
        </w:rPr>
        <w:t xml:space="preserve">The total operating liabilities are presented on the Company’s consolidated balance sheet based on maturity dates. $1.3 million is classified under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operating lease liabilities, current” for the portion due within twelve months. There was no operating lease liability classified under “operating lease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liabilities, non-current”.</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was effective for six months from November 2022 and terminated in accordance with its terms in May 2023. As compensation for the services and deliverables under the PHP Work Order, the Company recognized research and development expense of $0.5 million per month during the term of the PHP Work Order for an Aggregate Fee of $3.0 million.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committed to noncancelable purchase obligations related to commercial drug substance and drug product manufacturing under the Commercial Manufacturing Agreement. As of December 31, 2024, the total remaining contractually binding commercial drug substance and drug product purchase obligations due to WuXi Biologics was $27.6 million, which is expected to be paid in 2025. As of December 31, 2024, $27.5 million of the $27.6 million total remaining purchase obligation, related to the contractually binding commercial drug substance and drug product batches was included in accounts payable and accrued expenses, which is expected to be paid in 2025.</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committed to noncancelable purchase obligations related to the procurement of materials to be used in future drug substance and drug product manufacturing under the Commercial Manufacturing Agreement. As of December 31, 2024, the total remaining contractually binding purchase obligations due to WuXi Biologics was $11.6 million, which is expected to be paid in 2025. As of December 31, 2024, $11.3 million of the $11.6 million total remaining purchase obligation, related to the procurement of materials to be used in future drug substance and drug product manufacturing was included in accounts payable and accrued expenses, which is expected to be paid in 2025.</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51" w:name="page152"/>
    <w:bookmarkEnd w:id="15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December 31, 2024 and 2023.</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2024, the Company was not a party to any material legal proceedings.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CROs, contract development and manufacturing organizations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reserved 37,678,358 shares of common stock for the exercise of outstanding stock options and the issuance of awards available for grant under the Company’s 2020 Equity Incentive Plan, 2021 Equity Incentive Plan and 2021 Employee Stock Purchase Plan (see Note 11).</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and accompanying base prospectus, which was declared effective by the SEC on October 5, 2022, for the offer and sale of up to $400 million of the Company’s securities. As of December 31, 2024, $325 million of the Company's securities remained available for offer and sale under this shelf registration statement.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sold 9,000,000 shares of its common stock under the Sales Agreement at an average price of $4.50 per share for $39.3 million in net proceeds. As of December 31, 2024, $34.5 million remained available for sale under the Sales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repurchased, and subsequently retired, 206,802 shares of unvested restricted common stock at the original purchase price upon a termination of service of an employee during the vesting period. The fair value of the repurchased common stock was insignificant. Upon retirement, the shares were redesignated as authorized but unissued shares of the Company’s common stock.</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the Company repurchased 46,600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June 2023, the Company retired the 46,600 shares of treasury stock. Upon retirement, the shares were redesignated as authorized but unissued shares of the Company’s common stock.</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2023, the Company repurchased 31,765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December 2023, the Company retired the 31,765 shares of treasury stock. Upon retirement, the shares were redesignated as authorized but unissued shares of the Company’s common stock.</w:t>
      </w:r>
    </w:p>
    <w:p>
      <w:pPr>
        <w:spacing w:after="0" w:line="284" w:lineRule="exact"/>
        <w:rPr>
          <w:sz w:val="20"/>
          <w:szCs w:val="20"/>
          <w:color w:val="auto"/>
        </w:rPr>
      </w:pPr>
    </w:p>
    <w:p>
      <w:pPr>
        <w:ind w:left="520" w:right="8700" w:hanging="512"/>
        <w:spacing w:after="0" w:line="400" w:lineRule="auto"/>
        <w:tabs>
          <w:tab w:leader="none" w:pos="281"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1,301,779 shares authorized to be issued upon the exercise of outstanding stock option grants and no shares reserved for future issuance under the 2020 Plan.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December 2024, the 2021 Plan was amended by Amendment No. 1 to the 2021 Plan, which decreased the aggregate number of shares of the Company’s common stock reserved for issuance under the 2021 Plan by 8,000,000 shares.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both"/>
        <w:spacing w:after="0" w:line="254" w:lineRule="auto"/>
        <w:rPr>
          <w:sz w:val="20"/>
          <w:szCs w:val="20"/>
          <w:color w:val="auto"/>
        </w:rPr>
      </w:pPr>
      <w:r>
        <w:rPr>
          <w:rFonts w:ascii="Times New Roman" w:cs="Times New Roman" w:eastAsia="Times New Roman" w:hAnsi="Times New Roman"/>
          <w:sz w:val="18"/>
          <w:szCs w:val="18"/>
          <w:color w:val="auto"/>
        </w:rPr>
        <w:t>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On January 1, 2024, 3,304,820 shares of common stock were added to the shares authorized for issuance under the 2021 Plan, pursuant to the evergreen provision thereof, as determined by the Company’s board of directors. The number of shares to be issued under the 2021 Plan did not increase pursuant to the evergreen provision thereof on January 1, 2023 nor January 1, 2025,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an aggregate of 36,832,704 shares authorized to be issued under the 2020 Plan and the 2021 Plan, which included 1,301,779 and 13,685,780 shares authorized to be issued upon the exercise of outstanding stock option grants from the 2020 Plan and 2021 Plan, respectively, and 0 and 21,845,145 shares reserved for future issuance under the 2020 Plan and 2021 Plan,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60" w:type="dxa"/>
            <w:vAlign w:val="bottom"/>
          </w:tcPr>
          <w:p>
            <w:pPr>
              <w:spacing w:after="0"/>
              <w:rPr>
                <w:sz w:val="13"/>
                <w:szCs w:val="13"/>
                <w:color w:val="auto"/>
              </w:rPr>
            </w:pPr>
          </w:p>
        </w:tc>
        <w:tc>
          <w:tcPr>
            <w:tcW w:w="12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420" w:type="dxa"/>
            <w:vAlign w:val="bottom"/>
            <w:gridSpan w:val="5"/>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right"/>
              <w:ind w:right="445"/>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45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62.4 %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66.1 %</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4.1 %</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9"/>
        </w:trPr>
        <w:tc>
          <w:tcPr>
            <w:tcW w:w="5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2024:</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24"/>
                <w:szCs w:val="24"/>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5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jc w:val="center"/>
              <w:ind w:left="2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60" w:type="dxa"/>
            <w:vAlign w:val="bottom"/>
          </w:tcPr>
          <w:p>
            <w:pPr>
              <w:jc w:val="center"/>
              <w:ind w:left="2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23,065,514</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5.08</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6,617,369</w:t>
            </w:r>
          </w:p>
        </w:tc>
        <w:tc>
          <w:tcPr>
            <w:tcW w:w="220" w:type="dxa"/>
            <w:vAlign w:val="bottom"/>
          </w:tcPr>
          <w:p>
            <w:pPr>
              <w:spacing w:after="0"/>
              <w:rPr>
                <w:sz w:val="18"/>
                <w:szCs w:val="18"/>
                <w:color w:val="auto"/>
              </w:rPr>
            </w:pPr>
          </w:p>
        </w:tc>
        <w:tc>
          <w:tcPr>
            <w:tcW w:w="86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3.13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(468,355 )</w:t>
            </w:r>
          </w:p>
        </w:tc>
        <w:tc>
          <w:tcPr>
            <w:tcW w:w="86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0.90</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(14,226,969 )</w:t>
            </w:r>
          </w:p>
        </w:tc>
        <w:tc>
          <w:tcPr>
            <w:tcW w:w="86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4.92</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14,987,559</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4.51</w:t>
            </w:r>
          </w:p>
        </w:tc>
        <w:tc>
          <w:tcPr>
            <w:tcW w:w="14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14,987,559</w:t>
            </w:r>
          </w:p>
        </w:tc>
        <w:tc>
          <w:tcPr>
            <w:tcW w:w="220" w:type="dxa"/>
            <w:vAlign w:val="bottom"/>
          </w:tcPr>
          <w:p>
            <w:pPr>
              <w:spacing w:after="0"/>
              <w:rPr>
                <w:sz w:val="17"/>
                <w:szCs w:val="17"/>
                <w:color w:val="auto"/>
              </w:rPr>
            </w:pPr>
          </w:p>
        </w:tc>
        <w:tc>
          <w:tcPr>
            <w:tcW w:w="860" w:type="dxa"/>
            <w:vAlign w:val="bottom"/>
          </w:tcPr>
          <w:p>
            <w:pPr>
              <w:jc w:val="right"/>
              <w:ind w:right="657"/>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5"/>
              </w:rPr>
              <w:t>4.51</w:t>
            </w:r>
          </w:p>
        </w:tc>
        <w:tc>
          <w:tcPr>
            <w:tcW w:w="1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7,049,720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6.12</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-299720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-282575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2024 and 2023 was $1.88 and $1.46, respectively,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4" w:name="page155"/>
    <w:bookmarkEnd w:id="15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December 31, 2024 and December 31, 2023.</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2024 and 2023 was $0.4 million and $0.8 million,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and the Company’s employee stock purchase plan) in the following expense categories of its consolidated statements of operations and comprehensive loss (in thousands):</w:t>
      </w:r>
    </w:p>
    <w:tbl>
      <w:tblPr>
        <w:tblLayout w:type="fixed"/>
        <w:tblInd w:w="0" w:type="dxa"/>
        <w:tblCellMar>
          <w:top w:w="0" w:type="dxa"/>
          <w:left w:w="0" w:type="dxa"/>
          <w:bottom w:w="0" w:type="dxa"/>
          <w:right w:w="0" w:type="dxa"/>
        </w:tblCellMar>
      </w:tblPr>
      <w:tr>
        <w:trPr>
          <w:trHeight w:val="155"/>
        </w:trPr>
        <w:tc>
          <w:tcPr>
            <w:tcW w:w="6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For the Year</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9"/>
        </w:trPr>
        <w:tc>
          <w:tcPr>
            <w:tcW w:w="6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73"/>
        </w:trPr>
        <w:tc>
          <w:tcPr>
            <w:tcW w:w="6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5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00" w:type="dxa"/>
            <w:vAlign w:val="bottom"/>
          </w:tcPr>
          <w:p>
            <w:pPr>
              <w:spacing w:after="0"/>
              <w:rPr>
                <w:sz w:val="18"/>
                <w:szCs w:val="18"/>
                <w:color w:val="auto"/>
              </w:rPr>
            </w:pPr>
          </w:p>
        </w:tc>
      </w:tr>
      <w:tr>
        <w:trPr>
          <w:trHeight w:val="250"/>
        </w:trPr>
        <w:tc>
          <w:tcPr>
            <w:tcW w:w="69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3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$0.5 million of share-based compensation expense was capitalized and recorded as Inventory in the accompanying consolidated balance sheet.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2024, David Hering ceased serving as the Company’s Chief Executive Officer and as a member of the Company’s board of directors. Pursuant to his separation agreement, the Company recognized approximately $5.5 million of selling, general, and administrative related stock-based compensation expense associated with the accelerated vesting of a portion of his outstanding stock options, in accordance with the terms of his employment agreement.</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stock-based compensation expense related to unvested stock-based awards was $14.0 million, which is expected to be recognized over a weighted-average period of 2.3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497,119 shares issued under the 2021 ESPP as of December 31, 2024.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pursuant to the evergreen provision thereof on January 1, 2023, January 1, 2024, nor January 1, 2025, as determined by the Company’s board of directors. The first offering under the 2021 ESPP was June 6, 2022. As of December 31, 2024, 845,654 shares remained available for issuance under the 2021 ESPP. During both the years ended December 31, 2024 and 2023, the Company recognized $0.1 million in related stock-based compensation expense.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5" w:name="page156"/>
    <w:bookmarkEnd w:id="155"/>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warrants issued during the years ended December 31, 2024 and December 31, 2023. As of December 31, 2024, there were 6,824,712 warrants outstanding and not yet vested at a weighted average exercise price of $3.48, with a weighted-average remaining contractual term of 7.88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did not record income tax benefits for the net operating losses (“NOLs”) incurred or for the research and development tax credits generated in each period, due to its uncertainty of realizing a benefit from those items. All of the Company’s operating losses since inception have been generated in the U.S.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4"/>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440"/>
        </w:trPr>
        <w:tc>
          <w:tcPr>
            <w:tcW w:w="748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consisted of the following (in thousands):</w:t>
            </w: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72"/>
        </w:trPr>
        <w:tc>
          <w:tcPr>
            <w:tcW w:w="7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9"/>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76,441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91,954</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74,115</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24,313</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13,921</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expense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244,949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201,084</w:t>
            </w:r>
          </w:p>
        </w:tc>
        <w:tc>
          <w:tcPr>
            <w:tcW w:w="100" w:type="dxa"/>
            <w:vAlign w:val="bottom"/>
          </w:tcPr>
          <w:p>
            <w:pPr>
              <w:spacing w:after="0"/>
              <w:rPr>
                <w:sz w:val="18"/>
                <w:szCs w:val="18"/>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(244,457 )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(200,385 )</w:t>
            </w:r>
          </w:p>
        </w:tc>
      </w:tr>
      <w:tr>
        <w:trPr>
          <w:trHeight w:val="210"/>
        </w:trPr>
        <w:tc>
          <w:tcPr>
            <w:tcW w:w="74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FF0FC"/>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(358 )</w:t>
            </w:r>
          </w:p>
        </w:tc>
        <w:tc>
          <w:tcPr>
            <w:tcW w:w="20" w:type="dxa"/>
            <w:vAlign w:val="bottom"/>
          </w:tcPr>
          <w:p>
            <w:pPr>
              <w:spacing w:after="0"/>
              <w:rPr>
                <w:sz w:val="18"/>
                <w:szCs w:val="18"/>
                <w:color w:val="auto"/>
              </w:rPr>
            </w:pPr>
          </w:p>
        </w:tc>
        <w:tc>
          <w:tcPr>
            <w:tcW w:w="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(585 )</w:t>
            </w: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0"/>
        </w:trPr>
        <w:tc>
          <w:tcPr>
            <w:tcW w:w="74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(492 )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(699 )</w:t>
            </w:r>
          </w:p>
        </w:tc>
      </w:tr>
      <w:tr>
        <w:trPr>
          <w:trHeight w:val="250"/>
        </w:trPr>
        <w:tc>
          <w:tcPr>
            <w:tcW w:w="74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-3162300</wp:posOffset>
            </wp:positionV>
            <wp:extent cx="1543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-3145155</wp:posOffset>
            </wp:positionV>
            <wp:extent cx="1543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-3162300</wp:posOffset>
            </wp:positionV>
            <wp:extent cx="1543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-3145155</wp:posOffset>
            </wp:positionV>
            <wp:extent cx="1543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-1199515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-325120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Company had U.S. federal NOL carryforwards of $392.0 million and $318.6 million, respectively, which may be available to reduce future taxable income. All of the U.S. federal NOL carryforwards have an indefinite carryforward period but are limited in their usage to 80% of annual taxable income. In addition, as of December 31, 2024, the Company had state NOL carryforwards of $249.3 million, which may be available to reduce future taxable income, of which $24.3 million have an indefinite carryforward period while the remaining $225.0 million begin to expire in 2032. As of December 31, 2024, the Company also had U.S. federal and state research and development tax credit carryforwards of $23.0 million and $7.2 million, respectively, which may be available to reduce future tax liabilities and expire at various dates beginning in 2040 and 2035, respectively.</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Utilization of the U.S. federal and state NOL carryforwards and research and development tax credit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carryforwards that can be utilized annually to offset future taxable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6" w:name="page157"/>
    <w:bookmarkEnd w:id="156"/>
    <w:p>
      <w:pPr>
        <w:jc w:val="both"/>
        <w:spacing w:after="0" w:line="254" w:lineRule="auto"/>
        <w:rPr>
          <w:sz w:val="20"/>
          <w:szCs w:val="20"/>
          <w:color w:val="auto"/>
        </w:rPr>
      </w:pPr>
      <w:r>
        <w:rPr>
          <w:rFonts w:ascii="Times New Roman" w:cs="Times New Roman" w:eastAsia="Times New Roman" w:hAnsi="Times New Roman"/>
          <w:sz w:val="18"/>
          <w:szCs w:val="18"/>
          <w:color w:val="auto"/>
        </w:rPr>
        <w:t>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If a change in ownership were to have occurred during that period and resulted in the restriction of NOL or credit carryforwards, the reduction in the related deferred tax asset would be offset with a corresponding reduction in the valuation allowance.</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2024 and 2023. Management reevaluates the positive and negative evidence at each reporting period. During the years ended December 31, 2024 and 2023, the Company increased its valuation allowance by $44.1 million and $69.1 million, respectively, with such increase recognized as income tax expense, in order to maintain a full valuation allowance against its deferred tax assets, and there were no changes recorded to the allowance during the period.</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For tax positions meeting the “more likely than not" threshold, the Company measures and records the highest probable benefit, and establishes appropriate reserves for benefits that exceed the amount likely to be sustained upon examination. As of December 31, 2024 and 2023, the Company has not recorded any uncertain tax positions or related interest and penalties.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and is not currently under examination by any taxing authority for any open tax year. Due to NOL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years ended December 31, 2024 and 2023, the Company contributed $0.6 million and $0.8 million to the 401(k) Plan,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49"/>
        </w:trPr>
        <w:tc>
          <w:tcPr>
            <w:tcW w:w="7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ind w:right="557"/>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577"/>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r>
      <w:tr>
        <w:trPr>
          <w:trHeight w:val="173"/>
        </w:trPr>
        <w:tc>
          <w:tcPr>
            <w:tcW w:w="7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(169,925 )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(198,643 )</w:t>
            </w:r>
          </w:p>
        </w:tc>
      </w:tr>
      <w:tr>
        <w:trPr>
          <w:trHeight w:val="20"/>
        </w:trPr>
        <w:tc>
          <w:tcPr>
            <w:tcW w:w="7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118,555,073</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109,526,053</w:t>
            </w:r>
          </w:p>
        </w:tc>
        <w:tc>
          <w:tcPr>
            <w:tcW w:w="10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9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(1.43 )</w:t>
            </w:r>
          </w:p>
        </w:tc>
        <w:tc>
          <w:tcPr>
            <w:tcW w:w="3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(1.81 )</w:t>
            </w:r>
          </w:p>
        </w:tc>
      </w:tr>
      <w:tr>
        <w:trPr>
          <w:trHeight w:val="20"/>
        </w:trPr>
        <w:tc>
          <w:tcPr>
            <w:tcW w:w="79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the years 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December 31, 2024 and 2023. There were no shares of unvested restricted common stock for the years ended December 31, 2024 and 2023.</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90"/>
        </w:trPr>
        <w:tc>
          <w:tcPr>
            <w:tcW w:w="7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2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85"/>
        </w:trPr>
        <w:tc>
          <w:tcPr>
            <w:tcW w:w="79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1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14,987,559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23,065,514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Pr>
          <w:p>
            <w:pPr>
              <w:spacing w:after="0"/>
              <w:rPr>
                <w:sz w:val="18"/>
                <w:szCs w:val="18"/>
                <w:color w:val="auto"/>
              </w:rPr>
            </w:pPr>
          </w:p>
        </w:tc>
      </w:tr>
      <w:tr>
        <w:trPr>
          <w:trHeight w:val="249"/>
        </w:trPr>
        <w:tc>
          <w:tcPr>
            <w:tcW w:w="79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21,812,271</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29,890,226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and December 31, 2023, an aggregate of $1.3 million and $0.7 million, respectively, was due to Adimab under the Adimab Assignment Agreement, the Adimab Collaboration Agreement, the Adimab Platform Transfer Agreement and the Adimab DNA Sequencing Services Agreement (as defined below) by the Company and was included in accrued expenses. As of December 31, 2024 and 2023, no amounts were due to the Company from Adimab under the Adimab Assignment Agreement, the Adimab Collaboration Agreement, the Adimab Platform Transfer Agreement or the Adimab DNA Sequencing Services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IPR&amp;D expense with respect to contingent consideration payable under the Adimab Assignment Agreement. During the year ended December 31, 2023, the Company recognized $3.6 million of IPR&amp;D expense with respect to milestones payable under the Adimab Assignment Agreement.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did not recognize any research and development expense with respect to services performed by Adimab on the Company’s behalf under the Adimab Assignment Agreement.</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expensed $1.0 million of royalties as costs of product revenue, while reserving all rights under the Adimab Assignment Agreement and the applicable law. During the year ended December 31, 2023, the Company did not recognize any costs of product revenue with respect to royalties under the Adimab Assignment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$2.4 million and $5.2 million, respectively, of research and development expense related to the quarterly fee under the Adimab Collaboration Agreement.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research and development expense with respect to services performed by Adimab on the Company’s behalf under the Adimab Collaboration Agreement. During the year ended December 31, 2023, the Company recognized $0.5 million of research and development expense with respect to services performed by Adimab on the Company’s behalf under the Adimab Collaboration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8" w:name="page159"/>
    <w:bookmarkEnd w:id="158"/>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IPR&amp;D expense related to an option fee. During the year ended December 31, 2023, the Company recognized $1.0 million of IPR&amp;D expense related to an option exercise fee.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IPR&amp;D expense related to a drug delivery fee or optimization completion fee. During the year ended December 31, 2023, the Company recognized $0.2 million of IPR&amp;D expense related to a drug delivery fee and $0.2 million of IPR&amp;D expense related to an optimization completion fee.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$2.0 million of research and development expense related to the annual fee under the Adimab Platform Transfer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$0.7 million of research and development expense related to the annual fee under the Adimab Platform Transfer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year ended December 31, 2024, and 2023 the Company recognized less than $0.1 million of research and development expense with respect to services performed by Adimab on the Company’s behalf under the Adimab DNA Sequencing Services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Population Health Partners, L.P.</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PHP MSA and PHP Work Order, the Company was obligated to pay cash compensation for services and deliverables (see Note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9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research and development expense related to the cash compensation paid to PHP. During the year ended December 31, 2023, the Company recognized $2.2 million of research and development expense related to services performed by PHP in connection with the PHP Work Order, which terminated in accordance with its terms in May 2023.</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no amounts were due to PHP by the Company, and no amounts were due from PHP to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jc w:val="both"/>
        <w:ind w:firstLine="572"/>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dedicated to the research and development, commercialization, and sale of mAbs in the U.S to deliver protection from serious viral infectious diseases.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determination of a single reportable segment is consistent with the consolidated financial information regularly reviewed by the Chief Operating Decision Maker (the “CODM”) in assessing performance and deciding how to allocate resources on a consolidated basis. The CODM is the Principal Executive Officer, who also serves as the Chief Financial Officer.</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allocates resources based on the Company’s net loss reported on the consolidated statements of operations and comprehensive loss. The CODM’s area of focus is period over period fluxes and budget-to-actual variances when assessing performance and deciding how to allocate resources.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about reported segment revenues, and significant segment expenses as provided to the CODM.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0"/>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31,</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r>
      <w:tr>
        <w:trPr>
          <w:trHeight w:val="213"/>
        </w:trPr>
        <w:tc>
          <w:tcPr>
            <w:tcW w:w="7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1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Pemivibart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100" w:type="dxa"/>
            <w:vAlign w:val="bottom"/>
            <w:shd w:val="clear" w:color="auto" w:fill="CFF0FC"/>
          </w:tcPr>
          <w:p>
            <w:pPr>
              <w:spacing w:after="0"/>
              <w:rPr>
                <w:sz w:val="19"/>
                <w:szCs w:val="19"/>
                <w:color w:val="auto"/>
              </w:rPr>
            </w:pPr>
          </w:p>
        </w:tc>
      </w:tr>
      <w:tr>
        <w:trPr>
          <w:trHeight w:val="216"/>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VYD2311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Adintrevimab</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direct, external research and development expenses by program</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101,977</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Unallocated research and development expenses</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Pr>
          <w:p>
            <w:pPr>
              <w:spacing w:after="0"/>
              <w:rPr>
                <w:sz w:val="18"/>
                <w:szCs w:val="18"/>
                <w:color w:val="auto"/>
              </w:rPr>
            </w:pPr>
          </w:p>
        </w:tc>
      </w:tr>
      <w:tr>
        <w:trPr>
          <w:trHeight w:val="209"/>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202,260</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212,758</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(176,876 )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(212,758 )</w:t>
            </w:r>
          </w:p>
        </w:tc>
      </w:tr>
      <w:tr>
        <w:trPr>
          <w:trHeight w:val="21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(3)</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tcPr>
          <w:p>
            <w:pPr>
              <w:spacing w:after="0"/>
              <w:rPr>
                <w:sz w:val="18"/>
                <w:szCs w:val="18"/>
                <w:color w:val="auto"/>
              </w:rPr>
            </w:pPr>
          </w:p>
        </w:tc>
      </w:tr>
      <w:tr>
        <w:trPr>
          <w:trHeight w:val="209"/>
        </w:trPr>
        <w:tc>
          <w:tcPr>
            <w:tcW w:w="7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(169,925 )</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(198,643 )</w:t>
            </w: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-2416810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-1567815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personnel related expenses (excluding research and development stock-based compensation) and external discovery-related and other costs.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commercial, general and administrative personnel related costs (excluding stock-based compensation), professional and consulting fees and other costs.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of $7,216 and $14,162 for the years ended December 31, 2024 and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NVIVYD,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18"/>
          <w:szCs w:val="18"/>
          <w:b w:val="1"/>
          <w:bCs w:val="1"/>
          <w:color w:val="auto"/>
        </w:rPr>
        <w:t xml:space="preserve"> 27, 2021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18"/>
          <w:szCs w:val="18"/>
          <w:b w:val="1"/>
          <w:bCs w:val="1"/>
          <w:color w:val="auto"/>
        </w:rPr>
        <w:t xml:space="preserve"> 29, 2021</w:t>
      </w:r>
    </w:p>
    <w:p>
      <w:pPr>
        <w:spacing w:after="0" w:line="230" w:lineRule="exact"/>
        <w:rPr>
          <w:sz w:val="20"/>
          <w:szCs w:val="20"/>
          <w:color w:val="auto"/>
        </w:rPr>
      </w:pPr>
    </w:p>
    <w:p>
      <w:pPr>
        <w:ind w:left="480" w:hanging="459"/>
        <w:spacing w:after="0"/>
        <w:tabs>
          <w:tab w:leader="none" w:pos="4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200" w:firstLine="517"/>
        <w:spacing w:after="0" w:line="259" w:lineRule="auto"/>
        <w:tabs>
          <w:tab w:leader="none" w:pos="764"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 to and Continuation of Prior Plan</w:t>
      </w:r>
      <w:r>
        <w:rPr>
          <w:rFonts w:ascii="Times New Roman" w:cs="Times New Roman" w:eastAsia="Times New Roman" w:hAnsi="Times New Roman"/>
          <w:sz w:val="18"/>
          <w:szCs w:val="18"/>
          <w:color w:val="auto"/>
        </w:rPr>
        <w:t>. 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71" w:lineRule="exact"/>
        <w:rPr>
          <w:rFonts w:ascii="Times New Roman" w:cs="Times New Roman" w:eastAsia="Times New Roman" w:hAnsi="Times New Roman"/>
          <w:sz w:val="18"/>
          <w:szCs w:val="18"/>
          <w:b w:val="1"/>
          <w:bCs w:val="1"/>
          <w:color w:val="auto"/>
        </w:rPr>
      </w:pPr>
    </w:p>
    <w:p>
      <w:pPr>
        <w:jc w:val="both"/>
        <w:ind w:right="80" w:firstLine="517"/>
        <w:spacing w:after="0" w:line="268" w:lineRule="auto"/>
        <w:tabs>
          <w:tab w:leader="none" w:pos="774"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62" w:lineRule="exact"/>
        <w:rPr>
          <w:rFonts w:ascii="Times New Roman" w:cs="Times New Roman" w:eastAsia="Times New Roman" w:hAnsi="Times New Roman"/>
          <w:sz w:val="18"/>
          <w:szCs w:val="18"/>
          <w:b w:val="1"/>
          <w:bCs w:val="1"/>
          <w:color w:val="auto"/>
        </w:rPr>
      </w:pPr>
    </w:p>
    <w:p>
      <w:pPr>
        <w:ind w:right="180" w:firstLine="517"/>
        <w:spacing w:after="0" w:line="286" w:lineRule="auto"/>
        <w:tabs>
          <w:tab w:leader="none" w:pos="753"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(iv) Restricted Stock Awards; (v) RSU Awards; (vi) Performance Awards; and (vii) Other Awards.</w:t>
      </w:r>
    </w:p>
    <w:p>
      <w:pPr>
        <w:spacing w:after="0" w:line="4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29"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160" w:firstLine="517"/>
        <w:spacing w:after="0" w:line="251" w:lineRule="auto"/>
        <w:tabs>
          <w:tab w:leader="none" w:pos="764"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35,075,122 shares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Reserve</w:t>
      </w:r>
      <w:r>
        <w:rPr>
          <w:rFonts w:ascii="Times New Roman" w:cs="Times New Roman" w:eastAsia="Times New Roman" w:hAnsi="Times New Roman"/>
          <w:sz w:val="18"/>
          <w:szCs w:val="18"/>
          <w:color w:val="auto"/>
        </w:rPr>
        <w:t>”), which is the sum of: (i) 11,413,572 new shares, plus (ii) the number of shares of Common Stock (not to exceed 23,661,550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which represents (A) the Prior Plan’s Available Reserve plus (B)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Common Stock outstanding on December 31 of the preceding year; provided, however, that the Board may act prior to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(such increase, the “</w:t>
      </w:r>
      <w:r>
        <w:rPr>
          <w:rFonts w:ascii="Times New Roman" w:cs="Times New Roman" w:eastAsia="Times New Roman" w:hAnsi="Times New Roman"/>
          <w:sz w:val="18"/>
          <w:szCs w:val="18"/>
          <w:b w:val="1"/>
          <w:bCs w:val="1"/>
          <w:i w:val="1"/>
          <w:iCs w:val="1"/>
          <w:color w:val="auto"/>
        </w:rPr>
        <w:t>Annual Increase</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b w:val="1"/>
          <w:bCs w:val="1"/>
          <w:color w:val="auto"/>
        </w:rPr>
      </w:pPr>
    </w:p>
    <w:p>
      <w:pPr>
        <w:ind w:right="20" w:firstLine="517"/>
        <w:spacing w:after="0" w:line="253" w:lineRule="auto"/>
        <w:tabs>
          <w:tab w:leader="none" w:pos="774"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implement any Capitalization Adjustments, the aggregate maximum number of shares of Common Stock that may be issued pursuant to the exercise of Incentive Stock Options shall not exceed the Initial Reserve cumulatively increased on January 1, 2022 and each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thereafter by the lesser of (i) the Annual Increase for such year or (ii) 23,827,144 shares of Common Stock.</w:t>
      </w:r>
    </w:p>
    <w:p>
      <w:pPr>
        <w:spacing w:after="0" w:line="74"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17" w:lineRule="exact"/>
        <w:rPr>
          <w:rFonts w:ascii="Times New Roman" w:cs="Times New Roman" w:eastAsia="Times New Roman" w:hAnsi="Times New Roman"/>
          <w:sz w:val="18"/>
          <w:szCs w:val="18"/>
          <w:b w:val="1"/>
          <w:bCs w:val="1"/>
          <w:color w:val="auto"/>
        </w:rPr>
      </w:pPr>
    </w:p>
    <w:p>
      <w:pPr>
        <w:ind w:right="100" w:firstLine="1154"/>
        <w:spacing w:after="0" w:line="262" w:lineRule="auto"/>
        <w:tabs>
          <w:tab w:leader="none" w:pos="1360" w:val="left"/>
        </w:tabs>
        <w:numPr>
          <w:ilvl w:val="2"/>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Company Manual Section 303A.08, NYSE American Company Guide Section 711 or other applicable rule, and such issuance will not reduce the number of shares available for issuance under the Plan.</w:t>
      </w:r>
    </w:p>
    <w:p>
      <w:pPr>
        <w:spacing w:after="0" w:line="50" w:lineRule="exact"/>
        <w:rPr>
          <w:sz w:val="20"/>
          <w:szCs w:val="20"/>
          <w:color w:val="auto"/>
        </w:rPr>
      </w:pPr>
    </w:p>
    <w:p>
      <w:pPr>
        <w:ind w:firstLine="1154"/>
        <w:spacing w:after="0" w:line="257" w:lineRule="auto"/>
        <w:tabs>
          <w:tab w:leader="none" w:pos="1410"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74" w:lineRule="exact"/>
        <w:rPr>
          <w:rFonts w:ascii="Times New Roman" w:cs="Times New Roman" w:eastAsia="Times New Roman" w:hAnsi="Times New Roman"/>
          <w:sz w:val="18"/>
          <w:szCs w:val="18"/>
          <w:b w:val="1"/>
          <w:bCs w:val="1"/>
          <w:color w:val="auto"/>
        </w:rPr>
      </w:pPr>
    </w:p>
    <w:p>
      <w:pPr>
        <w:ind w:right="40" w:firstLine="1154"/>
        <w:spacing w:after="0" w:line="259" w:lineRule="auto"/>
        <w:tabs>
          <w:tab w:leader="none" w:pos="1460"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06"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117" w:lineRule="exact"/>
        <w:rPr>
          <w:rFonts w:ascii="Times New Roman" w:cs="Times New Roman" w:eastAsia="Times New Roman" w:hAnsi="Times New Roman"/>
          <w:sz w:val="18"/>
          <w:szCs w:val="18"/>
          <w:b w:val="1"/>
          <w:bCs w:val="1"/>
          <w:color w:val="auto"/>
        </w:rPr>
      </w:pPr>
    </w:p>
    <w:p>
      <w:pPr>
        <w:ind w:right="160" w:firstLine="1154"/>
        <w:spacing w:after="0" w:line="286" w:lineRule="auto"/>
        <w:tabs>
          <w:tab w:leader="none" w:pos="136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87" w:lineRule="exact"/>
        <w:rPr>
          <w:rFonts w:ascii="Times New Roman" w:cs="Times New Roman" w:eastAsia="Times New Roman" w:hAnsi="Times New Roman"/>
          <w:sz w:val="18"/>
          <w:szCs w:val="18"/>
          <w:b w:val="1"/>
          <w:bCs w:val="1"/>
          <w:color w:val="auto"/>
        </w:rPr>
      </w:pPr>
    </w:p>
    <w:p>
      <w:pPr>
        <w:ind w:right="80" w:firstLine="1154"/>
        <w:spacing w:after="0" w:line="257" w:lineRule="auto"/>
        <w:tabs>
          <w:tab w:leader="none" w:pos="141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74" w:lineRule="exact"/>
        <w:rPr>
          <w:rFonts w:ascii="Times New Roman" w:cs="Times New Roman" w:eastAsia="Times New Roman" w:hAnsi="Times New Roman"/>
          <w:sz w:val="18"/>
          <w:szCs w:val="18"/>
          <w:b w:val="1"/>
          <w:bCs w:val="1"/>
          <w:color w:val="auto"/>
        </w:rPr>
      </w:pPr>
    </w:p>
    <w:p>
      <w:pPr>
        <w:ind w:right="140" w:firstLine="1154"/>
        <w:spacing w:after="0" w:line="268" w:lineRule="auto"/>
        <w:tabs>
          <w:tab w:leader="none" w:pos="146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unless (1) the exercise price of such Option is at least 110% of the Fair Market Value on the date of grant of such Option and (2) the Option is not exercisable after the expiration of five years from the date of grant of such Option.</w:t>
      </w:r>
    </w:p>
    <w:p>
      <w:pPr>
        <w:spacing w:after="0" w:line="62" w:lineRule="exact"/>
        <w:rPr>
          <w:rFonts w:ascii="Times New Roman" w:cs="Times New Roman" w:eastAsia="Times New Roman" w:hAnsi="Times New Roman"/>
          <w:sz w:val="18"/>
          <w:szCs w:val="18"/>
          <w:b w:val="1"/>
          <w:bCs w:val="1"/>
          <w:color w:val="auto"/>
        </w:rPr>
      </w:pPr>
    </w:p>
    <w:p>
      <w:pPr>
        <w:ind w:right="260" w:firstLine="1154"/>
        <w:spacing w:after="0" w:line="268" w:lineRule="auto"/>
        <w:tabs>
          <w:tab w:leader="none" w:pos="145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62" w:lineRule="exact"/>
        <w:rPr>
          <w:rFonts w:ascii="Times New Roman" w:cs="Times New Roman" w:eastAsia="Times New Roman" w:hAnsi="Times New Roman"/>
          <w:sz w:val="18"/>
          <w:szCs w:val="18"/>
          <w:b w:val="1"/>
          <w:bCs w:val="1"/>
          <w:color w:val="auto"/>
        </w:rPr>
      </w:pPr>
    </w:p>
    <w:p>
      <w:pPr>
        <w:ind w:right="340" w:firstLine="517"/>
        <w:spacing w:after="0" w:line="286" w:lineRule="auto"/>
        <w:tabs>
          <w:tab w:leader="none" w:pos="75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46" w:lineRule="exact"/>
        <w:rPr>
          <w:rFonts w:ascii="Times New Roman" w:cs="Times New Roman" w:eastAsia="Times New Roman" w:hAnsi="Times New Roman"/>
          <w:sz w:val="18"/>
          <w:szCs w:val="18"/>
          <w:b w:val="1"/>
          <w:bCs w:val="1"/>
          <w:color w:val="auto"/>
        </w:rPr>
      </w:pPr>
    </w:p>
    <w:p>
      <w:pPr>
        <w:ind w:right="160" w:firstLine="517"/>
        <w:spacing w:after="0" w:line="259" w:lineRule="auto"/>
        <w:tabs>
          <w:tab w:leader="none" w:pos="774"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$1,500,000 in total value,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2" w:name="page163"/>
    <w:bookmarkEnd w:id="162"/>
    <w:p>
      <w:pPr>
        <w:ind w:left="480" w:hanging="459"/>
        <w:spacing w:after="0"/>
        <w:tabs>
          <w:tab w:leader="none" w:pos="4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16" w:lineRule="exact"/>
        <w:rPr>
          <w:sz w:val="20"/>
          <w:szCs w:val="20"/>
          <w:color w:val="auto"/>
        </w:rPr>
      </w:pPr>
    </w:p>
    <w:p>
      <w:pPr>
        <w:ind w:right="160" w:firstLine="517"/>
        <w:spacing w:after="0" w:line="286" w:lineRule="auto"/>
        <w:tabs>
          <w:tab w:leader="none" w:pos="76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46" w:lineRule="exact"/>
        <w:rPr>
          <w:rFonts w:ascii="Times New Roman" w:cs="Times New Roman" w:eastAsia="Times New Roman" w:hAnsi="Times New Roman"/>
          <w:sz w:val="18"/>
          <w:szCs w:val="18"/>
          <w:b w:val="1"/>
          <w:bCs w:val="1"/>
          <w:color w:val="auto"/>
        </w:rPr>
      </w:pPr>
    </w:p>
    <w:p>
      <w:pPr>
        <w:ind w:right="40" w:firstLine="517"/>
        <w:spacing w:after="0" w:line="259" w:lineRule="auto"/>
        <w:tabs>
          <w:tab w:leader="none" w:pos="77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71" w:lineRule="exact"/>
        <w:rPr>
          <w:rFonts w:ascii="Times New Roman" w:cs="Times New Roman" w:eastAsia="Times New Roman" w:hAnsi="Times New Roman"/>
          <w:sz w:val="18"/>
          <w:szCs w:val="18"/>
          <w:b w:val="1"/>
          <w:bCs w:val="1"/>
          <w:color w:val="auto"/>
        </w:rPr>
      </w:pPr>
    </w:p>
    <w:p>
      <w:pPr>
        <w:ind w:firstLine="517"/>
        <w:spacing w:after="0" w:line="257" w:lineRule="auto"/>
        <w:tabs>
          <w:tab w:leader="none" w:pos="753"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78"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17" w:lineRule="exact"/>
        <w:rPr>
          <w:rFonts w:ascii="Times New Roman" w:cs="Times New Roman" w:eastAsia="Times New Roman" w:hAnsi="Times New Roman"/>
          <w:sz w:val="18"/>
          <w:szCs w:val="18"/>
          <w:b w:val="1"/>
          <w:bCs w:val="1"/>
          <w:color w:val="auto"/>
        </w:rPr>
      </w:pPr>
    </w:p>
    <w:p>
      <w:pPr>
        <w:ind w:right="20" w:firstLine="1154"/>
        <w:spacing w:after="0" w:line="266" w:lineRule="auto"/>
        <w:tabs>
          <w:tab w:leader="none" w:pos="141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67" w:lineRule="exact"/>
        <w:rPr>
          <w:rFonts w:ascii="Times New Roman" w:cs="Times New Roman" w:eastAsia="Times New Roman" w:hAnsi="Times New Roman"/>
          <w:sz w:val="18"/>
          <w:szCs w:val="18"/>
          <w:b w:val="1"/>
          <w:bCs w:val="1"/>
          <w:color w:val="auto"/>
        </w:rPr>
      </w:pPr>
    </w:p>
    <w:p>
      <w:pPr>
        <w:ind w:right="40" w:firstLine="1154"/>
        <w:spacing w:after="0" w:line="255" w:lineRule="auto"/>
        <w:tabs>
          <w:tab w:leader="none" w:pos="14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80" w:lineRule="exact"/>
        <w:rPr>
          <w:rFonts w:ascii="Times New Roman" w:cs="Times New Roman" w:eastAsia="Times New Roman" w:hAnsi="Times New Roman"/>
          <w:sz w:val="18"/>
          <w:szCs w:val="18"/>
          <w:b w:val="1"/>
          <w:bCs w:val="1"/>
          <w:color w:val="auto"/>
        </w:rPr>
      </w:pPr>
    </w:p>
    <w:p>
      <w:pPr>
        <w:ind w:right="120" w:firstLine="1154"/>
        <w:spacing w:after="0" w:line="261" w:lineRule="auto"/>
        <w:tabs>
          <w:tab w:leader="none" w:pos="145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12"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113" w:lineRule="exact"/>
        <w:rPr>
          <w:rFonts w:ascii="Times New Roman" w:cs="Times New Roman" w:eastAsia="Times New Roman" w:hAnsi="Times New Roman"/>
          <w:sz w:val="18"/>
          <w:szCs w:val="18"/>
          <w:b w:val="1"/>
          <w:bCs w:val="1"/>
          <w:color w:val="auto"/>
        </w:rPr>
      </w:pPr>
    </w:p>
    <w:p>
      <w:pPr>
        <w:ind w:right="100" w:firstLine="517"/>
        <w:spacing w:after="0" w:line="286" w:lineRule="auto"/>
        <w:tabs>
          <w:tab w:leader="none" w:pos="77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to the Plan Administrator in accordance with the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63" w:name="page164"/>
    <w:bookmarkEnd w:id="163"/>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71" w:lineRule="exact"/>
        <w:rPr>
          <w:sz w:val="20"/>
          <w:szCs w:val="20"/>
          <w:color w:val="auto"/>
        </w:rPr>
      </w:pPr>
    </w:p>
    <w:p>
      <w:pPr>
        <w:ind w:right="40" w:firstLine="517"/>
        <w:spacing w:after="0" w:line="259" w:lineRule="auto"/>
        <w:tabs>
          <w:tab w:leader="none" w:pos="75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71" w:lineRule="exact"/>
        <w:rPr>
          <w:rFonts w:ascii="Times New Roman" w:cs="Times New Roman" w:eastAsia="Times New Roman" w:hAnsi="Times New Roman"/>
          <w:sz w:val="18"/>
          <w:szCs w:val="18"/>
          <w:b w:val="1"/>
          <w:bCs w:val="1"/>
          <w:color w:val="auto"/>
        </w:rPr>
      </w:pPr>
    </w:p>
    <w:p>
      <w:pPr>
        <w:ind w:right="20" w:firstLine="1154"/>
        <w:spacing w:after="0" w:line="259" w:lineRule="auto"/>
        <w:tabs>
          <w:tab w:leader="none" w:pos="136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71" w:lineRule="exact"/>
        <w:rPr>
          <w:rFonts w:ascii="Times New Roman" w:cs="Times New Roman" w:eastAsia="Times New Roman" w:hAnsi="Times New Roman"/>
          <w:sz w:val="18"/>
          <w:szCs w:val="18"/>
          <w:b w:val="1"/>
          <w:bCs w:val="1"/>
          <w:color w:val="auto"/>
        </w:rPr>
      </w:pPr>
    </w:p>
    <w:p>
      <w:pPr>
        <w:ind w:right="100" w:firstLine="1154"/>
        <w:spacing w:after="0" w:line="268" w:lineRule="auto"/>
        <w:tabs>
          <w:tab w:leader="none" w:pos="141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62" w:lineRule="exact"/>
        <w:rPr>
          <w:rFonts w:ascii="Times New Roman" w:cs="Times New Roman" w:eastAsia="Times New Roman" w:hAnsi="Times New Roman"/>
          <w:sz w:val="18"/>
          <w:szCs w:val="18"/>
          <w:b w:val="1"/>
          <w:bCs w:val="1"/>
          <w:color w:val="auto"/>
        </w:rPr>
      </w:pPr>
    </w:p>
    <w:p>
      <w:pPr>
        <w:ind w:firstLine="517"/>
        <w:spacing w:after="0" w:line="268" w:lineRule="auto"/>
        <w:tabs>
          <w:tab w:leader="none" w:pos="73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Except as otherwise provided in the Award Agreement or other written agreement between a Participant and the Company or an Affiliate, vesting of Options and SARs will cease upon termination of the Participant’s Continuous Service.</w:t>
      </w:r>
    </w:p>
    <w:p>
      <w:pPr>
        <w:spacing w:after="0" w:line="103" w:lineRule="exact"/>
        <w:rPr>
          <w:rFonts w:ascii="Times New Roman" w:cs="Times New Roman" w:eastAsia="Times New Roman" w:hAnsi="Times New Roman"/>
          <w:sz w:val="18"/>
          <w:szCs w:val="18"/>
          <w:b w:val="1"/>
          <w:bCs w:val="1"/>
          <w:color w:val="auto"/>
        </w:rPr>
      </w:pPr>
    </w:p>
    <w:p>
      <w:pPr>
        <w:ind w:right="180" w:firstLine="517"/>
        <w:spacing w:after="0" w:line="257" w:lineRule="auto"/>
        <w:tabs>
          <w:tab w:leader="none" w:pos="76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74" w:lineRule="exact"/>
        <w:rPr>
          <w:rFonts w:ascii="Times New Roman" w:cs="Times New Roman" w:eastAsia="Times New Roman" w:hAnsi="Times New Roman"/>
          <w:sz w:val="18"/>
          <w:szCs w:val="18"/>
          <w:b w:val="1"/>
          <w:bCs w:val="1"/>
          <w:color w:val="auto"/>
        </w:rPr>
      </w:pPr>
    </w:p>
    <w:p>
      <w:pPr>
        <w:ind w:firstLine="517"/>
        <w:spacing w:after="0" w:line="259" w:lineRule="auto"/>
        <w:tabs>
          <w:tab w:leader="none" w:pos="77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5" w:lineRule="exact"/>
        <w:rPr>
          <w:rFonts w:ascii="Times New Roman" w:cs="Times New Roman" w:eastAsia="Times New Roman" w:hAnsi="Times New Roman"/>
          <w:sz w:val="18"/>
          <w:szCs w:val="18"/>
          <w:b w:val="1"/>
          <w:bCs w:val="1"/>
          <w:color w:val="auto"/>
        </w:rPr>
      </w:pPr>
    </w:p>
    <w:p>
      <w:pPr>
        <w:ind w:right="160" w:firstLine="1154"/>
        <w:spacing w:after="0" w:line="282" w:lineRule="auto"/>
        <w:tabs>
          <w:tab w:leader="none" w:pos="136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53"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17" w:lineRule="exact"/>
        <w:rPr>
          <w:rFonts w:ascii="Times New Roman" w:cs="Times New Roman" w:eastAsia="Times New Roman" w:hAnsi="Times New Roman"/>
          <w:sz w:val="18"/>
          <w:szCs w:val="18"/>
          <w:b w:val="1"/>
          <w:bCs w:val="1"/>
          <w:color w:val="auto"/>
        </w:rPr>
      </w:pPr>
    </w:p>
    <w:p>
      <w:pPr>
        <w:ind w:left="1460" w:hanging="306"/>
        <w:spacing w:after="0"/>
        <w:tabs>
          <w:tab w:leader="none" w:pos="146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17" w:lineRule="exact"/>
        <w:rPr>
          <w:rFonts w:ascii="Times New Roman" w:cs="Times New Roman" w:eastAsia="Times New Roman" w:hAnsi="Times New Roman"/>
          <w:sz w:val="18"/>
          <w:szCs w:val="18"/>
          <w:b w:val="1"/>
          <w:bCs w:val="1"/>
          <w:color w:val="auto"/>
        </w:rPr>
      </w:pPr>
    </w:p>
    <w:p>
      <w:pPr>
        <w:ind w:right="480" w:firstLine="1154"/>
        <w:spacing w:after="0" w:line="282" w:lineRule="auto"/>
        <w:tabs>
          <w:tab w:leader="none" w:pos="145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50" w:lineRule="exact"/>
        <w:rPr>
          <w:sz w:val="20"/>
          <w:szCs w:val="20"/>
          <w:color w:val="auto"/>
        </w:rPr>
      </w:pPr>
    </w:p>
    <w:p>
      <w:pPr>
        <w:ind w:right="20" w:firstLine="517"/>
        <w:spacing w:after="0" w:line="254" w:lineRule="auto"/>
        <w:tabs>
          <w:tab w:leader="none" w:pos="724"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77" w:lineRule="exact"/>
        <w:rPr>
          <w:rFonts w:ascii="Times New Roman" w:cs="Times New Roman" w:eastAsia="Times New Roman" w:hAnsi="Times New Roman"/>
          <w:sz w:val="18"/>
          <w:szCs w:val="18"/>
          <w:b w:val="1"/>
          <w:bCs w:val="1"/>
          <w:color w:val="auto"/>
        </w:rPr>
      </w:pPr>
    </w:p>
    <w:p>
      <w:pPr>
        <w:ind w:firstLine="517"/>
        <w:spacing w:after="0" w:line="255" w:lineRule="auto"/>
        <w:tabs>
          <w:tab w:leader="none" w:pos="734"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7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52"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764"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62"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2"/>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21" w:lineRule="exact"/>
        <w:rPr>
          <w:rFonts w:ascii="Times New Roman" w:cs="Times New Roman" w:eastAsia="Times New Roman" w:hAnsi="Times New Roman"/>
          <w:sz w:val="18"/>
          <w:szCs w:val="18"/>
          <w:b w:val="1"/>
          <w:bCs w:val="1"/>
          <w:color w:val="auto"/>
        </w:rPr>
      </w:pPr>
    </w:p>
    <w:p>
      <w:pPr>
        <w:ind w:right="20" w:firstLine="1663"/>
        <w:spacing w:after="0" w:line="258" w:lineRule="auto"/>
        <w:tabs>
          <w:tab w:leader="none" w:pos="1909" w:val="left"/>
        </w:tabs>
        <w:numPr>
          <w:ilvl w:val="3"/>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75" w:lineRule="exact"/>
        <w:rPr>
          <w:rFonts w:ascii="Times New Roman" w:cs="Times New Roman" w:eastAsia="Times New Roman" w:hAnsi="Times New Roman"/>
          <w:sz w:val="18"/>
          <w:szCs w:val="18"/>
          <w:b w:val="1"/>
          <w:bCs w:val="1"/>
          <w:color w:val="auto"/>
        </w:rPr>
      </w:pPr>
    </w:p>
    <w:p>
      <w:pPr>
        <w:ind w:right="60" w:firstLine="1663"/>
        <w:spacing w:after="0" w:line="256" w:lineRule="auto"/>
        <w:tabs>
          <w:tab w:leader="none" w:pos="1909" w:val="left"/>
        </w:tabs>
        <w:numPr>
          <w:ilvl w:val="3"/>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75"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2"/>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86" w:lineRule="exact"/>
        <w:rPr>
          <w:sz w:val="20"/>
          <w:szCs w:val="20"/>
          <w:color w:val="auto"/>
        </w:rPr>
      </w:pPr>
    </w:p>
    <w:p>
      <w:pPr>
        <w:ind w:left="-21" w:right="40" w:firstLine="1663"/>
        <w:spacing w:after="0" w:line="266" w:lineRule="auto"/>
        <w:tabs>
          <w:tab w:leader="none" w:pos="1888" w:val="left"/>
        </w:tabs>
        <w:numPr>
          <w:ilvl w:val="2"/>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67" w:lineRule="exact"/>
        <w:rPr>
          <w:rFonts w:ascii="Times New Roman" w:cs="Times New Roman" w:eastAsia="Times New Roman" w:hAnsi="Times New Roman"/>
          <w:sz w:val="18"/>
          <w:szCs w:val="18"/>
          <w:b w:val="1"/>
          <w:bCs w:val="1"/>
          <w:color w:val="auto"/>
        </w:rPr>
      </w:pPr>
    </w:p>
    <w:p>
      <w:pPr>
        <w:ind w:left="-21" w:firstLine="1663"/>
        <w:spacing w:after="0" w:line="256" w:lineRule="auto"/>
        <w:tabs>
          <w:tab w:leader="none" w:pos="1888" w:val="left"/>
        </w:tabs>
        <w:numPr>
          <w:ilvl w:val="2"/>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75" w:lineRule="exact"/>
        <w:rPr>
          <w:rFonts w:ascii="Times New Roman" w:cs="Times New Roman" w:eastAsia="Times New Roman" w:hAnsi="Times New Roman"/>
          <w:sz w:val="18"/>
          <w:szCs w:val="18"/>
          <w:b w:val="1"/>
          <w:bCs w:val="1"/>
          <w:color w:val="auto"/>
        </w:rPr>
      </w:pPr>
    </w:p>
    <w:p>
      <w:pPr>
        <w:ind w:left="-21" w:right="100" w:firstLine="517"/>
        <w:spacing w:after="0" w:line="268" w:lineRule="auto"/>
        <w:tabs>
          <w:tab w:leader="none" w:pos="80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62" w:lineRule="exact"/>
        <w:rPr>
          <w:rFonts w:ascii="Times New Roman" w:cs="Times New Roman" w:eastAsia="Times New Roman" w:hAnsi="Times New Roman"/>
          <w:sz w:val="18"/>
          <w:szCs w:val="18"/>
          <w:b w:val="1"/>
          <w:bCs w:val="1"/>
          <w:color w:val="auto"/>
        </w:rPr>
      </w:pPr>
    </w:p>
    <w:p>
      <w:pPr>
        <w:ind w:left="-21" w:right="20" w:firstLine="517"/>
        <w:spacing w:after="0" w:line="255" w:lineRule="auto"/>
        <w:tabs>
          <w:tab w:leader="none" w:pos="79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76" w:lineRule="exact"/>
        <w:rPr>
          <w:rFonts w:ascii="Times New Roman" w:cs="Times New Roman" w:eastAsia="Times New Roman" w:hAnsi="Times New Roman"/>
          <w:sz w:val="18"/>
          <w:szCs w:val="18"/>
          <w:b w:val="1"/>
          <w:bCs w:val="1"/>
          <w:color w:val="auto"/>
        </w:rPr>
      </w:pPr>
    </w:p>
    <w:p>
      <w:pPr>
        <w:ind w:left="-21" w:right="160" w:firstLine="517"/>
        <w:spacing w:after="0" w:line="286" w:lineRule="auto"/>
        <w:tabs>
          <w:tab w:leader="none" w:pos="74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Restricted Stock Award or RSU Award, as determined by the Board and specified in the Award Agreement.</w:t>
      </w:r>
    </w:p>
    <w:p>
      <w:pPr>
        <w:spacing w:after="0" w:line="87" w:lineRule="exact"/>
        <w:rPr>
          <w:rFonts w:ascii="Times New Roman" w:cs="Times New Roman" w:eastAsia="Times New Roman" w:hAnsi="Times New Roman"/>
          <w:sz w:val="18"/>
          <w:szCs w:val="18"/>
          <w:b w:val="1"/>
          <w:bCs w:val="1"/>
          <w:color w:val="auto"/>
        </w:rPr>
      </w:pPr>
    </w:p>
    <w:p>
      <w:pPr>
        <w:ind w:left="-21" w:right="340" w:firstLine="757"/>
        <w:spacing w:after="0" w:line="268" w:lineRule="auto"/>
        <w:tabs>
          <w:tab w:leader="none" w:pos="1032"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63" w:lineRule="exact"/>
        <w:rPr>
          <w:sz w:val="20"/>
          <w:szCs w:val="20"/>
          <w:color w:val="auto"/>
        </w:rPr>
      </w:pPr>
    </w:p>
    <w:p>
      <w:pPr>
        <w:ind w:left="-21" w:right="200" w:firstLine="517"/>
        <w:spacing w:after="0" w:line="268" w:lineRule="auto"/>
        <w:tabs>
          <w:tab w:leader="none" w:pos="752"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62" w:lineRule="exact"/>
        <w:rPr>
          <w:rFonts w:ascii="Times New Roman" w:cs="Times New Roman" w:eastAsia="Times New Roman" w:hAnsi="Times New Roman"/>
          <w:sz w:val="18"/>
          <w:szCs w:val="18"/>
          <w:b w:val="1"/>
          <w:bCs w:val="1"/>
          <w:color w:val="auto"/>
        </w:rPr>
      </w:pPr>
    </w:p>
    <w:p>
      <w:pPr>
        <w:ind w:left="-21" w:firstLine="517"/>
        <w:spacing w:after="0" w:line="259" w:lineRule="auto"/>
        <w:tabs>
          <w:tab w:leader="none" w:pos="732"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06" w:lineRule="exact"/>
        <w:rPr>
          <w:rFonts w:ascii="Times New Roman" w:cs="Times New Roman" w:eastAsia="Times New Roman" w:hAnsi="Times New Roman"/>
          <w:sz w:val="18"/>
          <w:szCs w:val="18"/>
          <w:b w:val="1"/>
          <w:bCs w:val="1"/>
          <w:color w:val="auto"/>
        </w:rPr>
      </w:pPr>
    </w:p>
    <w:p>
      <w:pPr>
        <w:ind w:left="459" w:hanging="459"/>
        <w:spacing w:after="0"/>
        <w:tabs>
          <w:tab w:leader="none" w:pos="459"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3"/>
          <w:szCs w:val="13"/>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21" w:firstLine="517"/>
        <w:spacing w:after="0" w:line="257" w:lineRule="auto"/>
        <w:tabs>
          <w:tab w:leader="none" w:pos="74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871220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1440" w:right="359" w:bottom="1440" w:gutter="0" w:footer="0" w:header="0"/>
        </w:sectPr>
      </w:pPr>
    </w:p>
    <w:bookmarkStart w:id="166" w:name="page167"/>
    <w:bookmarkEnd w:id="166"/>
    <w:p>
      <w:pPr>
        <w:spacing w:after="0" w:line="8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64" w:lineRule="exact"/>
        <w:rPr>
          <w:sz w:val="20"/>
          <w:szCs w:val="20"/>
          <w:color w:val="auto"/>
        </w:rPr>
      </w:pPr>
    </w:p>
    <w:p>
      <w:pPr>
        <w:ind w:right="40" w:firstLine="517"/>
        <w:spacing w:after="0" w:line="256" w:lineRule="auto"/>
        <w:tabs>
          <w:tab w:leader="none" w:pos="77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15" w:lineRule="exact"/>
        <w:rPr>
          <w:rFonts w:ascii="Times New Roman" w:cs="Times New Roman" w:eastAsia="Times New Roman" w:hAnsi="Times New Roman"/>
          <w:sz w:val="18"/>
          <w:szCs w:val="18"/>
          <w:b w:val="1"/>
          <w:bCs w:val="1"/>
          <w:color w:val="auto"/>
        </w:rPr>
      </w:pPr>
    </w:p>
    <w:p>
      <w:pPr>
        <w:ind w:right="200" w:firstLine="517"/>
        <w:spacing w:after="0" w:line="268" w:lineRule="auto"/>
        <w:tabs>
          <w:tab w:leader="none" w:pos="753"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unless otherwise provided in the instrument evidencing the Award or any other written agreement between the Company or any Affiliate and the Participant or unless otherwise expressly provided by the Board at the time of grant of an Award.</w:t>
      </w:r>
    </w:p>
    <w:p>
      <w:pPr>
        <w:spacing w:after="0" w:line="62" w:lineRule="exact"/>
        <w:rPr>
          <w:rFonts w:ascii="Times New Roman" w:cs="Times New Roman" w:eastAsia="Times New Roman" w:hAnsi="Times New Roman"/>
          <w:sz w:val="18"/>
          <w:szCs w:val="18"/>
          <w:b w:val="1"/>
          <w:bCs w:val="1"/>
          <w:color w:val="auto"/>
        </w:rPr>
      </w:pPr>
    </w:p>
    <w:p>
      <w:pPr>
        <w:ind w:right="20" w:firstLine="1154"/>
        <w:spacing w:after="0" w:line="255" w:lineRule="auto"/>
        <w:tabs>
          <w:tab w:leader="none" w:pos="136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76" w:lineRule="exact"/>
        <w:rPr>
          <w:rFonts w:ascii="Times New Roman" w:cs="Times New Roman" w:eastAsia="Times New Roman" w:hAnsi="Times New Roman"/>
          <w:sz w:val="18"/>
          <w:szCs w:val="18"/>
          <w:b w:val="1"/>
          <w:bCs w:val="1"/>
          <w:color w:val="auto"/>
        </w:rPr>
      </w:pPr>
    </w:p>
    <w:p>
      <w:pPr>
        <w:ind w:firstLine="1154"/>
        <w:spacing w:after="0" w:line="253" w:lineRule="auto"/>
        <w:tabs>
          <w:tab w:leader="none" w:pos="141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15" w:lineRule="exact"/>
        <w:rPr>
          <w:rFonts w:ascii="Times New Roman" w:cs="Times New Roman" w:eastAsia="Times New Roman" w:hAnsi="Times New Roman"/>
          <w:sz w:val="18"/>
          <w:szCs w:val="18"/>
          <w:b w:val="1"/>
          <w:bCs w:val="1"/>
          <w:color w:val="auto"/>
        </w:rPr>
      </w:pPr>
    </w:p>
    <w:p>
      <w:pPr>
        <w:ind w:right="180" w:firstLine="1154"/>
        <w:spacing w:after="0" w:line="257" w:lineRule="auto"/>
        <w:tabs>
          <w:tab w:leader="none" w:pos="146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82" w:lineRule="exact"/>
        <w:rPr>
          <w:sz w:val="20"/>
          <w:szCs w:val="20"/>
          <w:color w:val="auto"/>
        </w:rPr>
      </w:pPr>
    </w:p>
    <w:p>
      <w:pPr>
        <w:ind w:left="-21" w:right="100" w:firstLine="1154"/>
        <w:spacing w:after="0" w:line="259" w:lineRule="auto"/>
        <w:tabs>
          <w:tab w:leader="none" w:pos="1429"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71" w:lineRule="exact"/>
        <w:rPr>
          <w:rFonts w:ascii="Times New Roman" w:cs="Times New Roman" w:eastAsia="Times New Roman" w:hAnsi="Times New Roman"/>
          <w:sz w:val="18"/>
          <w:szCs w:val="18"/>
          <w:b w:val="1"/>
          <w:bCs w:val="1"/>
          <w:color w:val="auto"/>
        </w:rPr>
      </w:pPr>
    </w:p>
    <w:p>
      <w:pPr>
        <w:ind w:left="-21" w:right="160" w:firstLine="517"/>
        <w:spacing w:after="0" w:line="262" w:lineRule="auto"/>
        <w:tabs>
          <w:tab w:leader="none" w:pos="752"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68" w:lineRule="exact"/>
        <w:rPr>
          <w:rFonts w:ascii="Times New Roman" w:cs="Times New Roman" w:eastAsia="Times New Roman" w:hAnsi="Times New Roman"/>
          <w:sz w:val="18"/>
          <w:szCs w:val="18"/>
          <w:b w:val="1"/>
          <w:bCs w:val="1"/>
          <w:color w:val="auto"/>
        </w:rPr>
      </w:pPr>
    </w:p>
    <w:p>
      <w:pPr>
        <w:ind w:left="-21" w:right="20" w:firstLine="517"/>
        <w:spacing w:after="0" w:line="256" w:lineRule="auto"/>
        <w:tabs>
          <w:tab w:leader="none" w:pos="732"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9" w:lineRule="exact"/>
        <w:rPr>
          <w:rFonts w:ascii="Times New Roman" w:cs="Times New Roman" w:eastAsia="Times New Roman" w:hAnsi="Times New Roman"/>
          <w:sz w:val="18"/>
          <w:szCs w:val="18"/>
          <w:b w:val="1"/>
          <w:bCs w:val="1"/>
          <w:color w:val="auto"/>
        </w:rPr>
      </w:pPr>
    </w:p>
    <w:p>
      <w:pPr>
        <w:ind w:left="459" w:hanging="459"/>
        <w:spacing w:after="0"/>
        <w:tabs>
          <w:tab w:leader="none" w:pos="459"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21" w:firstLine="517"/>
        <w:spacing w:after="0" w:line="286" w:lineRule="auto"/>
        <w:tabs>
          <w:tab w:leader="none" w:pos="742"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subsection (c) below.</w:t>
      </w:r>
    </w:p>
    <w:p>
      <w:pPr>
        <w:spacing w:after="0" w:line="46" w:lineRule="exact"/>
        <w:rPr>
          <w:rFonts w:ascii="Times New Roman" w:cs="Times New Roman" w:eastAsia="Times New Roman" w:hAnsi="Times New Roman"/>
          <w:sz w:val="18"/>
          <w:szCs w:val="18"/>
          <w:b w:val="1"/>
          <w:bCs w:val="1"/>
          <w:color w:val="auto"/>
        </w:rPr>
      </w:pPr>
    </w:p>
    <w:p>
      <w:pPr>
        <w:ind w:left="759" w:hanging="263"/>
        <w:spacing w:after="0"/>
        <w:tabs>
          <w:tab w:leader="none" w:pos="759"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21" w:lineRule="exact"/>
        <w:rPr>
          <w:rFonts w:ascii="Times New Roman" w:cs="Times New Roman" w:eastAsia="Times New Roman" w:hAnsi="Times New Roman"/>
          <w:sz w:val="18"/>
          <w:szCs w:val="18"/>
          <w:b w:val="1"/>
          <w:bCs w:val="1"/>
          <w:color w:val="auto"/>
        </w:rPr>
      </w:pPr>
    </w:p>
    <w:p>
      <w:pPr>
        <w:ind w:left="-21" w:right="80" w:firstLine="1154"/>
        <w:spacing w:after="0" w:line="256" w:lineRule="auto"/>
        <w:tabs>
          <w:tab w:leader="none" w:pos="133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79" w:lineRule="exact"/>
        <w:rPr>
          <w:rFonts w:ascii="Times New Roman" w:cs="Times New Roman" w:eastAsia="Times New Roman" w:hAnsi="Times New Roman"/>
          <w:sz w:val="18"/>
          <w:szCs w:val="18"/>
          <w:b w:val="1"/>
          <w:bCs w:val="1"/>
          <w:color w:val="auto"/>
        </w:rPr>
      </w:pPr>
    </w:p>
    <w:p>
      <w:pPr>
        <w:ind w:left="-21" w:right="260" w:firstLine="1154"/>
        <w:spacing w:after="0" w:line="266" w:lineRule="auto"/>
        <w:tabs>
          <w:tab w:leader="none" w:pos="138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67" w:lineRule="exact"/>
        <w:rPr>
          <w:rFonts w:ascii="Times New Roman" w:cs="Times New Roman" w:eastAsia="Times New Roman" w:hAnsi="Times New Roman"/>
          <w:sz w:val="18"/>
          <w:szCs w:val="18"/>
          <w:b w:val="1"/>
          <w:bCs w:val="1"/>
          <w:color w:val="auto"/>
        </w:rPr>
      </w:pPr>
    </w:p>
    <w:p>
      <w:pPr>
        <w:ind w:left="1439" w:hanging="306"/>
        <w:spacing w:after="0"/>
        <w:tabs>
          <w:tab w:leader="none" w:pos="143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17" w:lineRule="exact"/>
        <w:rPr>
          <w:rFonts w:ascii="Times New Roman" w:cs="Times New Roman" w:eastAsia="Times New Roman" w:hAnsi="Times New Roman"/>
          <w:sz w:val="18"/>
          <w:szCs w:val="18"/>
          <w:b w:val="1"/>
          <w:bCs w:val="1"/>
          <w:color w:val="auto"/>
        </w:rPr>
      </w:pPr>
    </w:p>
    <w:p>
      <w:pPr>
        <w:ind w:left="-21" w:right="480" w:firstLine="1154"/>
        <w:spacing w:after="0" w:line="282" w:lineRule="auto"/>
        <w:tabs>
          <w:tab w:leader="none" w:pos="142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53" w:lineRule="exact"/>
        <w:rPr>
          <w:rFonts w:ascii="Times New Roman" w:cs="Times New Roman" w:eastAsia="Times New Roman" w:hAnsi="Times New Roman"/>
          <w:sz w:val="18"/>
          <w:szCs w:val="18"/>
          <w:b w:val="1"/>
          <w:bCs w:val="1"/>
          <w:color w:val="auto"/>
        </w:rPr>
      </w:pPr>
    </w:p>
    <w:p>
      <w:pPr>
        <w:jc w:val="both"/>
        <w:ind w:left="-21" w:right="100" w:firstLine="1154"/>
        <w:spacing w:after="0" w:line="261" w:lineRule="auto"/>
        <w:tabs>
          <w:tab w:leader="none" w:pos="137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867410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1440" w:right="359" w:bottom="1440" w:gutter="0" w:footer="0" w:header="0"/>
        </w:sectPr>
      </w:pPr>
    </w:p>
    <w:bookmarkStart w:id="168" w:name="page169"/>
    <w:bookmarkEnd w:id="168"/>
    <w:p>
      <w:pPr>
        <w:spacing w:after="0" w:line="86" w:lineRule="exact"/>
        <w:rPr>
          <w:sz w:val="20"/>
          <w:szCs w:val="20"/>
          <w:color w:val="auto"/>
        </w:rPr>
      </w:pPr>
    </w:p>
    <w:p>
      <w:pPr>
        <w:ind w:left="-517" w:right="220" w:firstLine="1154"/>
        <w:spacing w:after="0" w:line="282" w:lineRule="auto"/>
        <w:tabs>
          <w:tab w:leader="none" w:pos="93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51" w:lineRule="exact"/>
        <w:rPr>
          <w:rFonts w:ascii="Times New Roman" w:cs="Times New Roman" w:eastAsia="Times New Roman" w:hAnsi="Times New Roman"/>
          <w:sz w:val="18"/>
          <w:szCs w:val="18"/>
          <w:b w:val="1"/>
          <w:bCs w:val="1"/>
          <w:color w:val="auto"/>
        </w:rPr>
      </w:pPr>
    </w:p>
    <w:p>
      <w:pPr>
        <w:ind w:left="-517" w:firstLine="1154"/>
        <w:spacing w:after="0" w:line="261" w:lineRule="auto"/>
        <w:tabs>
          <w:tab w:leader="none" w:pos="98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73" w:lineRule="exact"/>
        <w:rPr>
          <w:rFonts w:ascii="Times New Roman" w:cs="Times New Roman" w:eastAsia="Times New Roman" w:hAnsi="Times New Roman"/>
          <w:sz w:val="18"/>
          <w:szCs w:val="18"/>
          <w:b w:val="1"/>
          <w:bCs w:val="1"/>
          <w:color w:val="auto"/>
        </w:rPr>
      </w:pPr>
    </w:p>
    <w:p>
      <w:pPr>
        <w:ind w:left="1043" w:hanging="406"/>
        <w:spacing w:after="0"/>
        <w:tabs>
          <w:tab w:leader="none" w:pos="104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117" w:lineRule="exact"/>
        <w:rPr>
          <w:rFonts w:ascii="Times New Roman" w:cs="Times New Roman" w:eastAsia="Times New Roman" w:hAnsi="Times New Roman"/>
          <w:sz w:val="18"/>
          <w:szCs w:val="18"/>
          <w:b w:val="1"/>
          <w:bCs w:val="1"/>
          <w:color w:val="auto"/>
        </w:rPr>
      </w:pPr>
    </w:p>
    <w:p>
      <w:pPr>
        <w:ind w:left="-517" w:firstLine="1154"/>
        <w:spacing w:after="0" w:line="261" w:lineRule="auto"/>
        <w:tabs>
          <w:tab w:leader="none" w:pos="93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12" w:lineRule="exact"/>
        <w:rPr>
          <w:rFonts w:ascii="Times New Roman" w:cs="Times New Roman" w:eastAsia="Times New Roman" w:hAnsi="Times New Roman"/>
          <w:sz w:val="18"/>
          <w:szCs w:val="18"/>
          <w:b w:val="1"/>
          <w:bCs w:val="1"/>
          <w:color w:val="auto"/>
        </w:rPr>
      </w:pPr>
    </w:p>
    <w:p>
      <w:pPr>
        <w:ind w:left="-517" w:right="80" w:firstLine="1154"/>
        <w:spacing w:after="0" w:line="282" w:lineRule="auto"/>
        <w:tabs>
          <w:tab w:leader="none" w:pos="88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53" w:lineRule="exact"/>
        <w:rPr>
          <w:rFonts w:ascii="Times New Roman" w:cs="Times New Roman" w:eastAsia="Times New Roman" w:hAnsi="Times New Roman"/>
          <w:sz w:val="18"/>
          <w:szCs w:val="18"/>
          <w:b w:val="1"/>
          <w:bCs w:val="1"/>
          <w:color w:val="auto"/>
        </w:rPr>
      </w:pPr>
    </w:p>
    <w:p>
      <w:pPr>
        <w:ind w:left="-517" w:right="140" w:firstLine="1154"/>
        <w:spacing w:after="0" w:line="261" w:lineRule="auto"/>
        <w:tabs>
          <w:tab w:leader="none" w:pos="93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71" w:lineRule="exact"/>
        <w:rPr>
          <w:rFonts w:ascii="Times New Roman" w:cs="Times New Roman" w:eastAsia="Times New Roman" w:hAnsi="Times New Roman"/>
          <w:sz w:val="18"/>
          <w:szCs w:val="18"/>
          <w:b w:val="1"/>
          <w:bCs w:val="1"/>
          <w:color w:val="auto"/>
        </w:rPr>
      </w:pPr>
    </w:p>
    <w:p>
      <w:pPr>
        <w:ind w:left="-517" w:firstLine="1154"/>
        <w:spacing w:after="0" w:line="258" w:lineRule="auto"/>
        <w:tabs>
          <w:tab w:leader="none" w:pos="98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71" w:lineRule="exact"/>
        <w:rPr>
          <w:rFonts w:ascii="Times New Roman" w:cs="Times New Roman" w:eastAsia="Times New Roman" w:hAnsi="Times New Roman"/>
          <w:sz w:val="18"/>
          <w:szCs w:val="18"/>
          <w:b w:val="1"/>
          <w:bCs w:val="1"/>
          <w:color w:val="auto"/>
        </w:rPr>
      </w:pPr>
    </w:p>
    <w:p>
      <w:pPr>
        <w:ind w:left="243" w:hanging="243"/>
        <w:spacing w:after="0"/>
        <w:tabs>
          <w:tab w:leader="none" w:pos="243"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17" w:lineRule="exact"/>
        <w:rPr>
          <w:rFonts w:ascii="Times New Roman" w:cs="Times New Roman" w:eastAsia="Times New Roman" w:hAnsi="Times New Roman"/>
          <w:sz w:val="18"/>
          <w:szCs w:val="18"/>
          <w:b w:val="1"/>
          <w:bCs w:val="1"/>
          <w:color w:val="auto"/>
        </w:rPr>
      </w:pPr>
    </w:p>
    <w:p>
      <w:pPr>
        <w:ind w:left="-517" w:right="140" w:firstLine="1154"/>
        <w:spacing w:after="0" w:line="255" w:lineRule="auto"/>
        <w:tabs>
          <w:tab w:leader="none" w:pos="843"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76" w:lineRule="exact"/>
        <w:rPr>
          <w:rFonts w:ascii="Times New Roman" w:cs="Times New Roman" w:eastAsia="Times New Roman" w:hAnsi="Times New Roman"/>
          <w:sz w:val="18"/>
          <w:szCs w:val="18"/>
          <w:b w:val="1"/>
          <w:bCs w:val="1"/>
          <w:color w:val="auto"/>
        </w:rPr>
      </w:pPr>
    </w:p>
    <w:p>
      <w:pPr>
        <w:ind w:left="-517" w:firstLine="1154"/>
        <w:spacing w:after="0" w:line="262" w:lineRule="auto"/>
        <w:tabs>
          <w:tab w:leader="none" w:pos="893"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868045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169" w:name="page170"/>
    <w:bookmarkEnd w:id="169"/>
    <w:p>
      <w:pPr>
        <w:spacing w:after="0" w:line="82" w:lineRule="exact"/>
        <w:rPr>
          <w:sz w:val="20"/>
          <w:szCs w:val="20"/>
          <w:color w:val="auto"/>
        </w:rPr>
      </w:pPr>
    </w:p>
    <w:p>
      <w:pPr>
        <w:ind w:left="-21" w:firstLine="517"/>
        <w:spacing w:after="0" w:line="286" w:lineRule="auto"/>
        <w:tabs>
          <w:tab w:leader="none" w:pos="752"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review by any person and will be final, binding and conclusive on all persons.</w:t>
      </w:r>
    </w:p>
    <w:p>
      <w:pPr>
        <w:spacing w:after="0" w:line="87" w:lineRule="exact"/>
        <w:rPr>
          <w:rFonts w:ascii="Times New Roman" w:cs="Times New Roman" w:eastAsia="Times New Roman" w:hAnsi="Times New Roman"/>
          <w:sz w:val="18"/>
          <w:szCs w:val="18"/>
          <w:b w:val="1"/>
          <w:bCs w:val="1"/>
          <w:color w:val="auto"/>
        </w:rPr>
      </w:pPr>
    </w:p>
    <w:p>
      <w:pPr>
        <w:ind w:left="-21" w:right="20" w:firstLine="517"/>
        <w:spacing w:after="0" w:line="254" w:lineRule="auto"/>
        <w:tabs>
          <w:tab w:leader="none" w:pos="732"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 following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15" w:lineRule="exact"/>
        <w:rPr>
          <w:rFonts w:ascii="Times New Roman" w:cs="Times New Roman" w:eastAsia="Times New Roman" w:hAnsi="Times New Roman"/>
          <w:sz w:val="18"/>
          <w:szCs w:val="18"/>
          <w:b w:val="1"/>
          <w:bCs w:val="1"/>
          <w:color w:val="auto"/>
        </w:rPr>
      </w:pPr>
    </w:p>
    <w:p>
      <w:pPr>
        <w:ind w:left="459" w:hanging="459"/>
        <w:spacing w:after="0"/>
        <w:tabs>
          <w:tab w:leader="none" w:pos="459"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ITHHOLDING</w:t>
      </w:r>
    </w:p>
    <w:p>
      <w:pPr>
        <w:spacing w:after="0" w:line="117" w:lineRule="exact"/>
        <w:rPr>
          <w:rFonts w:ascii="Times New Roman" w:cs="Times New Roman" w:eastAsia="Times New Roman" w:hAnsi="Times New Roman"/>
          <w:sz w:val="18"/>
          <w:szCs w:val="18"/>
          <w:b w:val="1"/>
          <w:bCs w:val="1"/>
          <w:color w:val="auto"/>
        </w:rPr>
      </w:pPr>
    </w:p>
    <w:p>
      <w:pPr>
        <w:ind w:left="-21" w:right="100" w:firstLine="517"/>
        <w:spacing w:after="0" w:line="257" w:lineRule="auto"/>
        <w:tabs>
          <w:tab w:leader="none" w:pos="742"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74" w:lineRule="exact"/>
        <w:rPr>
          <w:rFonts w:ascii="Times New Roman" w:cs="Times New Roman" w:eastAsia="Times New Roman" w:hAnsi="Times New Roman"/>
          <w:sz w:val="18"/>
          <w:szCs w:val="18"/>
          <w:b w:val="1"/>
          <w:bCs w:val="1"/>
          <w:color w:val="auto"/>
        </w:rPr>
      </w:pPr>
    </w:p>
    <w:p>
      <w:pPr>
        <w:ind w:left="-21" w:right="60" w:firstLine="517"/>
        <w:spacing w:after="0" w:line="256" w:lineRule="auto"/>
        <w:tabs>
          <w:tab w:leader="none" w:pos="752"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74" w:lineRule="exact"/>
        <w:rPr>
          <w:rFonts w:ascii="Times New Roman" w:cs="Times New Roman" w:eastAsia="Times New Roman" w:hAnsi="Times New Roman"/>
          <w:sz w:val="18"/>
          <w:szCs w:val="18"/>
          <w:b w:val="1"/>
          <w:bCs w:val="1"/>
          <w:color w:val="auto"/>
        </w:rPr>
      </w:pPr>
    </w:p>
    <w:p>
      <w:pPr>
        <w:ind w:left="-21" w:right="20" w:firstLine="517"/>
        <w:spacing w:after="0" w:line="253" w:lineRule="auto"/>
        <w:tabs>
          <w:tab w:leader="none" w:pos="732"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77" w:lineRule="exact"/>
        <w:rPr>
          <w:rFonts w:ascii="Times New Roman" w:cs="Times New Roman" w:eastAsia="Times New Roman" w:hAnsi="Times New Roman"/>
          <w:sz w:val="18"/>
          <w:szCs w:val="18"/>
          <w:b w:val="1"/>
          <w:bCs w:val="1"/>
          <w:color w:val="auto"/>
        </w:rPr>
      </w:pPr>
    </w:p>
    <w:p>
      <w:pPr>
        <w:ind w:left="-21" w:firstLine="517"/>
        <w:spacing w:after="0" w:line="268" w:lineRule="auto"/>
        <w:tabs>
          <w:tab w:leader="none" w:pos="752"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864235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9"/>
          </w:cols>
          <w:pgMar w:left="341" w:top="1440" w:right="379" w:bottom="1440" w:gutter="0" w:footer="0" w:header="0"/>
        </w:sectPr>
      </w:pPr>
    </w:p>
    <w:bookmarkStart w:id="170" w:name="page171"/>
    <w:bookmarkEnd w:id="17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 the Company and/or its Affiliates harmless from any failure by the Company and/or its Affiliates to withhold the proper amount.</w:t>
      </w:r>
    </w:p>
    <w:p>
      <w:pPr>
        <w:spacing w:after="0" w:line="248" w:lineRule="exact"/>
        <w:rPr>
          <w:sz w:val="20"/>
          <w:szCs w:val="20"/>
          <w:color w:val="auto"/>
        </w:rPr>
      </w:pPr>
    </w:p>
    <w:p>
      <w:pPr>
        <w:ind w:left="480" w:hanging="459"/>
        <w:spacing w:after="0"/>
        <w:tabs>
          <w:tab w:leader="none" w:pos="4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260" w:firstLine="517"/>
        <w:spacing w:after="0" w:line="286" w:lineRule="auto"/>
        <w:tabs>
          <w:tab w:leader="none" w:pos="76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46" w:lineRule="exact"/>
        <w:rPr>
          <w:rFonts w:ascii="Times New Roman" w:cs="Times New Roman" w:eastAsia="Times New Roman" w:hAnsi="Times New Roman"/>
          <w:sz w:val="18"/>
          <w:szCs w:val="18"/>
          <w:b w:val="1"/>
          <w:bCs w:val="1"/>
          <w:color w:val="auto"/>
        </w:rPr>
      </w:pPr>
    </w:p>
    <w:p>
      <w:pPr>
        <w:ind w:right="80" w:firstLine="517"/>
        <w:spacing w:after="0" w:line="286" w:lineRule="auto"/>
        <w:tabs>
          <w:tab w:leader="none" w:pos="77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of the Company.</w:t>
      </w:r>
    </w:p>
    <w:p>
      <w:pPr>
        <w:spacing w:after="0" w:line="46" w:lineRule="exact"/>
        <w:rPr>
          <w:rFonts w:ascii="Times New Roman" w:cs="Times New Roman" w:eastAsia="Times New Roman" w:hAnsi="Times New Roman"/>
          <w:sz w:val="18"/>
          <w:szCs w:val="18"/>
          <w:b w:val="1"/>
          <w:bCs w:val="1"/>
          <w:color w:val="auto"/>
        </w:rPr>
      </w:pPr>
    </w:p>
    <w:p>
      <w:pPr>
        <w:ind w:firstLine="517"/>
        <w:spacing w:after="0" w:line="256" w:lineRule="auto"/>
        <w:tabs>
          <w:tab w:leader="none" w:pos="753"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74" w:lineRule="exact"/>
        <w:rPr>
          <w:rFonts w:ascii="Times New Roman" w:cs="Times New Roman" w:eastAsia="Times New Roman" w:hAnsi="Times New Roman"/>
          <w:sz w:val="18"/>
          <w:szCs w:val="18"/>
          <w:b w:val="1"/>
          <w:bCs w:val="1"/>
          <w:color w:val="auto"/>
        </w:rPr>
      </w:pPr>
    </w:p>
    <w:p>
      <w:pPr>
        <w:ind w:right="140" w:firstLine="517"/>
        <w:spacing w:after="0" w:line="268" w:lineRule="auto"/>
        <w:tabs>
          <w:tab w:leader="none" w:pos="77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03" w:lineRule="exact"/>
        <w:rPr>
          <w:rFonts w:ascii="Times New Roman" w:cs="Times New Roman" w:eastAsia="Times New Roman" w:hAnsi="Times New Roman"/>
          <w:sz w:val="18"/>
          <w:szCs w:val="18"/>
          <w:b w:val="1"/>
          <w:bCs w:val="1"/>
          <w:color w:val="auto"/>
        </w:rPr>
      </w:pPr>
    </w:p>
    <w:p>
      <w:pPr>
        <w:ind w:right="140" w:firstLine="517"/>
        <w:spacing w:after="0" w:line="254" w:lineRule="auto"/>
        <w:tabs>
          <w:tab w:leader="none" w:pos="753"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77" w:lineRule="exact"/>
        <w:rPr>
          <w:rFonts w:ascii="Times New Roman" w:cs="Times New Roman" w:eastAsia="Times New Roman" w:hAnsi="Times New Roman"/>
          <w:sz w:val="18"/>
          <w:szCs w:val="18"/>
          <w:b w:val="1"/>
          <w:bCs w:val="1"/>
          <w:color w:val="auto"/>
        </w:rPr>
      </w:pPr>
    </w:p>
    <w:p>
      <w:pPr>
        <w:ind w:right="80" w:firstLine="517"/>
        <w:spacing w:after="0" w:line="256" w:lineRule="auto"/>
        <w:tabs>
          <w:tab w:leader="none" w:pos="73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74" w:lineRule="exact"/>
        <w:rPr>
          <w:rFonts w:ascii="Times New Roman" w:cs="Times New Roman" w:eastAsia="Times New Roman" w:hAnsi="Times New Roman"/>
          <w:sz w:val="18"/>
          <w:szCs w:val="18"/>
          <w:b w:val="1"/>
          <w:bCs w:val="1"/>
          <w:color w:val="auto"/>
        </w:rPr>
      </w:pPr>
    </w:p>
    <w:p>
      <w:pPr>
        <w:ind w:right="360" w:firstLine="517"/>
        <w:spacing w:after="0" w:line="268" w:lineRule="auto"/>
        <w:tabs>
          <w:tab w:leader="none" w:pos="76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62"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77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 (or other shared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8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08" w:lineRule="exact"/>
        <w:rPr>
          <w:sz w:val="20"/>
          <w:szCs w:val="20"/>
          <w:color w:val="auto"/>
        </w:rPr>
      </w:pPr>
    </w:p>
    <w:p>
      <w:pPr>
        <w:ind w:right="20" w:firstLine="517"/>
        <w:spacing w:after="0" w:line="255" w:lineRule="auto"/>
        <w:tabs>
          <w:tab w:leader="none" w:pos="72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76" w:lineRule="exact"/>
        <w:rPr>
          <w:rFonts w:ascii="Times New Roman" w:cs="Times New Roman" w:eastAsia="Times New Roman" w:hAnsi="Times New Roman"/>
          <w:sz w:val="18"/>
          <w:szCs w:val="18"/>
          <w:b w:val="1"/>
          <w:bCs w:val="1"/>
          <w:color w:val="auto"/>
        </w:rPr>
      </w:pPr>
    </w:p>
    <w:p>
      <w:pPr>
        <w:jc w:val="both"/>
        <w:ind w:right="160" w:firstLine="517"/>
        <w:spacing w:after="0" w:line="262" w:lineRule="auto"/>
        <w:tabs>
          <w:tab w:leader="none" w:pos="73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68" w:lineRule="exact"/>
        <w:rPr>
          <w:rFonts w:ascii="Times New Roman" w:cs="Times New Roman" w:eastAsia="Times New Roman" w:hAnsi="Times New Roman"/>
          <w:sz w:val="18"/>
          <w:szCs w:val="18"/>
          <w:b w:val="1"/>
          <w:bCs w:val="1"/>
          <w:color w:val="auto"/>
        </w:rPr>
      </w:pPr>
    </w:p>
    <w:p>
      <w:pPr>
        <w:ind w:firstLine="517"/>
        <w:spacing w:after="0" w:line="259" w:lineRule="auto"/>
        <w:tabs>
          <w:tab w:leader="none" w:pos="77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71" w:lineRule="exact"/>
        <w:rPr>
          <w:rFonts w:ascii="Times New Roman" w:cs="Times New Roman" w:eastAsia="Times New Roman" w:hAnsi="Times New Roman"/>
          <w:sz w:val="18"/>
          <w:szCs w:val="18"/>
          <w:b w:val="1"/>
          <w:bCs w:val="1"/>
          <w:color w:val="auto"/>
        </w:rPr>
      </w:pPr>
    </w:p>
    <w:p>
      <w:pPr>
        <w:ind w:firstLine="517"/>
        <w:spacing w:after="0" w:line="262" w:lineRule="auto"/>
        <w:tabs>
          <w:tab w:leader="none" w:pos="72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68" w:lineRule="exact"/>
        <w:rPr>
          <w:rFonts w:ascii="Times New Roman" w:cs="Times New Roman" w:eastAsia="Times New Roman" w:hAnsi="Times New Roman"/>
          <w:sz w:val="18"/>
          <w:szCs w:val="18"/>
          <w:b w:val="1"/>
          <w:bCs w:val="1"/>
          <w:color w:val="auto"/>
        </w:rPr>
      </w:pPr>
    </w:p>
    <w:p>
      <w:pPr>
        <w:ind w:right="220" w:firstLine="517"/>
        <w:spacing w:after="0" w:line="268" w:lineRule="auto"/>
        <w:tabs>
          <w:tab w:leader="none" w:pos="823"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62" w:lineRule="exact"/>
        <w:rPr>
          <w:rFonts w:ascii="Times New Roman" w:cs="Times New Roman" w:eastAsia="Times New Roman" w:hAnsi="Times New Roman"/>
          <w:sz w:val="18"/>
          <w:szCs w:val="18"/>
          <w:b w:val="1"/>
          <w:bCs w:val="1"/>
          <w:color w:val="auto"/>
        </w:rPr>
      </w:pPr>
    </w:p>
    <w:p>
      <w:pPr>
        <w:ind w:right="80" w:firstLine="517"/>
        <w:spacing w:after="0" w:line="253" w:lineRule="auto"/>
        <w:tabs>
          <w:tab w:leader="none" w:pos="77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82" w:lineRule="exact"/>
        <w:rPr>
          <w:sz w:val="20"/>
          <w:szCs w:val="20"/>
          <w:color w:val="auto"/>
        </w:rPr>
      </w:pPr>
    </w:p>
    <w:p>
      <w:pPr>
        <w:ind w:right="120" w:firstLine="517"/>
        <w:spacing w:after="0" w:line="268" w:lineRule="auto"/>
        <w:tabs>
          <w:tab w:leader="none" w:pos="764"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197"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15" w:lineRule="exact"/>
        <w:rPr>
          <w:sz w:val="20"/>
          <w:szCs w:val="20"/>
          <w:color w:val="auto"/>
        </w:rPr>
      </w:pPr>
    </w:p>
    <w:p>
      <w:pPr>
        <w:ind w:left="480" w:hanging="459"/>
        <w:spacing w:after="0"/>
        <w:tabs>
          <w:tab w:leader="none" w:pos="4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18"/>
          <w:szCs w:val="18"/>
          <w:b w:val="1"/>
          <w:bCs w:val="1"/>
          <w:color w:val="auto"/>
        </w:rPr>
        <w:t xml:space="preserve"> 409</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160" w:firstLine="517"/>
        <w:spacing w:after="0" w:line="286" w:lineRule="auto"/>
        <w:tabs>
          <w:tab w:leader="none" w:pos="764"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 Exempt Award.</w:t>
      </w:r>
    </w:p>
    <w:p>
      <w:pPr>
        <w:spacing w:after="0" w:line="46" w:lineRule="exact"/>
        <w:rPr>
          <w:rFonts w:ascii="Times New Roman" w:cs="Times New Roman" w:eastAsia="Times New Roman" w:hAnsi="Times New Roman"/>
          <w:sz w:val="18"/>
          <w:szCs w:val="18"/>
          <w:b w:val="1"/>
          <w:bCs w:val="1"/>
          <w:color w:val="auto"/>
        </w:rPr>
      </w:pPr>
    </w:p>
    <w:p>
      <w:pPr>
        <w:ind w:right="80" w:firstLine="517"/>
        <w:spacing w:after="0" w:line="286" w:lineRule="auto"/>
        <w:tabs>
          <w:tab w:leader="none" w:pos="774"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application of a Non-Exempt Severance Arrangement, the following provisions of this subsection (b) apply.</w:t>
      </w:r>
    </w:p>
    <w:p>
      <w:pPr>
        <w:spacing w:after="0" w:line="50" w:lineRule="exact"/>
        <w:rPr>
          <w:rFonts w:ascii="Times New Roman" w:cs="Times New Roman" w:eastAsia="Times New Roman" w:hAnsi="Times New Roman"/>
          <w:sz w:val="18"/>
          <w:szCs w:val="18"/>
          <w:b w:val="1"/>
          <w:bCs w:val="1"/>
          <w:color w:val="auto"/>
        </w:rPr>
      </w:pPr>
    </w:p>
    <w:p>
      <w:pPr>
        <w:ind w:firstLine="1154"/>
        <w:spacing w:after="0" w:line="260" w:lineRule="auto"/>
        <w:tabs>
          <w:tab w:leader="none" w:pos="136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65" w:lineRule="exact"/>
        <w:rPr>
          <w:rFonts w:ascii="Times New Roman" w:cs="Times New Roman" w:eastAsia="Times New Roman" w:hAnsi="Times New Roman"/>
          <w:sz w:val="18"/>
          <w:szCs w:val="18"/>
          <w:b w:val="1"/>
          <w:bCs w:val="1"/>
          <w:color w:val="auto"/>
        </w:rPr>
      </w:pPr>
    </w:p>
    <w:p>
      <w:pPr>
        <w:ind w:right="20" w:firstLine="1154"/>
        <w:spacing w:after="0" w:line="251" w:lineRule="auto"/>
        <w:tabs>
          <w:tab w:leader="none" w:pos="141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 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80" w:lineRule="exact"/>
        <w:rPr>
          <w:rFonts w:ascii="Times New Roman" w:cs="Times New Roman" w:eastAsia="Times New Roman" w:hAnsi="Times New Roman"/>
          <w:sz w:val="18"/>
          <w:szCs w:val="18"/>
          <w:b w:val="1"/>
          <w:bCs w:val="1"/>
          <w:color w:val="auto"/>
        </w:rPr>
      </w:pPr>
    </w:p>
    <w:p>
      <w:pPr>
        <w:ind w:firstLine="1154"/>
        <w:spacing w:after="0" w:line="255" w:lineRule="auto"/>
        <w:tabs>
          <w:tab w:leader="none" w:pos="146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 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76" w:lineRule="exact"/>
        <w:rPr>
          <w:rFonts w:ascii="Times New Roman" w:cs="Times New Roman" w:eastAsia="Times New Roman" w:hAnsi="Times New Roman"/>
          <w:sz w:val="18"/>
          <w:szCs w:val="18"/>
          <w:b w:val="1"/>
          <w:bCs w:val="1"/>
          <w:color w:val="auto"/>
        </w:rPr>
      </w:pPr>
    </w:p>
    <w:p>
      <w:pPr>
        <w:ind w:right="200" w:firstLine="517"/>
        <w:spacing w:after="0" w:line="262" w:lineRule="auto"/>
        <w:tabs>
          <w:tab w:leader="none" w:pos="753"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 Exempt Award in connection with a Corporate Transaction if the Participant was either an Employee or Consultant upon the applicable date of grant of the Non-Exempt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82" w:lineRule="exact"/>
        <w:rPr>
          <w:sz w:val="20"/>
          <w:szCs w:val="20"/>
          <w:color w:val="auto"/>
        </w:rPr>
      </w:pPr>
    </w:p>
    <w:p>
      <w:pPr>
        <w:ind w:left="1360" w:hanging="206"/>
        <w:spacing w:after="0"/>
        <w:tabs>
          <w:tab w:leader="none" w:pos="13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9" w:lineRule="exact"/>
        <w:rPr>
          <w:sz w:val="20"/>
          <w:szCs w:val="20"/>
          <w:color w:val="auto"/>
        </w:rPr>
      </w:pPr>
    </w:p>
    <w:p>
      <w:pPr>
        <w:ind w:firstLine="1663"/>
        <w:spacing w:after="0" w:line="258" w:lineRule="auto"/>
        <w:tabs>
          <w:tab w:leader="none" w:pos="1909"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15" w:lineRule="exact"/>
        <w:rPr>
          <w:rFonts w:ascii="Times New Roman" w:cs="Times New Roman" w:eastAsia="Times New Roman" w:hAnsi="Times New Roman"/>
          <w:sz w:val="18"/>
          <w:szCs w:val="18"/>
          <w:b w:val="1"/>
          <w:bCs w:val="1"/>
          <w:color w:val="auto"/>
        </w:rPr>
      </w:pPr>
    </w:p>
    <w:p>
      <w:pPr>
        <w:ind w:right="360" w:firstLine="1663"/>
        <w:spacing w:after="0" w:line="256" w:lineRule="auto"/>
        <w:tabs>
          <w:tab w:leader="none" w:pos="1909"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 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75" w:lineRule="exact"/>
        <w:rPr>
          <w:rFonts w:ascii="Times New Roman" w:cs="Times New Roman" w:eastAsia="Times New Roman" w:hAnsi="Times New Roman"/>
          <w:sz w:val="18"/>
          <w:szCs w:val="18"/>
          <w:b w:val="1"/>
          <w:bCs w:val="1"/>
          <w:color w:val="auto"/>
        </w:rPr>
      </w:pPr>
    </w:p>
    <w:p>
      <w:pPr>
        <w:ind w:right="740" w:firstLine="1154"/>
        <w:spacing w:after="0" w:line="286" w:lineRule="auto"/>
        <w:tabs>
          <w:tab w:leader="none" w:pos="1410"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50" w:lineRule="exact"/>
        <w:rPr>
          <w:rFonts w:ascii="Times New Roman" w:cs="Times New Roman" w:eastAsia="Times New Roman" w:hAnsi="Times New Roman"/>
          <w:sz w:val="18"/>
          <w:szCs w:val="18"/>
          <w:b w:val="1"/>
          <w:bCs w:val="1"/>
          <w:color w:val="auto"/>
        </w:rPr>
      </w:pPr>
    </w:p>
    <w:p>
      <w:pPr>
        <w:ind w:right="180" w:firstLine="1663"/>
        <w:spacing w:after="0" w:line="255" w:lineRule="auto"/>
        <w:tabs>
          <w:tab w:leader="none" w:pos="1909" w:val="left"/>
        </w:tabs>
        <w:numPr>
          <w:ilvl w:val="2"/>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80" w:lineRule="exact"/>
        <w:rPr>
          <w:rFonts w:ascii="Times New Roman" w:cs="Times New Roman" w:eastAsia="Times New Roman" w:hAnsi="Times New Roman"/>
          <w:sz w:val="18"/>
          <w:szCs w:val="18"/>
          <w:b w:val="1"/>
          <w:bCs w:val="1"/>
          <w:color w:val="auto"/>
        </w:rPr>
      </w:pPr>
    </w:p>
    <w:p>
      <w:pPr>
        <w:ind w:right="60" w:firstLine="1663"/>
        <w:spacing w:after="0" w:line="254" w:lineRule="auto"/>
        <w:tabs>
          <w:tab w:leader="none" w:pos="1909" w:val="left"/>
        </w:tabs>
        <w:numPr>
          <w:ilvl w:val="2"/>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83" w:lineRule="exact"/>
        <w:rPr>
          <w:rFonts w:ascii="Times New Roman" w:cs="Times New Roman" w:eastAsia="Times New Roman" w:hAnsi="Times New Roman"/>
          <w:sz w:val="18"/>
          <w:szCs w:val="18"/>
          <w:b w:val="1"/>
          <w:bCs w:val="1"/>
          <w:color w:val="auto"/>
        </w:rPr>
      </w:pPr>
    </w:p>
    <w:p>
      <w:pPr>
        <w:ind w:right="400" w:firstLine="1663"/>
        <w:spacing w:after="0" w:line="282" w:lineRule="auto"/>
        <w:tabs>
          <w:tab w:leader="none" w:pos="1909" w:val="left"/>
        </w:tabs>
        <w:numPr>
          <w:ilvl w:val="2"/>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49" w:lineRule="exact"/>
        <w:rPr>
          <w:rFonts w:ascii="Times New Roman" w:cs="Times New Roman" w:eastAsia="Times New Roman" w:hAnsi="Times New Roman"/>
          <w:sz w:val="18"/>
          <w:szCs w:val="18"/>
          <w:b w:val="1"/>
          <w:bCs w:val="1"/>
          <w:color w:val="auto"/>
        </w:rPr>
      </w:pPr>
    </w:p>
    <w:p>
      <w:pPr>
        <w:ind w:right="280" w:firstLine="517"/>
        <w:spacing w:after="0" w:line="268" w:lineRule="auto"/>
        <w:tabs>
          <w:tab w:leader="none" w:pos="77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07" w:lineRule="exact"/>
        <w:rPr>
          <w:rFonts w:ascii="Times New Roman" w:cs="Times New Roman" w:eastAsia="Times New Roman" w:hAnsi="Times New Roman"/>
          <w:sz w:val="18"/>
          <w:szCs w:val="18"/>
          <w:b w:val="1"/>
          <w:bCs w:val="1"/>
          <w:color w:val="auto"/>
        </w:rPr>
      </w:pPr>
    </w:p>
    <w:p>
      <w:pPr>
        <w:ind w:right="80" w:firstLine="1154"/>
        <w:spacing w:after="0" w:line="261" w:lineRule="auto"/>
        <w:tabs>
          <w:tab w:leader="none" w:pos="1360"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that would otherwise be issued to the Participant upon the Section 409A Change in Control pursuant to the preceding provision.</w:t>
      </w:r>
    </w:p>
    <w:p>
      <w:pPr>
        <w:spacing w:after="0" w:line="117" w:lineRule="exact"/>
        <w:rPr>
          <w:sz w:val="20"/>
          <w:szCs w:val="20"/>
          <w:color w:val="auto"/>
        </w:rPr>
      </w:pPr>
    </w:p>
    <w:p>
      <w:pPr>
        <w:ind w:right="220" w:firstLine="1154"/>
        <w:spacing w:after="0" w:line="255" w:lineRule="auto"/>
        <w:tabs>
          <w:tab w:leader="none" w:pos="1410"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80" w:lineRule="exact"/>
        <w:rPr>
          <w:rFonts w:ascii="Times New Roman" w:cs="Times New Roman" w:eastAsia="Times New Roman" w:hAnsi="Times New Roman"/>
          <w:sz w:val="18"/>
          <w:szCs w:val="18"/>
          <w:b w:val="1"/>
          <w:bCs w:val="1"/>
          <w:color w:val="auto"/>
        </w:rPr>
      </w:pPr>
    </w:p>
    <w:p>
      <w:pPr>
        <w:ind w:right="80" w:firstLine="517"/>
        <w:spacing w:after="0" w:line="282" w:lineRule="auto"/>
        <w:tabs>
          <w:tab w:leader="none" w:pos="75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53" w:lineRule="exact"/>
        <w:rPr>
          <w:rFonts w:ascii="Times New Roman" w:cs="Times New Roman" w:eastAsia="Times New Roman" w:hAnsi="Times New Roman"/>
          <w:sz w:val="18"/>
          <w:szCs w:val="18"/>
          <w:b w:val="1"/>
          <w:bCs w:val="1"/>
          <w:color w:val="auto"/>
        </w:rPr>
      </w:pPr>
    </w:p>
    <w:p>
      <w:pPr>
        <w:ind w:right="180" w:firstLine="1154"/>
        <w:spacing w:after="0" w:line="266" w:lineRule="auto"/>
        <w:tabs>
          <w:tab w:leader="none" w:pos="136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 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68" w:lineRule="exact"/>
        <w:rPr>
          <w:sz w:val="20"/>
          <w:szCs w:val="20"/>
          <w:color w:val="auto"/>
        </w:rPr>
      </w:pPr>
    </w:p>
    <w:p>
      <w:pPr>
        <w:ind w:right="200" w:firstLine="1154"/>
        <w:spacing w:after="0" w:line="282" w:lineRule="auto"/>
        <w:tabs>
          <w:tab w:leader="none" w:pos="141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1.409A- 3(j)(4)(ix).</w:t>
      </w:r>
    </w:p>
    <w:p>
      <w:pPr>
        <w:spacing w:after="0" w:line="53" w:lineRule="exact"/>
        <w:rPr>
          <w:rFonts w:ascii="Times New Roman" w:cs="Times New Roman" w:eastAsia="Times New Roman" w:hAnsi="Times New Roman"/>
          <w:sz w:val="18"/>
          <w:szCs w:val="18"/>
          <w:b w:val="1"/>
          <w:bCs w:val="1"/>
          <w:color w:val="auto"/>
        </w:rPr>
      </w:pPr>
    </w:p>
    <w:p>
      <w:pPr>
        <w:ind w:firstLine="1154"/>
        <w:spacing w:after="0" w:line="254" w:lineRule="auto"/>
        <w:tabs>
          <w:tab w:leader="none" w:pos="14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83" w:lineRule="exact"/>
        <w:rPr>
          <w:rFonts w:ascii="Times New Roman" w:cs="Times New Roman" w:eastAsia="Times New Roman" w:hAnsi="Times New Roman"/>
          <w:sz w:val="18"/>
          <w:szCs w:val="18"/>
          <w:b w:val="1"/>
          <w:bCs w:val="1"/>
          <w:color w:val="auto"/>
        </w:rPr>
      </w:pPr>
    </w:p>
    <w:p>
      <w:pPr>
        <w:ind w:right="280" w:firstLine="1154"/>
        <w:spacing w:after="0" w:line="266" w:lineRule="auto"/>
        <w:tabs>
          <w:tab w:leader="none" w:pos="145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99" w:lineRule="exact"/>
        <w:rPr>
          <w:sz w:val="20"/>
          <w:szCs w:val="20"/>
          <w:color w:val="auto"/>
        </w:rPr>
      </w:pPr>
    </w:p>
    <w:p>
      <w:pPr>
        <w:ind w:left="480" w:hanging="459"/>
        <w:spacing w:after="0"/>
        <w:tabs>
          <w:tab w:leader="none" w:pos="4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3" w:lineRule="exact"/>
        <w:rPr>
          <w:sz w:val="20"/>
          <w:szCs w:val="20"/>
          <w:color w:val="auto"/>
        </w:rPr>
      </w:pPr>
    </w:p>
    <w:p>
      <w:pPr>
        <w:ind w:left="480" w:hanging="459"/>
        <w:spacing w:after="0"/>
        <w:tabs>
          <w:tab w:leader="none" w:pos="4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right="360" w:firstLine="8"/>
        <w:spacing w:after="0" w:line="260" w:lineRule="auto"/>
        <w:tabs>
          <w:tab w:leader="none" w:pos="2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5" w:name="page176"/>
    <w:bookmarkEnd w:id="175"/>
    <w:p>
      <w:pPr>
        <w:spacing w:after="0" w:line="365" w:lineRule="exact"/>
        <w:rPr>
          <w:sz w:val="20"/>
          <w:szCs w:val="20"/>
          <w:color w:val="auto"/>
        </w:rPr>
      </w:pPr>
    </w:p>
    <w:p>
      <w:pPr>
        <w:ind w:left="480" w:hanging="459"/>
        <w:spacing w:after="0"/>
        <w:tabs>
          <w:tab w:leader="none" w:pos="4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13" w:lineRule="exact"/>
        <w:rPr>
          <w:sz w:val="20"/>
          <w:szCs w:val="20"/>
          <w:color w:val="auto"/>
        </w:rPr>
      </w:pPr>
    </w:p>
    <w:p>
      <w:pPr>
        <w:ind w:left="780" w:hanging="263"/>
        <w:spacing w:after="0"/>
        <w:tabs>
          <w:tab w:leader="none" w:pos="7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117" w:lineRule="exact"/>
        <w:rPr>
          <w:rFonts w:ascii="Times New Roman" w:cs="Times New Roman" w:eastAsia="Times New Roman" w:hAnsi="Times New Roman"/>
          <w:sz w:val="18"/>
          <w:szCs w:val="18"/>
          <w:b w:val="1"/>
          <w:bCs w:val="1"/>
          <w:color w:val="auto"/>
        </w:rPr>
      </w:pPr>
    </w:p>
    <w:p>
      <w:pPr>
        <w:jc w:val="both"/>
        <w:ind w:right="40" w:firstLine="517"/>
        <w:spacing w:after="0" w:line="317" w:lineRule="auto"/>
        <w:tabs>
          <w:tab w:leader="none" w:pos="754"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23" w:lineRule="exact"/>
        <w:rPr>
          <w:rFonts w:ascii="Times New Roman" w:cs="Times New Roman" w:eastAsia="Times New Roman" w:hAnsi="Times New Roman"/>
          <w:sz w:val="17"/>
          <w:szCs w:val="17"/>
          <w:b w:val="1"/>
          <w:bCs w:val="1"/>
          <w:color w:val="auto"/>
        </w:rPr>
      </w:pPr>
    </w:p>
    <w:p>
      <w:pPr>
        <w:ind w:right="40" w:firstLine="517"/>
        <w:spacing w:after="0" w:line="262" w:lineRule="auto"/>
        <w:tabs>
          <w:tab w:leader="none" w:pos="77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 regulating organization such as the Nasdaq Stock Market, New York Stock Exchange, or the Financial Industry Regulatory Authority).</w:t>
      </w:r>
    </w:p>
    <w:p>
      <w:pPr>
        <w:spacing w:after="0" w:line="68" w:lineRule="exact"/>
        <w:rPr>
          <w:rFonts w:ascii="Times New Roman" w:cs="Times New Roman" w:eastAsia="Times New Roman" w:hAnsi="Times New Roman"/>
          <w:sz w:val="18"/>
          <w:szCs w:val="18"/>
          <w:b w:val="1"/>
          <w:bCs w:val="1"/>
          <w:color w:val="auto"/>
        </w:rPr>
      </w:pPr>
    </w:p>
    <w:p>
      <w:pPr>
        <w:ind w:right="500" w:firstLine="517"/>
        <w:spacing w:after="0" w:line="286" w:lineRule="auto"/>
        <w:tabs>
          <w:tab w:leader="none" w:pos="75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46" w:lineRule="exact"/>
        <w:rPr>
          <w:rFonts w:ascii="Times New Roman" w:cs="Times New Roman" w:eastAsia="Times New Roman" w:hAnsi="Times New Roman"/>
          <w:sz w:val="18"/>
          <w:szCs w:val="18"/>
          <w:b w:val="1"/>
          <w:bCs w:val="1"/>
          <w:color w:val="auto"/>
        </w:rPr>
      </w:pPr>
    </w:p>
    <w:p>
      <w:pPr>
        <w:ind w:right="100" w:firstLine="517"/>
        <w:spacing w:after="0" w:line="268" w:lineRule="auto"/>
        <w:tabs>
          <w:tab w:leader="none" w:pos="73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62"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76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62" w:lineRule="exact"/>
        <w:rPr>
          <w:rFonts w:ascii="Times New Roman" w:cs="Times New Roman" w:eastAsia="Times New Roman" w:hAnsi="Times New Roman"/>
          <w:sz w:val="18"/>
          <w:szCs w:val="18"/>
          <w:b w:val="1"/>
          <w:bCs w:val="1"/>
          <w:color w:val="auto"/>
        </w:rPr>
      </w:pPr>
    </w:p>
    <w:p>
      <w:pPr>
        <w:jc w:val="both"/>
        <w:ind w:firstLine="517"/>
        <w:spacing w:after="0" w:line="255" w:lineRule="auto"/>
        <w:tabs>
          <w:tab w:leader="none" w:pos="77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the conversion of any convertible securities of the Company will not be treated as a Capitalization Adjustment.</w:t>
      </w:r>
    </w:p>
    <w:p>
      <w:pPr>
        <w:spacing w:after="0" w:line="135" w:lineRule="exact"/>
        <w:rPr>
          <w:rFonts w:ascii="Times New Roman" w:cs="Times New Roman" w:eastAsia="Times New Roman" w:hAnsi="Times New Roman"/>
          <w:sz w:val="18"/>
          <w:szCs w:val="18"/>
          <w:b w:val="1"/>
          <w:bCs w:val="1"/>
          <w:color w:val="auto"/>
        </w:rPr>
      </w:pPr>
    </w:p>
    <w:p>
      <w:pPr>
        <w:ind w:right="60" w:firstLine="517"/>
        <w:spacing w:after="0" w:line="253" w:lineRule="auto"/>
        <w:tabs>
          <w:tab w:leader="none" w:pos="7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ind w:right="240"/>
        <w:spacing w:after="0" w:line="282" w:lineRule="auto"/>
        <w:rPr>
          <w:sz w:val="20"/>
          <w:szCs w:val="20"/>
          <w:color w:val="auto"/>
        </w:rPr>
      </w:pPr>
      <w:r>
        <w:rPr>
          <w:rFonts w:ascii="Times New Roman" w:cs="Times New Roman" w:eastAsia="Times New Roman" w:hAnsi="Times New Roman"/>
          <w:sz w:val="18"/>
          <w:szCs w:val="18"/>
          <w:color w:val="auto"/>
        </w:rPr>
        <w:t>without Cause for the purposes of outstanding Awards held by such Participant will have no effect upon any determination of the rights or obligations of the Company or such Participant for any other purpose.</w:t>
      </w:r>
    </w:p>
    <w:p>
      <w:pPr>
        <w:spacing w:after="0" w:line="50" w:lineRule="exact"/>
        <w:rPr>
          <w:sz w:val="20"/>
          <w:szCs w:val="20"/>
          <w:color w:val="auto"/>
        </w:rPr>
      </w:pPr>
    </w:p>
    <w:p>
      <w:pPr>
        <w:ind w:right="260" w:firstLine="517"/>
        <w:spacing w:after="0" w:line="286" w:lineRule="auto"/>
        <w:tabs>
          <w:tab w:leader="none" w:pos="73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firstLine="1154"/>
        <w:spacing w:after="0" w:line="253" w:lineRule="auto"/>
        <w:tabs>
          <w:tab w:leader="none" w:pos="1360"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24" w:lineRule="exact"/>
        <w:rPr>
          <w:rFonts w:ascii="Times New Roman" w:cs="Times New Roman" w:eastAsia="Times New Roman" w:hAnsi="Times New Roman"/>
          <w:sz w:val="18"/>
          <w:szCs w:val="18"/>
          <w:b w:val="1"/>
          <w:bCs w:val="1"/>
          <w:color w:val="auto"/>
        </w:rPr>
      </w:pPr>
    </w:p>
    <w:p>
      <w:pPr>
        <w:ind w:right="140" w:firstLine="1154"/>
        <w:spacing w:after="0" w:line="256" w:lineRule="auto"/>
        <w:tabs>
          <w:tab w:leader="none" w:pos="1410"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79" w:lineRule="exact"/>
        <w:rPr>
          <w:rFonts w:ascii="Times New Roman" w:cs="Times New Roman" w:eastAsia="Times New Roman" w:hAnsi="Times New Roman"/>
          <w:sz w:val="18"/>
          <w:szCs w:val="18"/>
          <w:b w:val="1"/>
          <w:bCs w:val="1"/>
          <w:color w:val="auto"/>
        </w:rPr>
      </w:pPr>
    </w:p>
    <w:p>
      <w:pPr>
        <w:ind w:right="80" w:firstLine="1154"/>
        <w:spacing w:after="0" w:line="258" w:lineRule="auto"/>
        <w:tabs>
          <w:tab w:leader="none" w:pos="1460"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1" w:lineRule="exact"/>
        <w:rPr>
          <w:rFonts w:ascii="Times New Roman" w:cs="Times New Roman" w:eastAsia="Times New Roman" w:hAnsi="Times New Roman"/>
          <w:sz w:val="18"/>
          <w:szCs w:val="18"/>
          <w:b w:val="1"/>
          <w:bCs w:val="1"/>
          <w:color w:val="auto"/>
        </w:rPr>
      </w:pPr>
    </w:p>
    <w:p>
      <w:pPr>
        <w:ind w:right="180" w:firstLine="1154"/>
        <w:spacing w:after="0" w:line="262" w:lineRule="auto"/>
        <w:tabs>
          <w:tab w:leader="none" w:pos="1450"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77" w:lineRule="exact"/>
        <w:rPr>
          <w:sz w:val="20"/>
          <w:szCs w:val="20"/>
          <w:color w:val="auto"/>
        </w:rPr>
      </w:pPr>
    </w:p>
    <w:p>
      <w:pPr>
        <w:ind w:left="780" w:hanging="263"/>
        <w:spacing w:after="0"/>
        <w:tabs>
          <w:tab w:leader="none" w:pos="7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117" w:lineRule="exact"/>
        <w:rPr>
          <w:rFonts w:ascii="Times New Roman" w:cs="Times New Roman" w:eastAsia="Times New Roman" w:hAnsi="Times New Roman"/>
          <w:sz w:val="18"/>
          <w:szCs w:val="18"/>
          <w:b w:val="1"/>
          <w:bCs w:val="1"/>
          <w:color w:val="auto"/>
        </w:rPr>
      </w:pPr>
    </w:p>
    <w:p>
      <w:pPr>
        <w:ind w:right="200" w:firstLine="517"/>
        <w:spacing w:after="0" w:line="286" w:lineRule="auto"/>
        <w:tabs>
          <w:tab w:leader="none" w:pos="72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7" w:name="page178"/>
    <w:bookmarkEnd w:id="177"/>
    <w:p>
      <w:pPr>
        <w:spacing w:after="0" w:line="82" w:lineRule="exact"/>
        <w:rPr>
          <w:sz w:val="20"/>
          <w:szCs w:val="20"/>
          <w:color w:val="auto"/>
        </w:rPr>
      </w:pPr>
    </w:p>
    <w:p>
      <w:pPr>
        <w:ind w:left="840" w:hanging="323"/>
        <w:spacing w:after="0"/>
        <w:tabs>
          <w:tab w:leader="none" w:pos="840"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Invivyd, Inc., a Delaware corporation.</w:t>
      </w:r>
    </w:p>
    <w:p>
      <w:pPr>
        <w:spacing w:after="0" w:line="15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17" w:lineRule="exact"/>
        <w:rPr>
          <w:rFonts w:ascii="Times New Roman" w:cs="Times New Roman" w:eastAsia="Times New Roman" w:hAnsi="Times New Roman"/>
          <w:sz w:val="18"/>
          <w:szCs w:val="18"/>
          <w:b w:val="1"/>
          <w:bCs w:val="1"/>
          <w:color w:val="auto"/>
        </w:rPr>
      </w:pPr>
    </w:p>
    <w:p>
      <w:pPr>
        <w:ind w:right="80" w:firstLine="517"/>
        <w:spacing w:after="0" w:line="259" w:lineRule="auto"/>
        <w:tabs>
          <w:tab w:leader="none" w:pos="774"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71" w:lineRule="exact"/>
        <w:rPr>
          <w:rFonts w:ascii="Times New Roman" w:cs="Times New Roman" w:eastAsia="Times New Roman" w:hAnsi="Times New Roman"/>
          <w:sz w:val="18"/>
          <w:szCs w:val="18"/>
          <w:b w:val="1"/>
          <w:bCs w:val="1"/>
          <w:color w:val="auto"/>
        </w:rPr>
      </w:pPr>
    </w:p>
    <w:p>
      <w:pPr>
        <w:ind w:right="20" w:firstLine="517"/>
        <w:spacing w:after="0" w:line="253" w:lineRule="auto"/>
        <w:tabs>
          <w:tab w:leader="none" w:pos="774"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w:t>
      </w:r>
    </w:p>
    <w:p>
      <w:pPr>
        <w:spacing w:after="0" w:line="4" w:lineRule="exact"/>
        <w:rPr>
          <w:rFonts w:ascii="Times New Roman" w:cs="Times New Roman" w:eastAsia="Times New Roman" w:hAnsi="Times New Roman"/>
          <w:sz w:val="18"/>
          <w:szCs w:val="18"/>
          <w:b w:val="1"/>
          <w:bCs w:val="1"/>
          <w:color w:val="auto"/>
        </w:rPr>
      </w:pPr>
    </w:p>
    <w:p>
      <w:pPr>
        <w:ind w:right="180" w:firstLine="8"/>
        <w:spacing w:after="0" w:line="252" w:lineRule="auto"/>
        <w:tabs>
          <w:tab w:leader="none" w:pos="2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76" w:lineRule="exact"/>
        <w:rPr>
          <w:rFonts w:ascii="Times New Roman" w:cs="Times New Roman" w:eastAsia="Times New Roman" w:hAnsi="Times New Roman"/>
          <w:sz w:val="18"/>
          <w:szCs w:val="18"/>
          <w:color w:val="auto"/>
        </w:rPr>
      </w:pPr>
    </w:p>
    <w:p>
      <w:pPr>
        <w:ind w:right="560" w:firstLine="517"/>
        <w:spacing w:after="0" w:line="286" w:lineRule="auto"/>
        <w:tabs>
          <w:tab w:leader="none" w:pos="754"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2"/>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98"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2"/>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17" w:lineRule="exact"/>
        <w:rPr>
          <w:rFonts w:ascii="Times New Roman" w:cs="Times New Roman" w:eastAsia="Times New Roman" w:hAnsi="Times New Roman"/>
          <w:sz w:val="18"/>
          <w:szCs w:val="18"/>
          <w:b w:val="1"/>
          <w:bCs w:val="1"/>
          <w:color w:val="auto"/>
        </w:rPr>
      </w:pPr>
    </w:p>
    <w:p>
      <w:pPr>
        <w:ind w:left="1460" w:hanging="306"/>
        <w:spacing w:after="0"/>
        <w:tabs>
          <w:tab w:leader="none" w:pos="1460" w:val="left"/>
        </w:tabs>
        <w:numPr>
          <w:ilvl w:val="2"/>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57" w:lineRule="exact"/>
        <w:rPr>
          <w:rFonts w:ascii="Times New Roman" w:cs="Times New Roman" w:eastAsia="Times New Roman" w:hAnsi="Times New Roman"/>
          <w:sz w:val="18"/>
          <w:szCs w:val="18"/>
          <w:b w:val="1"/>
          <w:bCs w:val="1"/>
          <w:color w:val="auto"/>
        </w:rPr>
      </w:pPr>
    </w:p>
    <w:p>
      <w:pPr>
        <w:ind w:right="280" w:firstLine="1154"/>
        <w:spacing w:after="0" w:line="266" w:lineRule="auto"/>
        <w:tabs>
          <w:tab w:leader="none" w:pos="1450" w:val="left"/>
        </w:tabs>
        <w:numPr>
          <w:ilvl w:val="2"/>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82" w:lineRule="exact"/>
        <w:rPr>
          <w:sz w:val="20"/>
          <w:szCs w:val="20"/>
          <w:color w:val="auto"/>
        </w:rPr>
      </w:pPr>
    </w:p>
    <w:p>
      <w:pPr>
        <w:ind w:left="760" w:hanging="243"/>
        <w:spacing w:after="0"/>
        <w:tabs>
          <w:tab w:leader="none" w:pos="7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rFonts w:ascii="Times New Roman" w:cs="Times New Roman" w:eastAsia="Times New Roman" w:hAnsi="Times New Roman"/>
          <w:sz w:val="18"/>
          <w:szCs w:val="18"/>
          <w:b w:val="1"/>
          <w:bCs w:val="1"/>
          <w:color w:val="auto"/>
        </w:rPr>
      </w:pPr>
    </w:p>
    <w:p>
      <w:pPr>
        <w:ind w:left="740" w:hanging="223"/>
        <w:spacing w:after="0"/>
        <w:tabs>
          <w:tab w:leader="none" w:pos="7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117" w:lineRule="exact"/>
        <w:rPr>
          <w:rFonts w:ascii="Times New Roman" w:cs="Times New Roman" w:eastAsia="Times New Roman" w:hAnsi="Times New Roman"/>
          <w:sz w:val="18"/>
          <w:szCs w:val="18"/>
          <w:b w:val="1"/>
          <w:bCs w:val="1"/>
          <w:color w:val="auto"/>
        </w:rPr>
      </w:pPr>
    </w:p>
    <w:p>
      <w:pPr>
        <w:jc w:val="both"/>
        <w:ind w:right="600" w:firstLine="517"/>
        <w:spacing w:after="0" w:line="262" w:lineRule="auto"/>
        <w:tabs>
          <w:tab w:leader="none" w:pos="77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68"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immediately prior to the IPO Date, provided that this Plan is approved by the Company’s stockholders prior to the IPO</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94" w:lineRule="exact"/>
        <w:rPr>
          <w:rFonts w:ascii="Times New Roman" w:cs="Times New Roman" w:eastAsia="Times New Roman" w:hAnsi="Times New Roman"/>
          <w:sz w:val="18"/>
          <w:szCs w:val="18"/>
          <w:b w:val="1"/>
          <w:bCs w:val="1"/>
          <w:color w:val="auto"/>
        </w:rPr>
      </w:pPr>
    </w:p>
    <w:p>
      <w:pPr>
        <w:ind w:right="240" w:firstLine="517"/>
        <w:spacing w:after="0" w:line="286" w:lineRule="auto"/>
        <w:tabs>
          <w:tab w:leader="none" w:pos="80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4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17"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8" w:lineRule="exact"/>
        <w:rPr>
          <w:sz w:val="20"/>
          <w:szCs w:val="20"/>
          <w:color w:val="auto"/>
        </w:rPr>
      </w:pPr>
    </w:p>
    <w:p>
      <w:pPr>
        <w:ind w:firstLine="517"/>
        <w:spacing w:after="0" w:line="256" w:lineRule="auto"/>
        <w:tabs>
          <w:tab w:leader="none" w:pos="85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74" w:lineRule="exact"/>
        <w:rPr>
          <w:rFonts w:ascii="Times New Roman" w:cs="Times New Roman" w:eastAsia="Times New Roman" w:hAnsi="Times New Roman"/>
          <w:sz w:val="18"/>
          <w:szCs w:val="18"/>
          <w:b w:val="1"/>
          <w:bCs w:val="1"/>
          <w:color w:val="auto"/>
        </w:rPr>
      </w:pPr>
    </w:p>
    <w:p>
      <w:pPr>
        <w:ind w:right="260" w:firstLine="517"/>
        <w:spacing w:after="0" w:line="286" w:lineRule="auto"/>
        <w:tabs>
          <w:tab w:leader="none" w:pos="87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0" w:lineRule="exact"/>
        <w:rPr>
          <w:rFonts w:ascii="Times New Roman" w:cs="Times New Roman" w:eastAsia="Times New Roman" w:hAnsi="Times New Roman"/>
          <w:sz w:val="18"/>
          <w:szCs w:val="18"/>
          <w:b w:val="1"/>
          <w:bCs w:val="1"/>
          <w:color w:val="auto"/>
        </w:rPr>
      </w:pPr>
    </w:p>
    <w:p>
      <w:pPr>
        <w:ind w:right="100" w:firstLine="1154"/>
        <w:spacing w:after="0" w:line="266" w:lineRule="auto"/>
        <w:tabs>
          <w:tab w:leader="none" w:pos="136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67" w:lineRule="exact"/>
        <w:rPr>
          <w:rFonts w:ascii="Times New Roman" w:cs="Times New Roman" w:eastAsia="Times New Roman" w:hAnsi="Times New Roman"/>
          <w:sz w:val="18"/>
          <w:szCs w:val="18"/>
          <w:b w:val="1"/>
          <w:bCs w:val="1"/>
          <w:color w:val="auto"/>
        </w:rPr>
      </w:pPr>
    </w:p>
    <w:p>
      <w:pPr>
        <w:ind w:right="380" w:firstLine="1154"/>
        <w:spacing w:after="0" w:line="282" w:lineRule="auto"/>
        <w:tabs>
          <w:tab w:leader="none" w:pos="141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53" w:lineRule="exact"/>
        <w:rPr>
          <w:rFonts w:ascii="Times New Roman" w:cs="Times New Roman" w:eastAsia="Times New Roman" w:hAnsi="Times New Roman"/>
          <w:sz w:val="18"/>
          <w:szCs w:val="18"/>
          <w:b w:val="1"/>
          <w:bCs w:val="1"/>
          <w:color w:val="auto"/>
        </w:rPr>
      </w:pPr>
    </w:p>
    <w:p>
      <w:pPr>
        <w:ind w:right="680" w:firstLine="1154"/>
        <w:spacing w:after="0" w:line="282" w:lineRule="auto"/>
        <w:tabs>
          <w:tab w:leader="none" w:pos="146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49" w:lineRule="exact"/>
        <w:rPr>
          <w:rFonts w:ascii="Times New Roman" w:cs="Times New Roman" w:eastAsia="Times New Roman" w:hAnsi="Times New Roman"/>
          <w:sz w:val="18"/>
          <w:szCs w:val="18"/>
          <w:b w:val="1"/>
          <w:bCs w:val="1"/>
          <w:color w:val="auto"/>
        </w:rPr>
      </w:pPr>
    </w:p>
    <w:p>
      <w:pPr>
        <w:ind w:right="20" w:firstLine="517"/>
        <w:spacing w:after="0" w:line="257" w:lineRule="auto"/>
        <w:tabs>
          <w:tab w:leader="none" w:pos="833"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 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74" w:lineRule="exact"/>
        <w:rPr>
          <w:rFonts w:ascii="Times New Roman" w:cs="Times New Roman" w:eastAsia="Times New Roman" w:hAnsi="Times New Roman"/>
          <w:sz w:val="18"/>
          <w:szCs w:val="18"/>
          <w:b w:val="1"/>
          <w:bCs w:val="1"/>
          <w:color w:val="auto"/>
        </w:rPr>
      </w:pPr>
    </w:p>
    <w:p>
      <w:pPr>
        <w:ind w:right="360" w:firstLine="517"/>
        <w:spacing w:after="0" w:line="286" w:lineRule="auto"/>
        <w:tabs>
          <w:tab w:leader="none" w:pos="87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number of shares of Common Stock subject to the Award or potential cash payment right, (if any), the vesting schedule for the Award (if any) and other key terms applicable to the Award.</w:t>
      </w:r>
    </w:p>
    <w:p>
      <w:pPr>
        <w:spacing w:after="0" w:line="50" w:lineRule="exact"/>
        <w:rPr>
          <w:sz w:val="20"/>
          <w:szCs w:val="20"/>
          <w:color w:val="auto"/>
        </w:rPr>
      </w:pPr>
    </w:p>
    <w:p>
      <w:pPr>
        <w:ind w:right="100" w:firstLine="517"/>
        <w:spacing w:after="0" w:line="286" w:lineRule="auto"/>
        <w:tabs>
          <w:tab w:leader="none" w:pos="833"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87" w:lineRule="exact"/>
        <w:rPr>
          <w:rFonts w:ascii="Times New Roman" w:cs="Times New Roman" w:eastAsia="Times New Roman" w:hAnsi="Times New Roman"/>
          <w:sz w:val="18"/>
          <w:szCs w:val="18"/>
          <w:b w:val="1"/>
          <w:bCs w:val="1"/>
          <w:color w:val="auto"/>
        </w:rPr>
      </w:pPr>
    </w:p>
    <w:p>
      <w:pPr>
        <w:ind w:right="120" w:firstLine="517"/>
        <w:spacing w:after="0" w:line="286" w:lineRule="auto"/>
        <w:tabs>
          <w:tab w:leader="none" w:pos="79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46" w:lineRule="exact"/>
        <w:rPr>
          <w:rFonts w:ascii="Times New Roman" w:cs="Times New Roman" w:eastAsia="Times New Roman" w:hAnsi="Times New Roman"/>
          <w:sz w:val="18"/>
          <w:szCs w:val="18"/>
          <w:b w:val="1"/>
          <w:bCs w:val="1"/>
          <w:color w:val="auto"/>
        </w:rPr>
      </w:pPr>
    </w:p>
    <w:p>
      <w:pPr>
        <w:ind w:right="100" w:firstLine="517"/>
        <w:spacing w:after="0" w:line="255" w:lineRule="auto"/>
        <w:tabs>
          <w:tab w:leader="none" w:pos="85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6" w:lineRule="exact"/>
        <w:rPr>
          <w:rFonts w:ascii="Times New Roman" w:cs="Times New Roman" w:eastAsia="Times New Roman" w:hAnsi="Times New Roman"/>
          <w:sz w:val="18"/>
          <w:szCs w:val="18"/>
          <w:b w:val="1"/>
          <w:bCs w:val="1"/>
          <w:color w:val="auto"/>
        </w:rPr>
      </w:pPr>
    </w:p>
    <w:p>
      <w:pPr>
        <w:ind w:firstLine="517"/>
        <w:spacing w:after="0" w:line="257" w:lineRule="auto"/>
        <w:tabs>
          <w:tab w:leader="none" w:pos="87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74"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77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62" w:lineRule="exact"/>
        <w:rPr>
          <w:rFonts w:ascii="Times New Roman" w:cs="Times New Roman" w:eastAsia="Times New Roman" w:hAnsi="Times New Roman"/>
          <w:sz w:val="18"/>
          <w:szCs w:val="18"/>
          <w:b w:val="1"/>
          <w:bCs w:val="1"/>
          <w:color w:val="auto"/>
        </w:rPr>
      </w:pPr>
    </w:p>
    <w:p>
      <w:pPr>
        <w:ind w:left="800" w:hanging="283"/>
        <w:spacing w:after="0"/>
        <w:tabs>
          <w:tab w:leader="none" w:pos="80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Non-Exempt Director Award</w:t>
      </w:r>
      <w:r>
        <w:rPr>
          <w:rFonts w:ascii="Times New Roman" w:cs="Times New Roman" w:eastAsia="Times New Roman" w:hAnsi="Times New Roman"/>
          <w:sz w:val="17"/>
          <w:szCs w:val="17"/>
          <w:color w:val="auto"/>
        </w:rPr>
        <w:t>” means a Non-Exempt Award granted to a Participant who was a Director but not an Employee on the applicable</w:t>
      </w:r>
    </w:p>
    <w:p>
      <w:pPr>
        <w:spacing w:after="0" w:line="4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grant date.</w:t>
      </w:r>
    </w:p>
    <w:p>
      <w:pPr>
        <w:spacing w:after="0" w:line="94" w:lineRule="exact"/>
        <w:rPr>
          <w:rFonts w:ascii="Times New Roman" w:cs="Times New Roman" w:eastAsia="Times New Roman" w:hAnsi="Times New Roman"/>
          <w:sz w:val="17"/>
          <w:szCs w:val="17"/>
          <w:b w:val="1"/>
          <w:bCs w:val="1"/>
          <w:color w:val="auto"/>
        </w:rPr>
      </w:pPr>
    </w:p>
    <w:p>
      <w:pPr>
        <w:ind w:right="120" w:firstLine="517"/>
        <w:spacing w:after="0" w:line="259" w:lineRule="auto"/>
        <w:tabs>
          <w:tab w:leader="none" w:pos="87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71"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15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17" w:lineRule="exact"/>
        <w:rPr>
          <w:rFonts w:ascii="Times New Roman" w:cs="Times New Roman" w:eastAsia="Times New Roman" w:hAnsi="Times New Roman"/>
          <w:sz w:val="18"/>
          <w:szCs w:val="18"/>
          <w:b w:val="1"/>
          <w:bCs w:val="1"/>
          <w:color w:val="auto"/>
        </w:rPr>
      </w:pPr>
    </w:p>
    <w:p>
      <w:pPr>
        <w:ind w:left="880" w:hanging="363"/>
        <w:spacing w:after="0"/>
        <w:tabs>
          <w:tab w:leader="none" w:pos="8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117" w:lineRule="exact"/>
        <w:rPr>
          <w:rFonts w:ascii="Times New Roman" w:cs="Times New Roman" w:eastAsia="Times New Roman" w:hAnsi="Times New Roman"/>
          <w:sz w:val="18"/>
          <w:szCs w:val="18"/>
          <w:b w:val="1"/>
          <w:bCs w:val="1"/>
          <w:color w:val="auto"/>
        </w:rPr>
      </w:pPr>
    </w:p>
    <w:p>
      <w:pPr>
        <w:ind w:right="40" w:firstLine="517"/>
        <w:spacing w:after="0" w:line="262" w:lineRule="auto"/>
        <w:tabs>
          <w:tab w:leader="none" w:pos="85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82" w:lineRule="exact"/>
        <w:rPr>
          <w:sz w:val="20"/>
          <w:szCs w:val="20"/>
          <w:color w:val="auto"/>
        </w:rPr>
      </w:pPr>
    </w:p>
    <w:p>
      <w:pPr>
        <w:ind w:left="-517" w:right="820" w:firstLine="517"/>
        <w:spacing w:after="0" w:line="286" w:lineRule="auto"/>
        <w:tabs>
          <w:tab w:leader="none" w:pos="35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46" w:lineRule="exact"/>
        <w:rPr>
          <w:rFonts w:ascii="Times New Roman" w:cs="Times New Roman" w:eastAsia="Times New Roman" w:hAnsi="Times New Roman"/>
          <w:sz w:val="18"/>
          <w:szCs w:val="18"/>
          <w:b w:val="1"/>
          <w:bCs w:val="1"/>
          <w:color w:val="auto"/>
        </w:rPr>
      </w:pPr>
    </w:p>
    <w:p>
      <w:pPr>
        <w:jc w:val="both"/>
        <w:ind w:left="-517" w:right="140" w:firstLine="517"/>
        <w:spacing w:after="0" w:line="268" w:lineRule="auto"/>
        <w:tabs>
          <w:tab w:leader="none" w:pos="35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62" w:lineRule="exact"/>
        <w:rPr>
          <w:rFonts w:ascii="Times New Roman" w:cs="Times New Roman" w:eastAsia="Times New Roman" w:hAnsi="Times New Roman"/>
          <w:sz w:val="18"/>
          <w:szCs w:val="18"/>
          <w:b w:val="1"/>
          <w:bCs w:val="1"/>
          <w:color w:val="auto"/>
        </w:rPr>
      </w:pPr>
    </w:p>
    <w:p>
      <w:pPr>
        <w:ind w:left="-517" w:right="380" w:firstLine="517"/>
        <w:spacing w:after="0" w:line="286" w:lineRule="auto"/>
        <w:tabs>
          <w:tab w:leader="none" w:pos="316"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46" w:lineRule="exact"/>
        <w:rPr>
          <w:rFonts w:ascii="Times New Roman" w:cs="Times New Roman" w:eastAsia="Times New Roman" w:hAnsi="Times New Roman"/>
          <w:sz w:val="18"/>
          <w:szCs w:val="18"/>
          <w:b w:val="1"/>
          <w:bCs w:val="1"/>
          <w:color w:val="auto"/>
        </w:rPr>
      </w:pPr>
    </w:p>
    <w:p>
      <w:pPr>
        <w:ind w:left="-517" w:firstLine="517"/>
        <w:spacing w:after="0" w:line="268" w:lineRule="auto"/>
        <w:tabs>
          <w:tab w:leader="none" w:pos="29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62" w:lineRule="exact"/>
        <w:rPr>
          <w:rFonts w:ascii="Times New Roman" w:cs="Times New Roman" w:eastAsia="Times New Roman" w:hAnsi="Times New Roman"/>
          <w:sz w:val="18"/>
          <w:szCs w:val="18"/>
          <w:b w:val="1"/>
          <w:bCs w:val="1"/>
          <w:color w:val="auto"/>
        </w:rPr>
      </w:pPr>
    </w:p>
    <w:p>
      <w:pPr>
        <w:ind w:left="-517" w:right="40" w:firstLine="517"/>
        <w:spacing w:after="0" w:line="286" w:lineRule="auto"/>
        <w:tabs>
          <w:tab w:leader="none" w:pos="27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46" w:lineRule="exact"/>
        <w:rPr>
          <w:rFonts w:ascii="Times New Roman" w:cs="Times New Roman" w:eastAsia="Times New Roman" w:hAnsi="Times New Roman"/>
          <w:sz w:val="18"/>
          <w:szCs w:val="18"/>
          <w:b w:val="1"/>
          <w:bCs w:val="1"/>
          <w:color w:val="auto"/>
        </w:rPr>
      </w:pPr>
    </w:p>
    <w:p>
      <w:pPr>
        <w:ind w:left="-517" w:right="100" w:firstLine="517"/>
        <w:spacing w:after="0" w:line="259" w:lineRule="auto"/>
        <w:tabs>
          <w:tab w:leader="none" w:pos="35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71" w:lineRule="exact"/>
        <w:rPr>
          <w:rFonts w:ascii="Times New Roman" w:cs="Times New Roman" w:eastAsia="Times New Roman" w:hAnsi="Times New Roman"/>
          <w:sz w:val="18"/>
          <w:szCs w:val="18"/>
          <w:b w:val="1"/>
          <w:bCs w:val="1"/>
          <w:color w:val="auto"/>
        </w:rPr>
      </w:pPr>
    </w:p>
    <w:p>
      <w:pPr>
        <w:ind w:left="-517" w:firstLine="517"/>
        <w:spacing w:after="0" w:line="252" w:lineRule="auto"/>
        <w:tabs>
          <w:tab w:leader="none" w:pos="33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 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86" w:lineRule="exact"/>
        <w:rPr>
          <w:rFonts w:ascii="Times New Roman" w:cs="Times New Roman" w:eastAsia="Times New Roman" w:hAnsi="Times New Roman"/>
          <w:sz w:val="18"/>
          <w:szCs w:val="18"/>
          <w:b w:val="1"/>
          <w:bCs w:val="1"/>
          <w:color w:val="auto"/>
        </w:rPr>
      </w:pPr>
    </w:p>
    <w:p>
      <w:pPr>
        <w:ind w:left="-517" w:right="60" w:firstLine="517"/>
        <w:spacing w:after="0" w:line="256" w:lineRule="auto"/>
        <w:tabs>
          <w:tab w:leader="none" w:pos="41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871855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181" w:name="page182"/>
    <w:bookmarkEnd w:id="181"/>
    <w:p>
      <w:pPr>
        <w:spacing w:after="0" w:line="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85" w:lineRule="exact"/>
        <w:rPr>
          <w:sz w:val="20"/>
          <w:szCs w:val="20"/>
          <w:color w:val="auto"/>
        </w:rPr>
      </w:pPr>
    </w:p>
    <w:p>
      <w:pPr>
        <w:ind w:right="120" w:firstLine="517"/>
        <w:spacing w:after="0" w:line="268" w:lineRule="auto"/>
        <w:tabs>
          <w:tab w:leader="none" w:pos="854"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62" w:lineRule="exact"/>
        <w:rPr>
          <w:rFonts w:ascii="Times New Roman" w:cs="Times New Roman" w:eastAsia="Times New Roman" w:hAnsi="Times New Roman"/>
          <w:sz w:val="18"/>
          <w:szCs w:val="18"/>
          <w:b w:val="1"/>
          <w:bCs w:val="1"/>
          <w:color w:val="auto"/>
        </w:rPr>
      </w:pPr>
    </w:p>
    <w:p>
      <w:pPr>
        <w:ind w:left="860" w:hanging="343"/>
        <w:spacing w:after="0"/>
        <w:tabs>
          <w:tab w:leader="none" w:pos="8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Invivyd, Inc. 2021 Equity Incentive Plan, as amended from time to time.</w:t>
      </w:r>
    </w:p>
    <w:p>
      <w:pPr>
        <w:spacing w:after="0" w:line="117" w:lineRule="exact"/>
        <w:rPr>
          <w:rFonts w:ascii="Times New Roman" w:cs="Times New Roman" w:eastAsia="Times New Roman" w:hAnsi="Times New Roman"/>
          <w:sz w:val="18"/>
          <w:szCs w:val="18"/>
          <w:b w:val="1"/>
          <w:bCs w:val="1"/>
          <w:color w:val="auto"/>
        </w:rPr>
      </w:pPr>
    </w:p>
    <w:p>
      <w:pPr>
        <w:ind w:right="380" w:firstLine="517"/>
        <w:spacing w:after="0" w:line="286" w:lineRule="auto"/>
        <w:tabs>
          <w:tab w:leader="none" w:pos="833"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47" w:lineRule="exact"/>
        <w:rPr>
          <w:sz w:val="20"/>
          <w:szCs w:val="20"/>
          <w:color w:val="auto"/>
        </w:rPr>
      </w:pPr>
    </w:p>
    <w:p>
      <w:pPr>
        <w:ind w:firstLine="517"/>
        <w:spacing w:after="0" w:line="286" w:lineRule="auto"/>
        <w:tabs>
          <w:tab w:leader="none" w:pos="94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46"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94" w:lineRule="exact"/>
        <w:rPr>
          <w:rFonts w:ascii="Times New Roman" w:cs="Times New Roman" w:eastAsia="Times New Roman" w:hAnsi="Times New Roman"/>
          <w:sz w:val="18"/>
          <w:szCs w:val="18"/>
          <w:b w:val="1"/>
          <w:bCs w:val="1"/>
          <w:color w:val="auto"/>
        </w:rPr>
      </w:pPr>
    </w:p>
    <w:p>
      <w:pPr>
        <w:ind w:left="920" w:hanging="403"/>
        <w:spacing w:after="0"/>
        <w:tabs>
          <w:tab w:leader="none" w:pos="9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Invivyd, Inc. 2020 Equity Incentive Plan.</w:t>
      </w:r>
    </w:p>
    <w:p>
      <w:pPr>
        <w:spacing w:after="0" w:line="11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5(a).</w:t>
      </w:r>
    </w:p>
    <w:p>
      <w:pPr>
        <w:spacing w:after="0" w:line="94" w:lineRule="exact"/>
        <w:rPr>
          <w:rFonts w:ascii="Times New Roman" w:cs="Times New Roman" w:eastAsia="Times New Roman" w:hAnsi="Times New Roman"/>
          <w:sz w:val="18"/>
          <w:szCs w:val="18"/>
          <w:b w:val="1"/>
          <w:bCs w:val="1"/>
          <w:color w:val="auto"/>
        </w:rPr>
      </w:pPr>
    </w:p>
    <w:p>
      <w:pPr>
        <w:ind w:right="200" w:firstLine="517"/>
        <w:spacing w:after="0" w:line="259" w:lineRule="auto"/>
        <w:tabs>
          <w:tab w:leader="none" w:pos="91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71" w:lineRule="exact"/>
        <w:rPr>
          <w:rFonts w:ascii="Times New Roman" w:cs="Times New Roman" w:eastAsia="Times New Roman" w:hAnsi="Times New Roman"/>
          <w:sz w:val="18"/>
          <w:szCs w:val="18"/>
          <w:b w:val="1"/>
          <w:bCs w:val="1"/>
          <w:color w:val="auto"/>
        </w:rPr>
      </w:pPr>
    </w:p>
    <w:p>
      <w:pPr>
        <w:ind w:right="140" w:firstLine="517"/>
        <w:spacing w:after="0" w:line="259" w:lineRule="auto"/>
        <w:tabs>
          <w:tab w:leader="none" w:pos="85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11" w:lineRule="exact"/>
        <w:rPr>
          <w:rFonts w:ascii="Times New Roman" w:cs="Times New Roman" w:eastAsia="Times New Roman" w:hAnsi="Times New Roman"/>
          <w:sz w:val="18"/>
          <w:szCs w:val="18"/>
          <w:b w:val="1"/>
          <w:bCs w:val="1"/>
          <w:color w:val="auto"/>
        </w:rPr>
      </w:pPr>
    </w:p>
    <w:p>
      <w:pPr>
        <w:ind w:right="240" w:firstLine="517"/>
        <w:spacing w:after="0" w:line="286" w:lineRule="auto"/>
        <w:tabs>
          <w:tab w:leader="none" w:pos="94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46"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97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applicable to the RSU Award and which is provided, including by electronic means, to a Participant along with the Grant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RSU Award Agreement will be subject to the terms and conditions of the Plan.</w:t>
      </w:r>
    </w:p>
    <w:p>
      <w:pPr>
        <w:spacing w:after="0" w:line="95" w:lineRule="exact"/>
        <w:rPr>
          <w:sz w:val="20"/>
          <w:szCs w:val="20"/>
          <w:color w:val="auto"/>
        </w:rPr>
      </w:pPr>
    </w:p>
    <w:p>
      <w:pPr>
        <w:ind w:left="840" w:hanging="323"/>
        <w:spacing w:after="0"/>
        <w:tabs>
          <w:tab w:leader="none" w:pos="8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17" w:lineRule="exact"/>
        <w:rPr>
          <w:rFonts w:ascii="Times New Roman" w:cs="Times New Roman" w:eastAsia="Times New Roman" w:hAnsi="Times New Roman"/>
          <w:sz w:val="18"/>
          <w:szCs w:val="18"/>
          <w:b w:val="1"/>
          <w:bCs w:val="1"/>
          <w:color w:val="auto"/>
        </w:rPr>
      </w:pPr>
    </w:p>
    <w:p>
      <w:pPr>
        <w:ind w:left="860" w:hanging="343"/>
        <w:spacing w:after="0"/>
        <w:tabs>
          <w:tab w:leader="none" w:pos="8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1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17"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82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1.409A- 3(i)(5) (without regard to any alternative definition thereunder).</w:t>
      </w:r>
    </w:p>
    <w:p>
      <w:pPr>
        <w:spacing w:after="0" w:line="62" w:lineRule="exact"/>
        <w:rPr>
          <w:rFonts w:ascii="Times New Roman" w:cs="Times New Roman" w:eastAsia="Times New Roman" w:hAnsi="Times New Roman"/>
          <w:sz w:val="18"/>
          <w:szCs w:val="18"/>
          <w:b w:val="1"/>
          <w:bCs w:val="1"/>
          <w:color w:val="auto"/>
        </w:rPr>
      </w:pPr>
    </w:p>
    <w:p>
      <w:pPr>
        <w:ind w:left="1140" w:hanging="623"/>
        <w:spacing w:after="0"/>
        <w:tabs>
          <w:tab w:leader="none" w:pos="11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117" w:lineRule="exact"/>
        <w:rPr>
          <w:rFonts w:ascii="Times New Roman" w:cs="Times New Roman" w:eastAsia="Times New Roman" w:hAnsi="Times New Roman"/>
          <w:sz w:val="18"/>
          <w:szCs w:val="18"/>
          <w:b w:val="1"/>
          <w:bCs w:val="1"/>
          <w:color w:val="auto"/>
        </w:rPr>
      </w:pPr>
    </w:p>
    <w:p>
      <w:pPr>
        <w:ind w:right="220" w:firstLine="517"/>
        <w:spacing w:after="0" w:line="286" w:lineRule="auto"/>
        <w:tabs>
          <w:tab w:leader="none" w:pos="94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46" w:lineRule="exact"/>
        <w:rPr>
          <w:rFonts w:ascii="Times New Roman" w:cs="Times New Roman" w:eastAsia="Times New Roman" w:hAnsi="Times New Roman"/>
          <w:sz w:val="18"/>
          <w:szCs w:val="18"/>
          <w:b w:val="1"/>
          <w:bCs w:val="1"/>
          <w:color w:val="auto"/>
        </w:rPr>
      </w:pPr>
    </w:p>
    <w:p>
      <w:pPr>
        <w:ind w:right="20" w:firstLine="517"/>
        <w:spacing w:after="0" w:line="262" w:lineRule="auto"/>
        <w:tabs>
          <w:tab w:leader="none" w:pos="97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68" w:lineRule="exact"/>
        <w:rPr>
          <w:rFonts w:ascii="Times New Roman" w:cs="Times New Roman" w:eastAsia="Times New Roman" w:hAnsi="Times New Roman"/>
          <w:sz w:val="18"/>
          <w:szCs w:val="18"/>
          <w:b w:val="1"/>
          <w:bCs w:val="1"/>
          <w:color w:val="auto"/>
        </w:rPr>
      </w:pPr>
    </w:p>
    <w:p>
      <w:pPr>
        <w:ind w:right="120" w:firstLine="517"/>
        <w:spacing w:after="0" w:line="259" w:lineRule="auto"/>
        <w:tabs>
          <w:tab w:leader="none" w:pos="97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11" w:lineRule="exact"/>
        <w:rPr>
          <w:rFonts w:ascii="Times New Roman" w:cs="Times New Roman" w:eastAsia="Times New Roman" w:hAnsi="Times New Roman"/>
          <w:sz w:val="18"/>
          <w:szCs w:val="18"/>
          <w:b w:val="1"/>
          <w:bCs w:val="1"/>
          <w:color w:val="auto"/>
        </w:rPr>
      </w:pPr>
    </w:p>
    <w:p>
      <w:pPr>
        <w:ind w:right="160" w:firstLine="517"/>
        <w:spacing w:after="0" w:line="286" w:lineRule="auto"/>
        <w:tabs>
          <w:tab w:leader="none" w:pos="91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46" w:lineRule="exact"/>
        <w:rPr>
          <w:rFonts w:ascii="Times New Roman" w:cs="Times New Roman" w:eastAsia="Times New Roman" w:hAnsi="Times New Roman"/>
          <w:sz w:val="18"/>
          <w:szCs w:val="18"/>
          <w:b w:val="1"/>
          <w:bCs w:val="1"/>
          <w:color w:val="auto"/>
        </w:rPr>
      </w:pPr>
    </w:p>
    <w:p>
      <w:pPr>
        <w:ind w:right="260" w:firstLine="517"/>
        <w:spacing w:after="0" w:line="286" w:lineRule="auto"/>
        <w:tabs>
          <w:tab w:leader="none" w:pos="88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46" w:lineRule="exact"/>
        <w:rPr>
          <w:rFonts w:ascii="Times New Roman" w:cs="Times New Roman" w:eastAsia="Times New Roman" w:hAnsi="Times New Roman"/>
          <w:sz w:val="18"/>
          <w:szCs w:val="18"/>
          <w:b w:val="1"/>
          <w:bCs w:val="1"/>
          <w:color w:val="auto"/>
        </w:rPr>
      </w:pPr>
    </w:p>
    <w:p>
      <w:pPr>
        <w:ind w:firstLine="517"/>
        <w:spacing w:after="0" w:line="286" w:lineRule="auto"/>
        <w:tabs>
          <w:tab w:leader="none" w:pos="85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46" w:lineRule="exact"/>
        <w:rPr>
          <w:rFonts w:ascii="Times New Roman" w:cs="Times New Roman" w:eastAsia="Times New Roman" w:hAnsi="Times New Roman"/>
          <w:sz w:val="18"/>
          <w:szCs w:val="18"/>
          <w:b w:val="1"/>
          <w:bCs w:val="1"/>
          <w:color w:val="auto"/>
        </w:rPr>
      </w:pPr>
    </w:p>
    <w:p>
      <w:pPr>
        <w:ind w:right="80" w:firstLine="517"/>
        <w:spacing w:after="0" w:line="286" w:lineRule="auto"/>
        <w:tabs>
          <w:tab w:leader="none" w:pos="97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3" w:name="page184"/>
    <w:bookmarkEnd w:id="1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2"/>
          <w:szCs w:val="12"/>
          <w:b w:val="1"/>
          <w:bCs w:val="1"/>
          <w:color w:val="auto"/>
        </w:rPr>
        <w:t>to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ecember</w:t>
      </w:r>
      <w:r>
        <w:rPr>
          <w:rFonts w:ascii="Times New Roman" w:cs="Times New Roman" w:eastAsia="Times New Roman" w:hAnsi="Times New Roman"/>
          <w:sz w:val="18"/>
          <w:szCs w:val="18"/>
          <w:b w:val="1"/>
          <w:bCs w:val="1"/>
          <w:color w:val="auto"/>
        </w:rPr>
        <w:t xml:space="preserve"> 12, 2024</w:t>
      </w:r>
    </w:p>
    <w:p>
      <w:pPr>
        <w:spacing w:after="0" w:line="200" w:lineRule="exact"/>
        <w:rPr>
          <w:sz w:val="20"/>
          <w:szCs w:val="20"/>
          <w:color w:val="auto"/>
        </w:rPr>
      </w:pPr>
    </w:p>
    <w:p>
      <w:pPr>
        <w:spacing w:after="0" w:line="241"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FIRST AMENDMENT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to the Invivyd, Inc.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dated as of December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ind w:left="900" w:right="380" w:hanging="383"/>
        <w:spacing w:after="0" w:line="286"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color w:val="auto"/>
        </w:rPr>
        <w:t>. The aggregate number of shares of Common Stock that may be issued pursuant to Awards under the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decreased by eight million (8,000,000) shares of Common Stock.</w:t>
      </w:r>
    </w:p>
    <w:p>
      <w:pPr>
        <w:spacing w:after="0" w:line="154" w:lineRule="exact"/>
        <w:rPr>
          <w:rFonts w:ascii="Times New Roman" w:cs="Times New Roman" w:eastAsia="Times New Roman" w:hAnsi="Times New Roman"/>
          <w:sz w:val="18"/>
          <w:szCs w:val="18"/>
          <w:color w:val="auto"/>
        </w:rPr>
      </w:pPr>
    </w:p>
    <w:p>
      <w:pPr>
        <w:ind w:left="900" w:right="160" w:hanging="383"/>
        <w:spacing w:after="0" w:line="286"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This First Amendment shall become effective as of the Amendment Effective Date. Except as expressly set forth 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shall remain in full force and effect in accordance with its terms.</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of Document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00" w:lineRule="exact"/>
        <w:rPr>
          <w:sz w:val="20"/>
          <w:szCs w:val="20"/>
          <w:color w:val="auto"/>
        </w:rPr>
      </w:pPr>
    </w:p>
    <w:p>
      <w:pPr>
        <w:spacing w:after="0" w:line="25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137160</wp:posOffset>
            </wp:positionV>
            <wp:extent cx="16884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137160</wp:posOffset>
            </wp:positionV>
            <wp:extent cx="16884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137160</wp:posOffset>
            </wp:positionV>
            <wp:extent cx="168846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Number of Shares of Common Stock</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125730</wp:posOffset>
            </wp:positionV>
            <wp:extent cx="16884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18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137160</wp:posOffset>
            </wp:positionV>
            <wp:extent cx="16884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137160</wp:posOffset>
            </wp:positionV>
            <wp:extent cx="16884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0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137160</wp:posOffset>
            </wp:positionV>
            <wp:extent cx="16884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Grant: [</w:t>
      </w:r>
      <w:r>
        <w:rPr>
          <w:rFonts w:ascii="Times New Roman" w:cs="Times New Roman" w:eastAsia="Times New Roman" w:hAnsi="Times New Roman"/>
          <w:sz w:val="18"/>
          <w:szCs w:val="18"/>
          <w:color w:val="auto"/>
        </w:rPr>
        <w:t>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[Nonstatutory Stock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Subject to the Optionholder’s Continuous Service through each applicable vesting date, the Option will vest as follows:</w:t>
      </w:r>
    </w:p>
    <w:p>
      <w:pPr>
        <w:spacing w:after="0" w:line="95" w:lineRule="exact"/>
        <w:rPr>
          <w:sz w:val="20"/>
          <w:szCs w:val="20"/>
          <w:color w:val="auto"/>
        </w:rPr>
      </w:pPr>
    </w:p>
    <w:p>
      <w:pPr>
        <w:ind w:left="2120"/>
        <w:spacing w:after="0"/>
        <w:tabs>
          <w:tab w:leader="none" w:pos="90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-5080</wp:posOffset>
            </wp:positionV>
            <wp:extent cx="43700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4370070" cy="8255"/>
                    </a:xfrm>
                    <a:prstGeom prst="rect">
                      <a:avLst/>
                    </a:prstGeom>
                    <a:noFill/>
                  </pic:spPr>
                </pic:pic>
              </a:graphicData>
            </a:graphic>
          </wp:anchor>
        </w:drawing>
      </w:r>
    </w:p>
    <w:p>
      <w:pPr>
        <w:spacing w:after="0" w:line="9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0" w:lineRule="exact"/>
        <w:rPr>
          <w:sz w:val="20"/>
          <w:szCs w:val="20"/>
          <w:color w:val="auto"/>
        </w:rPr>
      </w:pPr>
    </w:p>
    <w:p>
      <w:pPr>
        <w:ind w:left="1040" w:right="140" w:hanging="452"/>
        <w:spacing w:after="0" w:line="262" w:lineRule="auto"/>
        <w:tabs>
          <w:tab w:leader="none" w:pos="10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the Company’s Incentive Compensation Recovery Policy,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3" w:lineRule="exact"/>
        <w:rPr>
          <w:rFonts w:ascii="Times New Roman" w:cs="Times New Roman" w:eastAsia="Times New Roman" w:hAnsi="Times New Roman"/>
          <w:sz w:val="18"/>
          <w:szCs w:val="18"/>
          <w:color w:val="auto"/>
        </w:rPr>
      </w:pPr>
    </w:p>
    <w:p>
      <w:pPr>
        <w:jc w:val="both"/>
        <w:ind w:left="1040" w:right="100" w:hanging="452"/>
        <w:spacing w:after="0" w:line="315" w:lineRule="auto"/>
        <w:tabs>
          <w:tab w:leader="none" w:pos="10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7"/>
          <w:szCs w:val="17"/>
          <w:i w:val="1"/>
          <w:iCs w:val="1"/>
          <w:color w:val="auto"/>
        </w:rPr>
        <w:t>exercisable</w:t>
      </w:r>
      <w:r>
        <w:rPr>
          <w:rFonts w:ascii="Times New Roman" w:cs="Times New Roman" w:eastAsia="Times New Roman" w:hAnsi="Times New Roman"/>
          <w:sz w:val="17"/>
          <w:szCs w:val="17"/>
          <w:color w:val="auto"/>
        </w:rPr>
        <w:t xml:space="preserve"> for more than $100,000 in value (measured by exercise price) in any calendar year. Any excess over $100,000 is a Nonstatutory Stock Option.]</w:t>
      </w:r>
    </w:p>
    <w:p>
      <w:pPr>
        <w:spacing w:after="0" w:line="69" w:lineRule="exact"/>
        <w:rPr>
          <w:rFonts w:ascii="Times New Roman" w:cs="Times New Roman" w:eastAsia="Times New Roman" w:hAnsi="Times New Roman"/>
          <w:sz w:val="17"/>
          <w:szCs w:val="17"/>
          <w:color w:val="auto"/>
        </w:rPr>
      </w:pPr>
    </w:p>
    <w:p>
      <w:pPr>
        <w:ind w:left="1040" w:right="320" w:hanging="452"/>
        <w:spacing w:after="0" w:line="266" w:lineRule="auto"/>
        <w:tabs>
          <w:tab w:leader="none" w:pos="10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85" w:name="page186"/>
    <w:bookmarkEnd w:id="185"/>
    <w:p>
      <w:pPr>
        <w:spacing w:after="0" w:line="99" w:lineRule="exact"/>
        <w:rPr>
          <w:sz w:val="20"/>
          <w:szCs w:val="20"/>
          <w:color w:val="auto"/>
        </w:rPr>
      </w:pPr>
    </w:p>
    <w:p>
      <w:pPr>
        <w:jc w:val="both"/>
        <w:ind w:left="1040" w:right="220" w:hanging="452"/>
        <w:spacing w:after="0" w:line="266" w:lineRule="auto"/>
        <w:tabs>
          <w:tab w:leader="none" w:pos="1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1" w:lineRule="exact"/>
        <w:rPr>
          <w:rFonts w:ascii="Times New Roman" w:cs="Times New Roman" w:eastAsia="Times New Roman" w:hAnsi="Times New Roman"/>
          <w:sz w:val="18"/>
          <w:szCs w:val="18"/>
          <w:color w:val="auto"/>
        </w:rPr>
      </w:pPr>
    </w:p>
    <w:p>
      <w:pPr>
        <w:ind w:left="1040" w:right="240" w:hanging="452"/>
        <w:spacing w:after="0" w:line="261" w:lineRule="auto"/>
        <w:tabs>
          <w:tab w:leader="none" w:pos="1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85" w:lineRule="exact"/>
        <w:rPr>
          <w:rFonts w:ascii="Times New Roman" w:cs="Times New Roman" w:eastAsia="Times New Roman" w:hAnsi="Times New Roman"/>
          <w:sz w:val="18"/>
          <w:szCs w:val="18"/>
          <w:color w:val="auto"/>
        </w:rPr>
      </w:pPr>
    </w:p>
    <w:p>
      <w:pPr>
        <w:jc w:val="both"/>
        <w:ind w:left="1040" w:right="400" w:hanging="452"/>
        <w:spacing w:after="0" w:line="266" w:lineRule="auto"/>
        <w:tabs>
          <w:tab w:leader="none" w:pos="1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59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28"/>
        </w:trPr>
        <w:tc>
          <w:tcPr>
            <w:tcW w:w="620" w:type="dxa"/>
            <w:vAlign w:val="bottom"/>
          </w:tcPr>
          <w:p>
            <w:pPr>
              <w:spacing w:after="0"/>
              <w:rPr>
                <w:sz w:val="19"/>
                <w:szCs w:val="19"/>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6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9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60" w:type="dxa"/>
            <w:vAlign w:val="bottom"/>
            <w:tcBorders>
              <w:top w:val="single" w:sz="8" w:color="auto"/>
            </w:tcBorders>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the Company’s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Notice or Plan, as applicable. The terms of your Option as specified in the Grant Notice and this Stock Option Agreement constitute your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13" w:lineRule="exact"/>
        <w:rPr>
          <w:sz w:val="20"/>
          <w:szCs w:val="20"/>
          <w:color w:val="auto"/>
        </w:rPr>
      </w:pPr>
    </w:p>
    <w:p>
      <w:pPr>
        <w:ind w:left="700" w:hanging="183"/>
        <w:spacing w:after="0"/>
        <w:tabs>
          <w:tab w:leader="none" w:pos="70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regarding the Company’s retained rights to terminate your Continuous Service notwithstanding the grant of the Option; and</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58" w:lineRule="exact"/>
        <w:rPr>
          <w:sz w:val="20"/>
          <w:szCs w:val="20"/>
          <w:color w:val="auto"/>
        </w:rPr>
      </w:pPr>
    </w:p>
    <w:p>
      <w:pPr>
        <w:ind w:left="700" w:hanging="183"/>
        <w:spacing w:after="0"/>
        <w:tabs>
          <w:tab w:leader="none" w:pos="7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517"/>
        <w:spacing w:after="0" w:line="261" w:lineRule="auto"/>
        <w:tabs>
          <w:tab w:leader="none" w:pos="76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1"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17"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225" w:lineRule="exact"/>
        <w:rPr>
          <w:rFonts w:ascii="Times New Roman" w:cs="Times New Roman" w:eastAsia="Times New Roman" w:hAnsi="Times New Roman"/>
          <w:sz w:val="18"/>
          <w:szCs w:val="18"/>
          <w:b w:val="1"/>
          <w:bCs w:val="1"/>
          <w:color w:val="auto"/>
        </w:rPr>
      </w:pPr>
    </w:p>
    <w:p>
      <w:pPr>
        <w:ind w:right="60" w:firstLine="1154"/>
        <w:spacing w:after="0" w:line="282" w:lineRule="auto"/>
        <w:tabs>
          <w:tab w:leader="none" w:pos="141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53" w:lineRule="exact"/>
        <w:rPr>
          <w:rFonts w:ascii="Times New Roman" w:cs="Times New Roman" w:eastAsia="Times New Roman" w:hAnsi="Times New Roman"/>
          <w:sz w:val="18"/>
          <w:szCs w:val="18"/>
          <w:b w:val="1"/>
          <w:bCs w:val="1"/>
          <w:color w:val="auto"/>
        </w:rPr>
      </w:pPr>
    </w:p>
    <w:p>
      <w:pPr>
        <w:ind w:right="280" w:firstLine="1154"/>
        <w:spacing w:after="0" w:line="282" w:lineRule="auto"/>
        <w:tabs>
          <w:tab w:leader="none" w:pos="146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53" w:lineRule="exact"/>
        <w:rPr>
          <w:rFonts w:ascii="Times New Roman" w:cs="Times New Roman" w:eastAsia="Times New Roman" w:hAnsi="Times New Roman"/>
          <w:sz w:val="18"/>
          <w:szCs w:val="18"/>
          <w:b w:val="1"/>
          <w:bCs w:val="1"/>
          <w:color w:val="auto"/>
        </w:rPr>
      </w:pPr>
    </w:p>
    <w:p>
      <w:pPr>
        <w:ind w:right="20" w:firstLine="1154"/>
        <w:spacing w:after="0" w:line="282" w:lineRule="auto"/>
        <w:tabs>
          <w:tab w:leader="none" w:pos="145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53" w:lineRule="exact"/>
        <w:rPr>
          <w:rFonts w:ascii="Times New Roman" w:cs="Times New Roman" w:eastAsia="Times New Roman" w:hAnsi="Times New Roman"/>
          <w:sz w:val="18"/>
          <w:szCs w:val="18"/>
          <w:b w:val="1"/>
          <w:bCs w:val="1"/>
          <w:color w:val="auto"/>
        </w:rPr>
      </w:pPr>
    </w:p>
    <w:p>
      <w:pPr>
        <w:ind w:right="20" w:firstLine="517"/>
        <w:spacing w:after="0" w:line="258" w:lineRule="auto"/>
        <w:tabs>
          <w:tab w:leader="none" w:pos="75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87" w:name="page188"/>
    <w:bookmarkEnd w:id="187"/>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83" w:lineRule="exact"/>
        <w:rPr>
          <w:sz w:val="20"/>
          <w:szCs w:val="20"/>
          <w:color w:val="auto"/>
        </w:rPr>
      </w:pPr>
    </w:p>
    <w:p>
      <w:pPr>
        <w:ind w:right="60" w:firstLine="517"/>
        <w:spacing w:after="0" w:line="286" w:lineRule="auto"/>
        <w:tabs>
          <w:tab w:leader="none" w:pos="689"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and expires upon the earliest of the following:</w:t>
      </w:r>
    </w:p>
    <w:p>
      <w:pPr>
        <w:spacing w:after="0" w:line="50"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for any reason other than Cause, Disability or death;</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during your Continuous Service;</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98" w:lineRule="exact"/>
        <w:rPr>
          <w:rFonts w:ascii="Times New Roman" w:cs="Times New Roman" w:eastAsia="Times New Roman" w:hAnsi="Times New Roman"/>
          <w:sz w:val="18"/>
          <w:szCs w:val="18"/>
          <w:b w:val="1"/>
          <w:bCs w:val="1"/>
          <w:color w:val="auto"/>
        </w:rPr>
      </w:pPr>
    </w:p>
    <w:p>
      <w:pPr>
        <w:ind w:left="1380" w:hanging="226"/>
        <w:spacing w:after="0"/>
        <w:tabs>
          <w:tab w:leader="none" w:pos="1380"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5"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71" w:lineRule="exact"/>
        <w:rPr>
          <w:sz w:val="20"/>
          <w:szCs w:val="20"/>
          <w:color w:val="auto"/>
        </w:rPr>
      </w:pPr>
    </w:p>
    <w:p>
      <w:pPr>
        <w:ind w:firstLine="517"/>
        <w:spacing w:after="0" w:line="254" w:lineRule="auto"/>
        <w:tabs>
          <w:tab w:leader="none" w:pos="689"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77"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689"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ISPOSITION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your Option is an Incentive Stock Option, you must notify the Company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82" w:lineRule="exact"/>
        <w:rPr>
          <w:sz w:val="20"/>
          <w:szCs w:val="20"/>
          <w:color w:val="auto"/>
        </w:rPr>
      </w:pPr>
    </w:p>
    <w:p>
      <w:pPr>
        <w:ind w:left="-8" w:right="200" w:firstLine="517"/>
        <w:spacing w:after="0" w:line="286" w:lineRule="auto"/>
        <w:tabs>
          <w:tab w:leader="none" w:pos="681"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is exercisable during your life only by you.</w:t>
      </w:r>
    </w:p>
    <w:p>
      <w:pPr>
        <w:spacing w:after="0" w:line="46" w:lineRule="exact"/>
        <w:rPr>
          <w:rFonts w:ascii="Times New Roman" w:cs="Times New Roman" w:eastAsia="Times New Roman" w:hAnsi="Times New Roman"/>
          <w:sz w:val="18"/>
          <w:szCs w:val="18"/>
          <w:b w:val="1"/>
          <w:bCs w:val="1"/>
          <w:color w:val="auto"/>
        </w:rPr>
      </w:pPr>
    </w:p>
    <w:p>
      <w:pPr>
        <w:jc w:val="both"/>
        <w:ind w:left="-8" w:right="320" w:firstLine="517"/>
        <w:spacing w:after="0" w:line="268" w:lineRule="auto"/>
        <w:tabs>
          <w:tab w:leader="none" w:pos="681"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left="-8" w:firstLine="517"/>
        <w:spacing w:after="0" w:line="255" w:lineRule="auto"/>
        <w:tabs>
          <w:tab w:leader="none" w:pos="681"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to accepting the Option,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76" w:lineRule="exact"/>
        <w:rPr>
          <w:rFonts w:ascii="Times New Roman" w:cs="Times New Roman" w:eastAsia="Times New Roman" w:hAnsi="Times New Roman"/>
          <w:sz w:val="18"/>
          <w:szCs w:val="18"/>
          <w:b w:val="1"/>
          <w:bCs w:val="1"/>
          <w:color w:val="auto"/>
        </w:rPr>
      </w:pPr>
    </w:p>
    <w:p>
      <w:pPr>
        <w:ind w:left="-8" w:right="20" w:firstLine="517"/>
        <w:spacing w:after="0" w:line="262" w:lineRule="auto"/>
        <w:tabs>
          <w:tab w:leader="none" w:pos="681"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part of this Option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68" w:lineRule="exact"/>
        <w:rPr>
          <w:rFonts w:ascii="Times New Roman" w:cs="Times New Roman" w:eastAsia="Times New Roman" w:hAnsi="Times New Roman"/>
          <w:sz w:val="18"/>
          <w:szCs w:val="18"/>
          <w:b w:val="1"/>
          <w:bCs w:val="1"/>
          <w:color w:val="auto"/>
        </w:rPr>
      </w:pPr>
    </w:p>
    <w:p>
      <w:pPr>
        <w:ind w:left="772" w:hanging="263"/>
        <w:spacing w:after="0"/>
        <w:tabs>
          <w:tab w:leader="none" w:pos="772"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94" w:lineRule="exact"/>
        <w:rPr>
          <w:rFonts w:ascii="Times New Roman" w:cs="Times New Roman" w:eastAsia="Times New Roman" w:hAnsi="Times New Roman"/>
          <w:sz w:val="18"/>
          <w:szCs w:val="18"/>
          <w:color w:val="auto"/>
        </w:rPr>
      </w:pPr>
    </w:p>
    <w:p>
      <w:pPr>
        <w:ind w:left="-8" w:right="440" w:firstLine="517"/>
        <w:spacing w:after="0" w:line="286" w:lineRule="auto"/>
        <w:tabs>
          <w:tab w:leader="none" w:pos="771" w:val="left"/>
        </w:tabs>
        <w:numPr>
          <w:ilvl w:val="1"/>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54" w:lineRule="exact"/>
        <w:rPr>
          <w:rFonts w:ascii="Times New Roman" w:cs="Times New Roman" w:eastAsia="Times New Roman" w:hAnsi="Times New Roman"/>
          <w:sz w:val="18"/>
          <w:szCs w:val="18"/>
          <w:b w:val="1"/>
          <w:bCs w:val="1"/>
          <w:color w:val="auto"/>
        </w:rPr>
      </w:pPr>
    </w:p>
    <w:p>
      <w:pPr>
        <w:ind w:left="53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898525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5"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 TRAPELO RD. SUITE 178</w:t>
      </w:r>
    </w:p>
    <w:p>
      <w:pPr>
        <w:spacing w:after="0" w:line="207" w:lineRule="exact"/>
        <w:rPr>
          <w:sz w:val="20"/>
          <w:szCs w:val="20"/>
          <w:color w:val="auto"/>
        </w:rPr>
      </w:pPr>
    </w:p>
    <w:p>
      <w:pPr>
        <w:ind w:left="20"/>
        <w:spacing w:after="0"/>
        <w:tabs>
          <w:tab w:leader="none" w:pos="8480" w:val="left"/>
        </w:tabs>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3"/>
          <w:szCs w:val="13"/>
          <w:color w:val="auto"/>
        </w:rPr>
        <w:t>ALTHAM</w:t>
      </w:r>
      <w:r>
        <w:rPr>
          <w:rFonts w:ascii="Times New Roman" w:cs="Times New Roman" w:eastAsia="Times New Roman" w:hAnsi="Times New Roman"/>
          <w:sz w:val="18"/>
          <w:szCs w:val="18"/>
          <w:color w:val="auto"/>
        </w:rPr>
        <w:t>, MA 02451</w:t>
      </w:r>
      <w:r>
        <w:rPr>
          <w:sz w:val="20"/>
          <w:szCs w:val="20"/>
          <w:color w:val="auto"/>
        </w:rPr>
        <w:tab/>
      </w:r>
      <w:r>
        <w:rPr>
          <w:rFonts w:ascii="Times New Roman" w:cs="Times New Roman" w:eastAsia="Times New Roman" w:hAnsi="Times New Roman"/>
          <w:sz w:val="17"/>
          <w:szCs w:val="17"/>
          <w:color w:val="auto"/>
        </w:rPr>
        <w:t>Date of Exercise:</w:t>
      </w:r>
    </w:p>
    <w:p>
      <w:pPr>
        <w:spacing w:after="0" w:line="221"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This constitutes notice to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00" w:lineRule="exact"/>
        <w:rPr>
          <w:sz w:val="20"/>
          <w:szCs w:val="20"/>
          <w:color w:val="auto"/>
        </w:rPr>
      </w:pPr>
    </w:p>
    <w:p>
      <w:pPr>
        <w:spacing w:after="0" w:line="231" w:lineRule="exact"/>
        <w:rPr>
          <w:sz w:val="20"/>
          <w:szCs w:val="20"/>
          <w:color w:val="auto"/>
        </w:rPr>
      </w:pPr>
    </w:p>
    <w:p>
      <w:pPr>
        <w:ind w:left="20"/>
        <w:spacing w:after="0" w:line="161" w:lineRule="exact"/>
        <w:tabs>
          <w:tab w:leader="none" w:pos="8060" w:val="left"/>
          <w:tab w:leader="none" w:pos="10080" w:val="left"/>
        </w:tabs>
        <w:rPr>
          <w:sz w:val="20"/>
          <w:szCs w:val="20"/>
          <w:color w:val="auto"/>
        </w:rPr>
      </w:pPr>
      <w:r>
        <w:rPr>
          <w:rFonts w:ascii="Times New Roman" w:cs="Times New Roman" w:eastAsia="Times New Roman" w:hAnsi="Times New Roman"/>
          <w:sz w:val="14"/>
          <w:szCs w:val="14"/>
          <w:color w:val="auto"/>
        </w:rPr>
        <w:t>Type of option (check one):</w:t>
      </w:r>
      <w:r>
        <w:rPr>
          <w:sz w:val="20"/>
          <w:szCs w:val="20"/>
          <w:color w:val="auto"/>
        </w:rPr>
        <w:tab/>
      </w:r>
      <w:r>
        <w:rPr>
          <w:rFonts w:ascii="Times New Roman" w:cs="Times New Roman" w:eastAsia="Times New Roman" w:hAnsi="Times New Roman"/>
          <w:sz w:val="14"/>
          <w:szCs w:val="14"/>
          <w:color w:val="auto"/>
        </w:rPr>
        <w:t xml:space="preserve">Incentive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Nonstatutory </w:t>
      </w:r>
      <w:r>
        <w:rPr>
          <w:rFonts w:ascii="MS PGothic" w:cs="MS PGothic" w:eastAsia="MS PGothic" w:hAnsi="MS PGothic"/>
          <w:sz w:val="14"/>
          <w:szCs w:val="14"/>
          <w:color w:val="auto"/>
        </w:rPr>
        <w:t>☐</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137160</wp:posOffset>
            </wp:positionV>
            <wp:extent cx="11226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137160</wp:posOffset>
            </wp:positionV>
            <wp:extent cx="11226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Certificates to be 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exercise price:</w:t>
            </w:r>
          </w:p>
        </w:tc>
        <w:tc>
          <w:tcPr>
            <w:tcW w:w="534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1940" w:type="dxa"/>
            <w:vAlign w:val="bottom"/>
          </w:tcPr>
          <w:p>
            <w:pPr>
              <w:spacing w:after="0"/>
              <w:rPr>
                <w:sz w:val="21"/>
                <w:szCs w:val="21"/>
                <w:color w:val="auto"/>
              </w:rPr>
            </w:pPr>
          </w:p>
        </w:tc>
      </w:tr>
      <w:tr>
        <w:trPr>
          <w:trHeight w:val="216"/>
        </w:trPr>
        <w:tc>
          <w:tcPr>
            <w:tcW w:w="75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175"/>
        </w:trPr>
        <w:tc>
          <w:tcPr>
            <w:tcW w:w="2200" w:type="dxa"/>
            <w:vAlign w:val="bottom"/>
            <w:gridSpan w:val="2"/>
          </w:tcPr>
          <w:p>
            <w:pPr>
              <w:ind w:left="640"/>
              <w:spacing w:after="0" w:line="176" w:lineRule="exact"/>
              <w:rPr>
                <w:sz w:val="20"/>
                <w:szCs w:val="20"/>
                <w:color w:val="auto"/>
              </w:rPr>
            </w:pPr>
            <w:r>
              <w:rPr>
                <w:rFonts w:ascii="Times New Roman" w:cs="Times New Roman" w:eastAsia="Times New Roman" w:hAnsi="Times New Roman"/>
                <w:sz w:val="18"/>
                <w:szCs w:val="18"/>
                <w:color w:val="auto"/>
              </w:rPr>
              <w:t>Value of</w:t>
            </w:r>
          </w:p>
        </w:tc>
        <w:tc>
          <w:tcPr>
            <w:tcW w:w="53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Shares delivered herewith:</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6"/>
        </w:trPr>
        <w:tc>
          <w:tcPr>
            <w:tcW w:w="75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175"/>
        </w:trPr>
        <w:tc>
          <w:tcPr>
            <w:tcW w:w="2200" w:type="dxa"/>
            <w:vAlign w:val="bottom"/>
            <w:gridSpan w:val="2"/>
          </w:tcPr>
          <w:p>
            <w:pPr>
              <w:ind w:left="640"/>
              <w:spacing w:after="0" w:line="176" w:lineRule="exact"/>
              <w:rPr>
                <w:sz w:val="20"/>
                <w:szCs w:val="20"/>
                <w:color w:val="auto"/>
              </w:rPr>
            </w:pPr>
            <w:r>
              <w:rPr>
                <w:rFonts w:ascii="Times New Roman" w:cs="Times New Roman" w:eastAsia="Times New Roman" w:hAnsi="Times New Roman"/>
                <w:sz w:val="18"/>
                <w:szCs w:val="18"/>
                <w:color w:val="auto"/>
              </w:rPr>
              <w:t>Value of</w:t>
            </w:r>
          </w:p>
        </w:tc>
        <w:tc>
          <w:tcPr>
            <w:tcW w:w="53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Shares pursuant to net exercise:</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36"/>
        </w:trPr>
        <w:tc>
          <w:tcPr>
            <w:tcW w:w="1300" w:type="dxa"/>
            <w:vAlign w:val="bottom"/>
            <w:tcBorders>
              <w:bottom w:val="single" w:sz="8" w:color="999999"/>
            </w:tcBorders>
          </w:tcPr>
          <w:p>
            <w:pPr>
              <w:spacing w:after="0"/>
              <w:rPr>
                <w:sz w:val="20"/>
                <w:szCs w:val="20"/>
                <w:color w:val="auto"/>
              </w:rPr>
            </w:pPr>
          </w:p>
        </w:tc>
        <w:tc>
          <w:tcPr>
            <w:tcW w:w="900" w:type="dxa"/>
            <w:vAlign w:val="bottom"/>
            <w:tcBorders>
              <w:top w:val="single" w:sz="8" w:color="auto"/>
              <w:bottom w:val="single" w:sz="8" w:color="999999"/>
            </w:tcBorders>
          </w:tcPr>
          <w:p>
            <w:pPr>
              <w:spacing w:after="0"/>
              <w:rPr>
                <w:sz w:val="20"/>
                <w:szCs w:val="20"/>
                <w:color w:val="auto"/>
              </w:rPr>
            </w:pPr>
          </w:p>
        </w:tc>
        <w:tc>
          <w:tcPr>
            <w:tcW w:w="5340" w:type="dxa"/>
            <w:vAlign w:val="bottom"/>
            <w:tcBorders>
              <w:bottom w:val="single" w:sz="8" w:color="999999"/>
            </w:tcBorders>
          </w:tcPr>
          <w:p>
            <w:pPr>
              <w:spacing w:after="0"/>
              <w:rPr>
                <w:sz w:val="20"/>
                <w:szCs w:val="20"/>
                <w:color w:val="auto"/>
              </w:rPr>
            </w:pPr>
          </w:p>
        </w:tc>
        <w:tc>
          <w:tcPr>
            <w:tcW w:w="100" w:type="dxa"/>
            <w:vAlign w:val="bottom"/>
            <w:tcBorders>
              <w:bottom w:val="single" w:sz="8" w:color="999999"/>
            </w:tcBorders>
          </w:tcPr>
          <w:p>
            <w:pPr>
              <w:spacing w:after="0"/>
              <w:rPr>
                <w:sz w:val="20"/>
                <w:szCs w:val="20"/>
                <w:color w:val="auto"/>
              </w:rPr>
            </w:pPr>
          </w:p>
        </w:tc>
        <w:tc>
          <w:tcPr>
            <w:tcW w:w="20" w:type="dxa"/>
            <w:vAlign w:val="bottom"/>
            <w:tcBorders>
              <w:bottom w:val="single" w:sz="8" w:color="999999"/>
            </w:tcBorders>
          </w:tcPr>
          <w:p>
            <w:pPr>
              <w:spacing w:after="0"/>
              <w:rPr>
                <w:sz w:val="20"/>
                <w:szCs w:val="20"/>
                <w:color w:val="auto"/>
              </w:rPr>
            </w:pPr>
          </w:p>
        </w:tc>
        <w:tc>
          <w:tcPr>
            <w:tcW w:w="1640" w:type="dxa"/>
            <w:vAlign w:val="bottom"/>
            <w:tcBorders>
              <w:bottom w:val="single" w:sz="8" w:color="999999"/>
            </w:tcBorders>
          </w:tcPr>
          <w:p>
            <w:pPr>
              <w:spacing w:after="0"/>
              <w:rPr>
                <w:sz w:val="20"/>
                <w:szCs w:val="20"/>
                <w:color w:val="auto"/>
              </w:rPr>
            </w:pPr>
          </w:p>
        </w:tc>
        <w:tc>
          <w:tcPr>
            <w:tcW w:w="1940" w:type="dxa"/>
            <w:vAlign w:val="bottom"/>
            <w:tcBorders>
              <w:bottom w:val="single" w:sz="8" w:color="999999"/>
            </w:tcBorders>
          </w:tcPr>
          <w:p>
            <w:pPr>
              <w:spacing w:after="0"/>
              <w:rPr>
                <w:sz w:val="20"/>
                <w:szCs w:val="20"/>
                <w:color w:val="auto"/>
              </w:rPr>
            </w:pPr>
          </w:p>
        </w:tc>
      </w:tr>
    </w:tbl>
    <w:p>
      <w:pPr>
        <w:spacing w:after="0" w:line="19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1183640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91" w:name="page192"/>
    <w:bookmarkEnd w:id="191"/>
    <w:p>
      <w:pPr>
        <w:ind w:left="566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299085</wp:posOffset>
            </wp:positionV>
            <wp:extent cx="28289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1332230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72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72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721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721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721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721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0" w:lineRule="exact"/>
        <w:rPr>
          <w:sz w:val="20"/>
          <w:szCs w:val="20"/>
          <w:color w:val="auto"/>
        </w:rPr>
      </w:pPr>
    </w:p>
    <w:p>
      <w:pPr>
        <w:sectPr>
          <w:pgSz w:w="11900" w:h="16838" w:orient="portrait"/>
          <w:cols w:equalWidth="0" w:num="2">
            <w:col w:w="3020" w:space="720"/>
            <w:col w:w="7500"/>
          </w:cols>
          <w:pgMar w:left="320" w:top="1415" w:right="339" w:bottom="1440" w:gutter="0" w:footer="0" w:header="0"/>
          <w:type w:val="continuous"/>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Exercise and Vesting Schedule: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Subject to the Optionholder’s Continuous Service through each applicable vesting date, the Option will vest as follows, subject to the potential vesting acceleration described in Section 2 of the Stock Option Agreement:</w:t>
      </w:r>
    </w:p>
    <w:p>
      <w:pPr>
        <w:spacing w:after="0" w:line="79" w:lineRule="exact"/>
        <w:rPr>
          <w:sz w:val="20"/>
          <w:szCs w:val="20"/>
          <w:color w:val="auto"/>
        </w:rPr>
      </w:pPr>
    </w:p>
    <w:p>
      <w:pPr>
        <w:sectPr>
          <w:pgSz w:w="11900" w:h="16838" w:orient="portrait"/>
          <w:cols w:equalWidth="0" w:num="2">
            <w:col w:w="3020" w:space="720"/>
            <w:col w:w="7500"/>
          </w:cols>
          <w:pgMar w:left="320" w:top="1415" w:right="339" w:bottom="1440" w:gutter="0" w:footer="0" w:header="0"/>
          <w:type w:val="continuous"/>
        </w:sectPr>
      </w:pPr>
    </w:p>
    <w:p>
      <w:pPr>
        <w:ind w:left="3740"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][One-third (1/3</w:t>
      </w:r>
      <w:r>
        <w:rPr>
          <w:rFonts w:ascii="Times New Roman" w:cs="Times New Roman" w:eastAsia="Times New Roman" w:hAnsi="Times New Roman"/>
          <w:sz w:val="10"/>
          <w:szCs w:val="10"/>
          <w:color w:val="auto"/>
        </w:rPr>
        <w:t>rd</w:t>
      </w:r>
      <w:r>
        <w:rPr>
          <w:rFonts w:ascii="Times New Roman" w:cs="Times New Roman" w:eastAsia="Times New Roman" w:hAnsi="Times New Roman"/>
          <w:sz w:val="18"/>
          <w:szCs w:val="18"/>
          <w:color w:val="auto"/>
        </w:rPr>
        <w:t>) of the shares subject to the Option shall vest and become exercisable on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8"/>
          <w:szCs w:val="18"/>
          <w:color w:val="auto"/>
        </w:rPr>
        <w:t>) anniversary of the Date of Grant and one thirty-sixth (1/36</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of the shares subject to the Option shall vest and become exercisable each month thereafter on the same day of the month as the Date of Grant (and if there is no corresponding day, on the last day of the month), such that the Option shall be fully vested and exercisable on the third (3</w:t>
      </w:r>
      <w:r>
        <w:rPr>
          <w:rFonts w:ascii="Times New Roman" w:cs="Times New Roman" w:eastAsia="Times New Roman" w:hAnsi="Times New Roman"/>
          <w:sz w:val="10"/>
          <w:szCs w:val="10"/>
          <w:color w:val="auto"/>
        </w:rPr>
        <w:t>rd</w:t>
      </w:r>
      <w:r>
        <w:rPr>
          <w:rFonts w:ascii="Times New Roman" w:cs="Times New Roman" w:eastAsia="Times New Roman" w:hAnsi="Times New Roman"/>
          <w:sz w:val="18"/>
          <w:szCs w:val="18"/>
          <w:color w:val="auto"/>
        </w:rPr>
        <w:t>) anniversary of the Date of Grant.]</w:t>
      </w:r>
    </w:p>
    <w:p>
      <w:pPr>
        <w:spacing w:after="0" w:line="89" w:lineRule="exact"/>
        <w:rPr>
          <w:sz w:val="20"/>
          <w:szCs w:val="20"/>
          <w:color w:val="auto"/>
        </w:rPr>
      </w:pPr>
    </w:p>
    <w:p>
      <w:pPr>
        <w:ind w:left="3740"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][The shares subject to the Option shall vest and become exercisable upon the earlier to occur of (i)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8"/>
          <w:szCs w:val="18"/>
          <w:color w:val="auto"/>
        </w:rPr>
        <w:t>) anniversary of the Date of Grant and (ii) the date of the next annual meeting of the stockholders of the Company.]</w:t>
      </w:r>
    </w:p>
    <w:p>
      <w:pPr>
        <w:sectPr>
          <w:pgSz w:w="11900" w:h="16838" w:orient="portrait"/>
          <w:cols w:equalWidth="0" w:num="1">
            <w:col w:w="11240"/>
          </w:cols>
          <w:pgMar w:left="320" w:top="1415" w:right="339" w:bottom="1440" w:gutter="0" w:footer="0" w:header="0"/>
          <w:type w:val="continuous"/>
        </w:sectPr>
      </w:pP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4" w:lineRule="exact"/>
        <w:rPr>
          <w:sz w:val="20"/>
          <w:szCs w:val="20"/>
          <w:color w:val="auto"/>
        </w:rPr>
      </w:pPr>
    </w:p>
    <w:p>
      <w:pPr>
        <w:ind w:left="1500" w:right="140" w:hanging="345"/>
        <w:spacing w:after="0" w:line="261" w:lineRule="auto"/>
        <w:tabs>
          <w:tab w:leader="none" w:pos="1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1500" w:right="80" w:hanging="345"/>
        <w:spacing w:after="0" w:line="266" w:lineRule="auto"/>
        <w:tabs>
          <w:tab w:leader="none" w:pos="1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193" w:name="page194"/>
    <w:bookmarkEnd w:id="193"/>
    <w:p>
      <w:pPr>
        <w:ind w:left="1500" w:right="100" w:hanging="345"/>
        <w:spacing w:after="0" w:line="266" w:lineRule="auto"/>
        <w:tabs>
          <w:tab w:leader="none" w:pos="1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1" w:lineRule="exact"/>
        <w:rPr>
          <w:rFonts w:ascii="Times New Roman" w:cs="Times New Roman" w:eastAsia="Times New Roman" w:hAnsi="Times New Roman"/>
          <w:sz w:val="18"/>
          <w:szCs w:val="18"/>
          <w:color w:val="auto"/>
        </w:rPr>
      </w:pPr>
    </w:p>
    <w:p>
      <w:pPr>
        <w:ind w:left="1500" w:right="20" w:hanging="345"/>
        <w:spacing w:after="0" w:line="281" w:lineRule="auto"/>
        <w:tabs>
          <w:tab w:leader="none" w:pos="15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69" w:lineRule="exact"/>
        <w:rPr>
          <w:rFonts w:ascii="Times New Roman" w:cs="Times New Roman" w:eastAsia="Times New Roman" w:hAnsi="Times New Roman"/>
          <w:sz w:val="17"/>
          <w:szCs w:val="17"/>
          <w:color w:val="auto"/>
        </w:rPr>
      </w:pPr>
    </w:p>
    <w:p>
      <w:pPr>
        <w:ind w:left="1500" w:hanging="345"/>
        <w:spacing w:after="0" w:line="266" w:lineRule="auto"/>
        <w:tabs>
          <w:tab w:leader="none" w:pos="1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INVIVYD, INC.</w:t>
            </w:r>
          </w:p>
        </w:tc>
        <w:tc>
          <w:tcPr>
            <w:tcW w:w="5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620" w:type="dxa"/>
            <w:vAlign w:val="bottom"/>
          </w:tcPr>
          <w:p>
            <w:pPr>
              <w:spacing w:after="0"/>
              <w:rPr>
                <w:sz w:val="19"/>
                <w:szCs w:val="19"/>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1260" w:type="dxa"/>
            <w:vAlign w:val="bottom"/>
          </w:tcPr>
          <w:p>
            <w:pPr>
              <w:spacing w:after="0"/>
              <w:rPr>
                <w:sz w:val="19"/>
                <w:szCs w:val="19"/>
                <w:color w:val="auto"/>
              </w:rPr>
            </w:pPr>
          </w:p>
        </w:tc>
        <w:tc>
          <w:tcPr>
            <w:tcW w:w="466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r>
      <w:tr>
        <w:trPr>
          <w:trHeight w:val="43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25"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13" w:lineRule="exact"/>
        <w:rPr>
          <w:sz w:val="20"/>
          <w:szCs w:val="20"/>
          <w:color w:val="auto"/>
        </w:rPr>
      </w:pPr>
    </w:p>
    <w:p>
      <w:pPr>
        <w:ind w:left="700" w:hanging="183"/>
        <w:spacing w:after="0"/>
        <w:tabs>
          <w:tab w:leader="none" w:pos="70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color w:val="auto"/>
        </w:rPr>
        <w:t>. Your Option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regarding the Company’s retained rights to terminate your Continuous Service notwithstanding the grant of the Option; and</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50" w:lineRule="exact"/>
        <w:rPr>
          <w:sz w:val="20"/>
          <w:szCs w:val="20"/>
          <w:color w:val="auto"/>
        </w:rPr>
      </w:pPr>
    </w:p>
    <w:p>
      <w:pPr>
        <w:ind w:left="700" w:hanging="183"/>
        <w:spacing w:after="0"/>
        <w:tabs>
          <w:tab w:leader="none" w:pos="7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firstLine="1154"/>
        <w:spacing w:after="0" w:line="261" w:lineRule="auto"/>
        <w:tabs>
          <w:tab w:leader="none" w:pos="1400"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w:t>
      </w:r>
    </w:p>
    <w:p>
      <w:pPr>
        <w:spacing w:after="0" w:line="71" w:lineRule="exact"/>
        <w:rPr>
          <w:rFonts w:ascii="Times New Roman" w:cs="Times New Roman" w:eastAsia="Times New Roman" w:hAnsi="Times New Roman"/>
          <w:sz w:val="18"/>
          <w:szCs w:val="18"/>
          <w:b w:val="1"/>
          <w:bCs w:val="1"/>
          <w:color w:val="auto"/>
        </w:rPr>
      </w:pPr>
    </w:p>
    <w:p>
      <w:pPr>
        <w:ind w:right="20" w:firstLine="1154"/>
        <w:spacing w:after="0" w:line="253" w:lineRule="auto"/>
        <w:tabs>
          <w:tab w:leader="none" w:pos="1410"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18"/>
          <w:szCs w:val="18"/>
          <w:b w:val="1"/>
          <w:bCs w:val="1"/>
          <w:i w:val="1"/>
          <w:iCs w:val="1"/>
          <w:color w:val="auto"/>
        </w:rPr>
        <w:t>280G 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any such 280G Payment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95" w:name="page196"/>
    <w:bookmarkEnd w:id="195"/>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you receive a Payment for which the Reduced Amount was determined pursuant to clause (x) of the first paragraph of this Section 2(b) and the Internal Revenue Service determines thereafter that some portion of the Payment is subject to the Excise Tax, you shall promptly return to the Company a sufficient amount of the Payment (after reduction pursuant to clause (x) of the first paragraph of this Section 2(b) so that no portion of the remaining Payment is subject to the Excise Tax. For the avoidance of doubt, if the Reduced Amount was determined pursuant to clause (y) in the first paragraph of this Section 2(b), you shall have no obligation to return any portion of the Payment pursuant to the preceding sentence.</w:t>
      </w:r>
    </w:p>
    <w:p>
      <w:pPr>
        <w:spacing w:after="0" w:line="112" w:lineRule="exact"/>
        <w:rPr>
          <w:sz w:val="20"/>
          <w:szCs w:val="20"/>
          <w:color w:val="auto"/>
        </w:rPr>
      </w:pPr>
    </w:p>
    <w:p>
      <w:pPr>
        <w:ind w:left="700" w:hanging="183"/>
        <w:spacing w:after="0"/>
        <w:tabs>
          <w:tab w:leader="none" w:pos="7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40" w:firstLine="1154"/>
        <w:spacing w:after="0" w:line="261" w:lineRule="auto"/>
        <w:tabs>
          <w:tab w:leader="none" w:pos="1400" w:val="left"/>
        </w:tabs>
        <w:numPr>
          <w:ilvl w:val="1"/>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1"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17" w:lineRule="exact"/>
        <w:rPr>
          <w:rFonts w:ascii="Times New Roman" w:cs="Times New Roman" w:eastAsia="Times New Roman" w:hAnsi="Times New Roman"/>
          <w:sz w:val="18"/>
          <w:szCs w:val="18"/>
          <w:b w:val="1"/>
          <w:bCs w:val="1"/>
          <w:color w:val="auto"/>
        </w:rPr>
      </w:pPr>
    </w:p>
    <w:p>
      <w:pPr>
        <w:ind w:left="1880" w:hanging="217"/>
        <w:spacing w:after="0"/>
        <w:tabs>
          <w:tab w:leader="none" w:pos="1880" w:val="left"/>
        </w:tabs>
        <w:numPr>
          <w:ilvl w:val="2"/>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117" w:lineRule="exact"/>
        <w:rPr>
          <w:rFonts w:ascii="Times New Roman" w:cs="Times New Roman" w:eastAsia="Times New Roman" w:hAnsi="Times New Roman"/>
          <w:sz w:val="18"/>
          <w:szCs w:val="18"/>
          <w:b w:val="1"/>
          <w:bCs w:val="1"/>
          <w:color w:val="auto"/>
        </w:rPr>
      </w:pPr>
    </w:p>
    <w:p>
      <w:pPr>
        <w:ind w:right="440" w:firstLine="1663"/>
        <w:spacing w:after="0" w:line="282" w:lineRule="auto"/>
        <w:tabs>
          <w:tab w:leader="none" w:pos="1920" w:val="left"/>
        </w:tabs>
        <w:numPr>
          <w:ilvl w:val="2"/>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53" w:lineRule="exact"/>
        <w:rPr>
          <w:rFonts w:ascii="Times New Roman" w:cs="Times New Roman" w:eastAsia="Times New Roman" w:hAnsi="Times New Roman"/>
          <w:sz w:val="18"/>
          <w:szCs w:val="18"/>
          <w:b w:val="1"/>
          <w:bCs w:val="1"/>
          <w:color w:val="auto"/>
        </w:rPr>
      </w:pPr>
    </w:p>
    <w:p>
      <w:pPr>
        <w:ind w:right="400" w:firstLine="1663"/>
        <w:spacing w:after="0" w:line="282" w:lineRule="auto"/>
        <w:tabs>
          <w:tab w:leader="none" w:pos="1970" w:val="left"/>
        </w:tabs>
        <w:numPr>
          <w:ilvl w:val="2"/>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53" w:lineRule="exact"/>
        <w:rPr>
          <w:rFonts w:ascii="Times New Roman" w:cs="Times New Roman" w:eastAsia="Times New Roman" w:hAnsi="Times New Roman"/>
          <w:sz w:val="18"/>
          <w:szCs w:val="18"/>
          <w:b w:val="1"/>
          <w:bCs w:val="1"/>
          <w:color w:val="auto"/>
        </w:rPr>
      </w:pPr>
    </w:p>
    <w:p>
      <w:pPr>
        <w:ind w:right="220" w:firstLine="1663"/>
        <w:spacing w:after="0" w:line="282" w:lineRule="auto"/>
        <w:tabs>
          <w:tab w:leader="none" w:pos="1959" w:val="left"/>
        </w:tabs>
        <w:numPr>
          <w:ilvl w:val="2"/>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49"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color w:val="auto"/>
        </w:rPr>
        <w:t>. You may not exercise your Option before the commencement of its term or after its term expires. The term of your Option commences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Grant and expires upon the earliest of the following:</w:t>
      </w:r>
    </w:p>
    <w:p>
      <w:pPr>
        <w:spacing w:after="0" w:line="99" w:lineRule="exact"/>
        <w:rPr>
          <w:sz w:val="20"/>
          <w:szCs w:val="20"/>
          <w:color w:val="auto"/>
        </w:rPr>
      </w:pPr>
    </w:p>
    <w:p>
      <w:pPr>
        <w:ind w:left="1400" w:hanging="246"/>
        <w:spacing w:after="0"/>
        <w:tabs>
          <w:tab w:leader="none" w:pos="14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9" w:lineRule="exact"/>
        <w:rPr>
          <w:sz w:val="20"/>
          <w:szCs w:val="20"/>
          <w:color w:val="auto"/>
        </w:rPr>
      </w:pPr>
    </w:p>
    <w:p>
      <w:pPr>
        <w:ind w:left="1420" w:hanging="266"/>
        <w:spacing w:after="0"/>
        <w:tabs>
          <w:tab w:leader="none" w:pos="14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86" w:lineRule="exact"/>
        <w:rPr>
          <w:sz w:val="20"/>
          <w:szCs w:val="20"/>
          <w:color w:val="auto"/>
        </w:rPr>
      </w:pPr>
    </w:p>
    <w:p>
      <w:pPr>
        <w:ind w:left="1400" w:hanging="246"/>
        <w:spacing w:after="0"/>
        <w:tabs>
          <w:tab w:leader="none" w:pos="14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4(b) above, the term of your Option shall not expire until the earlier of (i) 12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08" w:lineRule="exact"/>
        <w:rPr>
          <w:sz w:val="20"/>
          <w:szCs w:val="20"/>
          <w:color w:val="auto"/>
        </w:rPr>
      </w:pPr>
    </w:p>
    <w:p>
      <w:pPr>
        <w:ind w:right="20" w:firstLine="517"/>
        <w:spacing w:after="0" w:line="254" w:lineRule="auto"/>
        <w:tabs>
          <w:tab w:leader="none" w:pos="689"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color w:val="auto"/>
        </w:rPr>
        <w:t>. 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5" w:lineRule="exact"/>
        <w:rPr>
          <w:rFonts w:ascii="Times New Roman" w:cs="Times New Roman" w:eastAsia="Times New Roman" w:hAnsi="Times New Roman"/>
          <w:sz w:val="18"/>
          <w:szCs w:val="18"/>
          <w:b w:val="1"/>
          <w:bCs w:val="1"/>
          <w:color w:val="auto"/>
        </w:rPr>
      </w:pPr>
    </w:p>
    <w:p>
      <w:pPr>
        <w:ind w:right="580" w:firstLine="517"/>
        <w:spacing w:after="0" w:line="286" w:lineRule="auto"/>
        <w:tabs>
          <w:tab w:leader="none" w:pos="689"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pacing w:after="0" w:line="154"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689"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Your Option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firstLine="517"/>
        <w:spacing w:after="0" w:line="255" w:lineRule="auto"/>
        <w:tabs>
          <w:tab w:leader="none" w:pos="689"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color w:val="auto"/>
        </w:rPr>
        <w:t>. As a condition to accepting the Option,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84" w:lineRule="exact"/>
        <w:rPr>
          <w:rFonts w:ascii="Times New Roman" w:cs="Times New Roman" w:eastAsia="Times New Roman" w:hAnsi="Times New Roman"/>
          <w:sz w:val="18"/>
          <w:szCs w:val="18"/>
          <w:b w:val="1"/>
          <w:bCs w:val="1"/>
          <w:color w:val="auto"/>
        </w:rPr>
      </w:pPr>
    </w:p>
    <w:p>
      <w:pPr>
        <w:ind w:right="20" w:firstLine="517"/>
        <w:spacing w:after="0" w:line="262" w:lineRule="auto"/>
        <w:tabs>
          <w:tab w:leader="none" w:pos="689"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08"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color w:val="auto"/>
        </w:rPr>
        <w:t>. 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202" w:lineRule="exact"/>
        <w:rPr>
          <w:rFonts w:ascii="Times New Roman" w:cs="Times New Roman" w:eastAsia="Times New Roman" w:hAnsi="Times New Roman"/>
          <w:sz w:val="18"/>
          <w:szCs w:val="18"/>
          <w:color w:val="auto"/>
        </w:rPr>
      </w:pPr>
    </w:p>
    <w:p>
      <w:pPr>
        <w:ind w:right="440" w:firstLine="517"/>
        <w:spacing w:after="0" w:line="286" w:lineRule="auto"/>
        <w:tabs>
          <w:tab w:leader="none" w:pos="779"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color w:val="auto"/>
        </w:rPr>
        <w:t>. 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990600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5" w:right="339" w:bottom="1440" w:gutter="0" w:footer="0" w:header="0"/>
        </w:sectPr>
      </w:pPr>
    </w:p>
    <w:bookmarkStart w:id="199" w:name="page200"/>
    <w:bookmarkEnd w:id="199"/>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INVIVYD,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1601 TRAPELO ROAD, SUITE 178</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Exercise:</w:t>
      </w:r>
    </w:p>
    <w:p>
      <w:pPr>
        <w:spacing w:after="0" w:line="216" w:lineRule="exact"/>
        <w:rPr>
          <w:sz w:val="20"/>
          <w:szCs w:val="20"/>
          <w:color w:val="auto"/>
        </w:rPr>
      </w:pPr>
    </w:p>
    <w:p>
      <w:pPr>
        <w:sectPr>
          <w:pgSz w:w="11900" w:h="16838" w:orient="portrait"/>
          <w:cols w:equalWidth="0" w:num="2">
            <w:col w:w="7780" w:space="720"/>
            <w:col w:w="2740"/>
          </w:cols>
          <w:pgMar w:left="320" w:top="1440" w:right="339" w:bottom="1440" w:gutter="0" w:footer="0" w:header="0"/>
          <w:type w:val="continuous"/>
        </w:sectPr>
      </w:pPr>
    </w:p>
    <w:p>
      <w:pPr>
        <w:spacing w:after="0" w:line="1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This constitutes notice to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Type of option:</w:t>
            </w:r>
          </w:p>
        </w:tc>
        <w:tc>
          <w:tcPr>
            <w:tcW w:w="3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Nonstatutory</w:t>
            </w:r>
          </w:p>
        </w:tc>
      </w:tr>
      <w:tr>
        <w:trPr>
          <w:trHeight w:val="216"/>
        </w:trPr>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Date of Grant:</w:t>
            </w:r>
          </w:p>
        </w:tc>
        <w:tc>
          <w:tcPr>
            <w:tcW w:w="382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tc>
        <w:tc>
          <w:tcPr>
            <w:tcW w:w="382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Certificates to be issued in name of:</w:t>
            </w:r>
          </w:p>
        </w:tc>
        <w:tc>
          <w:tcPr>
            <w:tcW w:w="382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exercise price:</w:t>
            </w:r>
          </w:p>
        </w:tc>
        <w:tc>
          <w:tcPr>
            <w:tcW w:w="38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3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Value of</w:t>
            </w:r>
          </w:p>
        </w:tc>
        <w:tc>
          <w:tcPr>
            <w:tcW w:w="3820" w:type="dxa"/>
            <w:vAlign w:val="bottom"/>
            <w:shd w:val="clear" w:color="auto" w:fill="CCEEFF"/>
          </w:tcPr>
          <w:p>
            <w:pPr>
              <w:spacing w:after="0"/>
              <w:rPr>
                <w:sz w:val="17"/>
                <w:szCs w:val="17"/>
                <w:color w:val="auto"/>
              </w:rPr>
            </w:pPr>
          </w:p>
        </w:tc>
      </w:tr>
      <w:tr>
        <w:trPr>
          <w:trHeight w:val="248"/>
        </w:trPr>
        <w:tc>
          <w:tcPr>
            <w:tcW w:w="7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Shares delivered herewith:</w:t>
            </w:r>
          </w:p>
        </w:tc>
        <w:tc>
          <w:tcPr>
            <w:tcW w:w="38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3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Value of</w:t>
            </w:r>
          </w:p>
        </w:tc>
        <w:tc>
          <w:tcPr>
            <w:tcW w:w="3820" w:type="dxa"/>
            <w:vAlign w:val="bottom"/>
            <w:shd w:val="clear" w:color="auto" w:fill="CCEEFF"/>
          </w:tcPr>
          <w:p>
            <w:pPr>
              <w:spacing w:after="0"/>
              <w:rPr>
                <w:sz w:val="17"/>
                <w:szCs w:val="17"/>
                <w:color w:val="auto"/>
              </w:rPr>
            </w:pPr>
          </w:p>
        </w:tc>
      </w:tr>
      <w:tr>
        <w:trPr>
          <w:trHeight w:val="248"/>
        </w:trPr>
        <w:tc>
          <w:tcPr>
            <w:tcW w:w="7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Shares pursuant to net exercise:</w:t>
            </w:r>
          </w:p>
        </w:tc>
        <w:tc>
          <w:tcPr>
            <w:tcW w:w="38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Borders>
              <w:bottom w:val="single" w:sz="8" w:color="999999"/>
            </w:tcBorders>
          </w:tcPr>
          <w:p>
            <w:pPr>
              <w:spacing w:after="0"/>
              <w:rPr>
                <w:sz w:val="18"/>
                <w:szCs w:val="18"/>
                <w:color w:val="auto"/>
              </w:rPr>
            </w:pPr>
          </w:p>
        </w:tc>
        <w:tc>
          <w:tcPr>
            <w:tcW w:w="3820" w:type="dxa"/>
            <w:vAlign w:val="bottom"/>
            <w:tcBorders>
              <w:bottom w:val="single" w:sz="8" w:color="999999"/>
            </w:tcBorders>
          </w:tcPr>
          <w:p>
            <w:pPr>
              <w:spacing w:after="0"/>
              <w:rPr>
                <w:sz w:val="18"/>
                <w:szCs w:val="18"/>
                <w:color w:val="auto"/>
              </w:rPr>
            </w:pPr>
          </w:p>
        </w:tc>
      </w:tr>
    </w:tbl>
    <w:p>
      <w:pPr>
        <w:spacing w:after="0" w:line="19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and (ii) to satisfy the tax withholding obligations, if any, relating to the exercise of this Option as set forth in the Stock Option Agreement.</w:t>
      </w:r>
    </w:p>
    <w:p>
      <w:pPr>
        <w:spacing w:after="0" w:line="200" w:lineRule="exact"/>
        <w:rPr>
          <w:sz w:val="20"/>
          <w:szCs w:val="20"/>
          <w:color w:val="auto"/>
        </w:rPr>
      </w:pPr>
    </w:p>
    <w:p>
      <w:pPr>
        <w:spacing w:after="0" w:line="2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291465</wp:posOffset>
            </wp:positionV>
            <wp:extent cx="28289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2">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1324610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3"/>
          <w:szCs w:val="13"/>
          <w:b w:val="1"/>
          <w:bCs w:val="1"/>
          <w:color w:val="auto"/>
        </w:rPr>
        <w:t>SU</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 below in consideration of your services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Your RSU Award is subject to all of the terms and conditions as set forth herein and in the Invivyd, Inc.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wp:posOffset>
            </wp:positionV>
            <wp:extent cx="23317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Grant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19685</wp:posOffset>
            </wp:positionV>
            <wp:extent cx="23317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wp:posOffset>
            </wp:positionV>
            <wp:extent cx="23317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wp:posOffset>
            </wp:positionV>
            <wp:extent cx="23317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50" w:lineRule="exact"/>
        <w:rPr>
          <w:sz w:val="20"/>
          <w:szCs w:val="20"/>
          <w:color w:val="auto"/>
        </w:rPr>
      </w:pPr>
    </w:p>
    <w:p>
      <w:pPr>
        <w:ind w:left="20"/>
        <w:spacing w:after="0"/>
        <w:tabs>
          <w:tab w:leader="none" w:pos="1820" w:val="left"/>
          <w:tab w:leader="none" w:pos="632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-5080</wp:posOffset>
            </wp:positionV>
            <wp:extent cx="28276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8">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Notwithstanding the foregoing, vesting shall terminate upon the Participant’s termination of Continuous Service.</w:t>
      </w:r>
    </w:p>
    <w:p>
      <w:pPr>
        <w:spacing w:after="0" w:line="203" w:lineRule="exact"/>
        <w:rPr>
          <w:sz w:val="20"/>
          <w:szCs w:val="20"/>
          <w:color w:val="auto"/>
        </w:rPr>
      </w:pPr>
    </w:p>
    <w:p>
      <w:pPr>
        <w:ind w:left="1840" w:right="60" w:hanging="1808"/>
        <w:spacing w:after="0" w:line="282" w:lineRule="auto"/>
        <w:tabs>
          <w:tab w:leader="none" w:pos="182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at the time set forth in Section 5 of the Agreement for each restricted stock unit which vests.</w:t>
      </w:r>
    </w:p>
    <w:p>
      <w:pPr>
        <w:spacing w:after="0" w:line="16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0" w:lineRule="exact"/>
        <w:rPr>
          <w:sz w:val="20"/>
          <w:szCs w:val="20"/>
          <w:color w:val="auto"/>
        </w:rPr>
      </w:pPr>
    </w:p>
    <w:p>
      <w:pPr>
        <w:ind w:left="1040" w:right="280" w:hanging="452"/>
        <w:spacing w:after="0" w:line="262" w:lineRule="auto"/>
        <w:tabs>
          <w:tab w:leader="none" w:pos="10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the Company’s Incentive Compensation Recovery Policy,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1040" w:right="220" w:hanging="452"/>
        <w:spacing w:after="0" w:line="312" w:lineRule="auto"/>
        <w:tabs>
          <w:tab w:leader="none" w:pos="10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45" w:lineRule="exact"/>
        <w:rPr>
          <w:rFonts w:ascii="Times New Roman" w:cs="Times New Roman" w:eastAsia="Times New Roman" w:hAnsi="Times New Roman"/>
          <w:sz w:val="17"/>
          <w:szCs w:val="17"/>
          <w:color w:val="auto"/>
        </w:rPr>
      </w:pPr>
    </w:p>
    <w:p>
      <w:pPr>
        <w:jc w:val="both"/>
        <w:ind w:left="1040" w:right="180" w:hanging="452"/>
        <w:spacing w:after="0" w:line="281" w:lineRule="auto"/>
        <w:tabs>
          <w:tab w:leader="none" w:pos="10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59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3"/>
                <w:szCs w:val="13"/>
                <w:b w:val="1"/>
                <w:bCs w:val="1"/>
                <w:color w:val="auto"/>
              </w:rPr>
              <w:t>ARTICIPANT</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43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6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c>
          <w:tcPr>
            <w:tcW w:w="20" w:type="dxa"/>
            <w:vAlign w:val="bottom"/>
          </w:tcPr>
          <w:p>
            <w:pPr>
              <w:spacing w:after="0"/>
              <w:rPr>
                <w:sz w:val="19"/>
                <w:szCs w:val="19"/>
                <w:color w:val="auto"/>
              </w:rPr>
            </w:pPr>
          </w:p>
        </w:tc>
      </w:tr>
      <w:tr>
        <w:trPr>
          <w:trHeight w:val="42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34"/>
        </w:trPr>
        <w:tc>
          <w:tcPr>
            <w:tcW w:w="640" w:type="dxa"/>
            <w:vAlign w:val="bottom"/>
            <w:tcBorders>
              <w:bottom w:val="single" w:sz="8" w:color="9A9A9A"/>
            </w:tcBorders>
          </w:tcPr>
          <w:p>
            <w:pPr>
              <w:spacing w:after="0"/>
              <w:rPr>
                <w:sz w:val="24"/>
                <w:szCs w:val="24"/>
                <w:color w:val="auto"/>
              </w:rPr>
            </w:pPr>
          </w:p>
        </w:tc>
        <w:tc>
          <w:tcPr>
            <w:tcW w:w="4660" w:type="dxa"/>
            <w:vAlign w:val="bottom"/>
            <w:tcBorders>
              <w:top w:val="single" w:sz="8" w:color="auto"/>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1" w:name="page202"/>
    <w:bookmarkEnd w:id="20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Award Agreement,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2" w:name="page203"/>
    <w:bookmarkEnd w:id="202"/>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color w:val="auto"/>
        </w:rPr>
        <w:t>As reflected by your RSU Award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the Invivyd, Inc.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Notice or Plan, as applicable.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113" w:lineRule="exact"/>
        <w:rPr>
          <w:sz w:val="20"/>
          <w:szCs w:val="20"/>
          <w:color w:val="auto"/>
        </w:rPr>
      </w:pPr>
    </w:p>
    <w:p>
      <w:pPr>
        <w:ind w:left="700" w:hanging="183"/>
        <w:spacing w:after="0"/>
        <w:tabs>
          <w:tab w:leader="none" w:pos="70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 Transaction on your</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w:t>
      </w:r>
    </w:p>
    <w:p>
      <w:pPr>
        <w:spacing w:after="0" w:line="98"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of the Plan regarding the Company’s retained rights to terminate your Continuous Service notwithstanding the grant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 and</w:t>
      </w:r>
    </w:p>
    <w:p>
      <w:pPr>
        <w:spacing w:after="0" w:line="98"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the tax consequences of your RSU Award.</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2" w:lineRule="exact"/>
        <w:rPr>
          <w:sz w:val="20"/>
          <w:szCs w:val="20"/>
          <w:color w:val="auto"/>
        </w:rPr>
      </w:pPr>
    </w:p>
    <w:p>
      <w:pPr>
        <w:ind w:right="20" w:firstLine="517"/>
        <w:spacing w:after="0" w:line="257" w:lineRule="auto"/>
        <w:tabs>
          <w:tab w:leader="none" w:pos="689"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SU</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2" w:lineRule="exact"/>
        <w:rPr>
          <w:rFonts w:ascii="Times New Roman" w:cs="Times New Roman" w:eastAsia="Times New Roman" w:hAnsi="Times New Roman"/>
          <w:sz w:val="18"/>
          <w:szCs w:val="18"/>
          <w:b w:val="1"/>
          <w:bCs w:val="1"/>
          <w:color w:val="auto"/>
        </w:rPr>
      </w:pPr>
    </w:p>
    <w:p>
      <w:pPr>
        <w:ind w:firstLine="517"/>
        <w:spacing w:after="0" w:line="268" w:lineRule="auto"/>
        <w:tabs>
          <w:tab w:leader="none" w:pos="689"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this RSU Award with respect to any cash dividend, stock dividend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170" w:lineRule="exact"/>
        <w:rPr>
          <w:rFonts w:ascii="Times New Roman" w:cs="Times New Roman" w:eastAsia="Times New Roman" w:hAnsi="Times New Roman"/>
          <w:sz w:val="18"/>
          <w:szCs w:val="18"/>
          <w:b w:val="1"/>
          <w:bCs w:val="1"/>
          <w:color w:val="auto"/>
        </w:rPr>
      </w:pPr>
    </w:p>
    <w:p>
      <w:pPr>
        <w:ind w:right="40" w:firstLine="517"/>
        <w:spacing w:after="0" w:line="254" w:lineRule="auto"/>
        <w:tabs>
          <w:tab w:leader="none" w:pos="689"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you hereby authorize withholding from payroll and any other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 in accordance with the withholding procedures established by the Company, including those described in Section 8(b) of the Plan. In furtherance of the Withholding Obligation, if you are an employee of the Company as of the Grant Date, then you hereby agree as a condition of this Agreement that, if directed by the Company, you will enter into a side letter agreement with the Company prior to or as soon as practicable following the Grant Date (or at such other time as directed by the Company), in a form that is acceptable to the Company, pursuant to which you will make an election to satisfy all tax withholding obligations that arise hereunder pursuant to the “sell to cover” tax withholding method in compliance with Rule 10b5-1(c) of the Securities Exchange Act of 1934, as amended. Unless the Withholding Obligation is satisfied, the Company shall have no obligation to deliver to you any Common Stock in respect of the RSU Award.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04" w:lineRule="exact"/>
        <w:rPr>
          <w:sz w:val="20"/>
          <w:szCs w:val="20"/>
          <w:color w:val="auto"/>
        </w:rPr>
      </w:pPr>
    </w:p>
    <w:p>
      <w:pPr>
        <w:ind w:left="700" w:hanging="183"/>
        <w:spacing w:after="0"/>
        <w:tabs>
          <w:tab w:leader="none" w:pos="70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SSUANCE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60" w:firstLine="1154"/>
        <w:spacing w:after="0" w:line="258" w:lineRule="auto"/>
        <w:tabs>
          <w:tab w:leader="none" w:pos="140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Original Issuance Date falls on a date that is not a business day, delivery shall instead occur on the next following business day. In</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addition, </w:t>
      </w: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7"/>
          <w:szCs w:val="17"/>
          <w:b w:val="1"/>
          <w:bCs w:val="1"/>
          <w:color w:val="auto"/>
        </w:rPr>
      </w:pPr>
    </w:p>
    <w:p>
      <w:pPr>
        <w:ind w:right="80" w:firstLine="1663"/>
        <w:spacing w:after="0" w:line="258" w:lineRule="auto"/>
        <w:tabs>
          <w:tab w:leader="none" w:pos="1870" w:val="left"/>
        </w:tabs>
        <w:numPr>
          <w:ilvl w:val="2"/>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75" w:lineRule="exact"/>
        <w:rPr>
          <w:rFonts w:ascii="Times New Roman" w:cs="Times New Roman" w:eastAsia="Times New Roman" w:hAnsi="Times New Roman"/>
          <w:sz w:val="18"/>
          <w:szCs w:val="18"/>
          <w:b w:val="1"/>
          <w:bCs w:val="1"/>
          <w:color w:val="auto"/>
        </w:rPr>
      </w:pPr>
    </w:p>
    <w:p>
      <w:pPr>
        <w:ind w:right="80" w:firstLine="1663"/>
        <w:spacing w:after="0" w:line="261" w:lineRule="auto"/>
        <w:tabs>
          <w:tab w:leader="none" w:pos="1920" w:val="left"/>
        </w:tabs>
        <w:numPr>
          <w:ilvl w:val="2"/>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79" w:lineRule="exact"/>
        <w:rPr>
          <w:sz w:val="20"/>
          <w:szCs w:val="20"/>
          <w:color w:val="auto"/>
        </w:rPr>
      </w:pPr>
    </w:p>
    <w:p>
      <w:pPr>
        <w:ind w:left="1400" w:hanging="246"/>
        <w:spacing w:after="0"/>
        <w:tabs>
          <w:tab w:leader="none" w:pos="1400"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RSU Award is a Non-Exempt RSU Award, the provisions of Section 11 of the Plan shall apply.</w:t>
      </w:r>
    </w:p>
    <w:p>
      <w:pPr>
        <w:spacing w:after="0" w:line="221" w:lineRule="exact"/>
        <w:rPr>
          <w:rFonts w:ascii="Times New Roman" w:cs="Times New Roman" w:eastAsia="Times New Roman" w:hAnsi="Times New Roman"/>
          <w:sz w:val="18"/>
          <w:szCs w:val="18"/>
          <w:b w:val="1"/>
          <w:bCs w:val="1"/>
          <w:color w:val="auto"/>
        </w:rPr>
      </w:pPr>
    </w:p>
    <w:p>
      <w:pPr>
        <w:ind w:right="360" w:firstLine="517"/>
        <w:spacing w:after="0" w:line="286" w:lineRule="auto"/>
        <w:tabs>
          <w:tab w:leader="none" w:pos="689"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54"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w:t>
      </w:r>
    </w:p>
    <w:p>
      <w:pPr>
        <w:spacing w:after="0" w:line="31" w:lineRule="exact"/>
        <w:rPr>
          <w:rFonts w:ascii="Times New Roman" w:cs="Times New Roman" w:eastAsia="Times New Roman" w:hAnsi="Times New Roman"/>
          <w:sz w:val="18"/>
          <w:szCs w:val="18"/>
          <w:b w:val="1"/>
          <w:bCs w:val="1"/>
          <w:color w:val="auto"/>
        </w:rPr>
      </w:pPr>
    </w:p>
    <w:p>
      <w:pPr>
        <w:ind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7" w:lineRule="exact"/>
        <w:rPr>
          <w:rFonts w:ascii="Times New Roman" w:cs="Times New Roman" w:eastAsia="Times New Roman" w:hAnsi="Times New Roman"/>
          <w:sz w:val="18"/>
          <w:szCs w:val="18"/>
          <w:b w:val="1"/>
          <w:bCs w:val="1"/>
          <w:color w:val="auto"/>
        </w:rPr>
      </w:pPr>
    </w:p>
    <w:p>
      <w:pPr>
        <w:ind w:right="80" w:firstLine="517"/>
        <w:spacing w:after="0" w:line="262" w:lineRule="auto"/>
        <w:tabs>
          <w:tab w:leader="none" w:pos="689"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08" w:lineRule="exact"/>
        <w:rPr>
          <w:rFonts w:ascii="Times New Roman" w:cs="Times New Roman" w:eastAsia="Times New Roman" w:hAnsi="Times New Roman"/>
          <w:sz w:val="18"/>
          <w:szCs w:val="18"/>
          <w:b w:val="1"/>
          <w:bCs w:val="1"/>
          <w:color w:val="auto"/>
        </w:rPr>
      </w:pPr>
    </w:p>
    <w:p>
      <w:pPr>
        <w:ind w:right="560" w:firstLine="517"/>
        <w:spacing w:after="0" w:line="286" w:lineRule="auto"/>
        <w:tabs>
          <w:tab w:leader="none" w:pos="689"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66" w:lineRule="auto"/>
        <w:rPr>
          <w:sz w:val="20"/>
          <w:szCs w:val="20"/>
          <w:color w:val="auto"/>
        </w:rPr>
      </w:pPr>
      <w:r>
        <w:rPr>
          <w:rFonts w:ascii="Times New Roman" w:cs="Times New Roman" w:eastAsia="Times New Roman" w:hAnsi="Times New Roman"/>
          <w:sz w:val="18"/>
          <w:szCs w:val="18"/>
          <w:color w:val="auto"/>
        </w:rPr>
        <w:t>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2" w:lineRule="exact"/>
        <w:rPr>
          <w:sz w:val="20"/>
          <w:szCs w:val="20"/>
          <w:color w:val="auto"/>
        </w:rPr>
      </w:pPr>
    </w:p>
    <w:p>
      <w:pPr>
        <w:ind w:left="780" w:hanging="263"/>
        <w:spacing w:after="0"/>
        <w:tabs>
          <w:tab w:leader="none" w:pos="78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202" w:lineRule="exact"/>
        <w:rPr>
          <w:rFonts w:ascii="Times New Roman" w:cs="Times New Roman" w:eastAsia="Times New Roman" w:hAnsi="Times New Roman"/>
          <w:sz w:val="18"/>
          <w:szCs w:val="18"/>
          <w:color w:val="auto"/>
        </w:rPr>
      </w:pPr>
    </w:p>
    <w:p>
      <w:pPr>
        <w:ind w:right="20" w:firstLine="517"/>
        <w:spacing w:after="0" w:line="286" w:lineRule="auto"/>
        <w:tabs>
          <w:tab w:leader="none" w:pos="779"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05" w:name="page206"/>
    <w:bookmarkEnd w:id="205"/>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1130300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9"/>
              </w:rPr>
              <w:t>This Indemnification Agreement (this “</w:t>
            </w:r>
            <w:r>
              <w:rPr>
                <w:rFonts w:ascii="Times New Roman" w:cs="Times New Roman" w:eastAsia="Times New Roman" w:hAnsi="Times New Roman"/>
                <w:sz w:val="20"/>
                <w:szCs w:val="20"/>
                <w:b w:val="1"/>
                <w:bCs w:val="1"/>
                <w:i w:val="1"/>
                <w:iCs w:val="1"/>
                <w:color w:val="auto"/>
                <w:w w:val="99"/>
              </w:rPr>
              <w:t>Agreement</w:t>
            </w:r>
            <w:r>
              <w:rPr>
                <w:rFonts w:ascii="Times New Roman" w:cs="Times New Roman" w:eastAsia="Times New Roman" w:hAnsi="Times New Roman"/>
                <w:sz w:val="20"/>
                <w:szCs w:val="20"/>
                <w:color w:val="auto"/>
                <w:w w:val="99"/>
              </w:rPr>
              <w:t>”) is dated as of</w:t>
            </w:r>
          </w:p>
        </w:tc>
        <w:tc>
          <w:tcPr>
            <w:tcW w:w="760" w:type="dxa"/>
            <w:vAlign w:val="bottom"/>
            <w:tcBorders>
              <w:bottom w:val="single" w:sz="8" w:color="auto"/>
            </w:tcBorders>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w w:val="98"/>
              </w:rPr>
              <w:t>, 20__, and is between Invivyd, Inc., a Delaware</w:t>
            </w: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____________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w:t>
            </w:r>
          </w:p>
        </w:tc>
        <w:tc>
          <w:tcPr>
            <w:tcW w:w="760" w:type="dxa"/>
            <w:vAlign w:val="bottom"/>
          </w:tcPr>
          <w:p>
            <w:pPr>
              <w:spacing w:after="0"/>
              <w:rPr>
                <w:sz w:val="22"/>
                <w:szCs w:val="22"/>
                <w:color w:val="auto"/>
              </w:rPr>
            </w:pPr>
          </w:p>
        </w:tc>
        <w:tc>
          <w:tcPr>
            <w:tcW w:w="3820" w:type="dxa"/>
            <w:vAlign w:val="bottom"/>
          </w:tcPr>
          <w:p>
            <w:pPr>
              <w:spacing w:after="0"/>
              <w:rPr>
                <w:sz w:val="22"/>
                <w:szCs w:val="22"/>
                <w:color w:val="auto"/>
              </w:rPr>
            </w:pPr>
          </w:p>
        </w:tc>
      </w:tr>
    </w:tbl>
    <w:p>
      <w:pPr>
        <w:spacing w:after="0" w:line="1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color w:val="auto"/>
        </w:rPr>
        <w:t>Indemnitee’s service to the Company substantially benefits the Company.</w:t>
      </w:r>
    </w:p>
    <w:p>
      <w:pPr>
        <w:spacing w:after="0" w:line="202" w:lineRule="exact"/>
        <w:rPr>
          <w:sz w:val="20"/>
          <w:szCs w:val="20"/>
          <w:color w:val="auto"/>
        </w:rPr>
      </w:pPr>
    </w:p>
    <w:p>
      <w:pPr>
        <w:ind w:right="160" w:firstLine="50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B. </w:t>
      </w:r>
      <w:r>
        <w:rPr>
          <w:rFonts w:ascii="Times New Roman" w:cs="Times New Roman" w:eastAsia="Times New Roman" w:hAnsi="Times New Roman"/>
          <w:sz w:val="19"/>
          <w:szCs w:val="19"/>
          <w:color w:val="auto"/>
        </w:rPr>
        <w:t>Individuals are reluctant to serve as directors or officers of corporations or in certain other capacities unless they are provided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adequate protection through insurance or indemnification against the risks of claims and actions against them arising out of such service.</w:t>
      </w:r>
    </w:p>
    <w:p>
      <w:pPr>
        <w:spacing w:after="0" w:line="11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 </w:t>
      </w:r>
      <w:r>
        <w:rPr>
          <w:rFonts w:ascii="Times New Roman" w:cs="Times New Roman" w:eastAsia="Times New Roman" w:hAnsi="Times New Roman"/>
          <w:sz w:val="20"/>
          <w:szCs w:val="20"/>
          <w:color w:val="auto"/>
        </w:rPr>
        <w:t>Indemnitee does not regard the protection currently provided by applicable law, the Company’s governing documents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as adequate under the present circumstances, and Indemnitee may not be willing to serve as a director or officer without additional protection.</w:t>
      </w:r>
    </w:p>
    <w:p>
      <w:pPr>
        <w:spacing w:after="0" w:line="142" w:lineRule="exact"/>
        <w:rPr>
          <w:sz w:val="20"/>
          <w:szCs w:val="20"/>
          <w:color w:val="auto"/>
        </w:rPr>
      </w:pPr>
    </w:p>
    <w:p>
      <w:pPr>
        <w:ind w:right="420" w:firstLine="50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D. </w:t>
      </w:r>
      <w:r>
        <w:rPr>
          <w:rFonts w:ascii="Times New Roman" w:cs="Times New Roman" w:eastAsia="Times New Roman" w:hAnsi="Times New Roman"/>
          <w:sz w:val="19"/>
          <w:szCs w:val="19"/>
          <w:color w:val="auto"/>
        </w:rPr>
        <w:t>In order to induce Indemnitee to continue to provide services to the Company, it is reasonable, prudent and necessary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to contractually obligate itself to indemnify, and to advance expenses on behalf of, Indemnitee as permitted by applicable law.</w:t>
      </w:r>
    </w:p>
    <w:p>
      <w:pPr>
        <w:spacing w:after="0" w:line="11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 </w:t>
      </w:r>
      <w:r>
        <w:rPr>
          <w:rFonts w:ascii="Times New Roman" w:cs="Times New Roman" w:eastAsia="Times New Roman" w:hAnsi="Times New Roman"/>
          <w:sz w:val="20"/>
          <w:szCs w:val="20"/>
          <w:color w:val="auto"/>
        </w:rPr>
        <w:t>This Agreement is a supplement to and in furtherance of the indemnification provided in the Company’s certificate of incorporation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bylaws, and any resolutions adopted pursuant thereto, and this Agreement shall not be deemed a substitute therefor, nor shall this Agreement be deemed to limit, diminish or abrogate any rights of Indemnitee thereunder.</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parties therefore agree as follows:</w:t>
      </w:r>
    </w:p>
    <w:p>
      <w:pPr>
        <w:spacing w:after="0" w:line="185" w:lineRule="exact"/>
        <w:rPr>
          <w:sz w:val="20"/>
          <w:szCs w:val="20"/>
          <w:color w:val="auto"/>
        </w:rPr>
      </w:pPr>
    </w:p>
    <w:p>
      <w:pPr>
        <w:ind w:left="720" w:hanging="203"/>
        <w:spacing w:after="0"/>
        <w:tabs>
          <w:tab w:leader="none" w:pos="72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b w:val="1"/>
          <w:bCs w:val="1"/>
          <w:color w:val="auto"/>
        </w:rPr>
      </w:pPr>
    </w:p>
    <w:p>
      <w:pPr>
        <w:ind w:left="1420" w:hanging="266"/>
        <w:spacing w:after="0"/>
        <w:tabs>
          <w:tab w:leader="none" w:pos="142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be deemed to occur upon the earliest to occur after the date of this Agreement of any of the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events:</w:t>
      </w:r>
    </w:p>
    <w:p>
      <w:pPr>
        <w:spacing w:after="0" w:line="176" w:lineRule="exact"/>
        <w:rPr>
          <w:rFonts w:ascii="Times New Roman" w:cs="Times New Roman" w:eastAsia="Times New Roman" w:hAnsi="Times New Roman"/>
          <w:sz w:val="20"/>
          <w:szCs w:val="20"/>
          <w:color w:val="auto"/>
        </w:rPr>
      </w:pPr>
    </w:p>
    <w:p>
      <w:pPr>
        <w:ind w:right="200" w:firstLine="1663"/>
        <w:spacing w:after="0" w:line="256" w:lineRule="auto"/>
        <w:tabs>
          <w:tab w:leader="none" w:pos="1891"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Acquisition of Stock by Third Party. </w:t>
      </w:r>
      <w:r>
        <w:rPr>
          <w:rFonts w:ascii="Times New Roman" w:cs="Times New Roman" w:eastAsia="Times New Roman" w:hAnsi="Times New Roman"/>
          <w:sz w:val="20"/>
          <w:szCs w:val="20"/>
          <w:color w:val="auto"/>
        </w:rPr>
        <w:t>Any Person (as defined below) is or becomes the Beneficial Owner (as defined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directly or indirectly, of securities of the Company representing fifty percent (50%) or more of the combined voting power of the Company’s then outstanding securities;</w:t>
      </w:r>
    </w:p>
    <w:p>
      <w:pPr>
        <w:spacing w:after="0" w:line="141" w:lineRule="exact"/>
        <w:rPr>
          <w:rFonts w:ascii="Times New Roman" w:cs="Times New Roman" w:eastAsia="Times New Roman" w:hAnsi="Times New Roman"/>
          <w:sz w:val="20"/>
          <w:szCs w:val="20"/>
          <w:color w:val="auto"/>
        </w:rPr>
      </w:pPr>
    </w:p>
    <w:p>
      <w:pPr>
        <w:ind w:right="80" w:firstLine="1663"/>
        <w:spacing w:after="0" w:line="245" w:lineRule="auto"/>
        <w:tabs>
          <w:tab w:leader="none" w:pos="1946"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Change in Board Composition. </w:t>
      </w:r>
      <w:r>
        <w:rPr>
          <w:rFonts w:ascii="Times New Roman" w:cs="Times New Roman" w:eastAsia="Times New Roman" w:hAnsi="Times New Roman"/>
          <w:sz w:val="20"/>
          <w:szCs w:val="20"/>
          <w:color w:val="auto"/>
        </w:rPr>
        <w:t>During any period of two consecutive years (not including any period prior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65" w:lineRule="exact"/>
        <w:rPr>
          <w:rFonts w:ascii="Times New Roman" w:cs="Times New Roman" w:eastAsia="Times New Roman" w:hAnsi="Times New Roman"/>
          <w:sz w:val="20"/>
          <w:szCs w:val="20"/>
          <w:color w:val="auto"/>
        </w:rPr>
      </w:pPr>
    </w:p>
    <w:p>
      <w:pPr>
        <w:ind w:right="440" w:firstLine="1663"/>
        <w:spacing w:after="0" w:line="273" w:lineRule="auto"/>
        <w:tabs>
          <w:tab w:leader="none" w:pos="2001"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Corporate Transactions. </w:t>
      </w:r>
      <w:r>
        <w:rPr>
          <w:rFonts w:ascii="Times New Roman" w:cs="Times New Roman" w:eastAsia="Times New Roman" w:hAnsi="Times New Roman"/>
          <w:sz w:val="20"/>
          <w:szCs w:val="20"/>
          <w:color w:val="auto"/>
        </w:rPr>
        <w:t>The effective date of a merger or consolidation of the Company with any other entity,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than a merger or consolidation which would result in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7" w:name="page208"/>
    <w:bookmarkEnd w:id="207"/>
    <w:p>
      <w:pPr>
        <w:spacing w:after="0" w:line="249" w:lineRule="auto"/>
        <w:rPr>
          <w:sz w:val="20"/>
          <w:szCs w:val="20"/>
          <w:color w:val="auto"/>
        </w:rPr>
      </w:pPr>
      <w:r>
        <w:rPr>
          <w:rFonts w:ascii="Times New Roman" w:cs="Times New Roman" w:eastAsia="Times New Roman" w:hAnsi="Times New Roman"/>
          <w:sz w:val="20"/>
          <w:szCs w:val="20"/>
          <w:color w:val="auto"/>
        </w:rPr>
        <w:t>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62" w:lineRule="exact"/>
        <w:rPr>
          <w:sz w:val="20"/>
          <w:szCs w:val="20"/>
          <w:color w:val="auto"/>
        </w:rPr>
      </w:pPr>
    </w:p>
    <w:p>
      <w:pPr>
        <w:ind w:right="420" w:firstLine="1663"/>
        <w:spacing w:after="0" w:line="273" w:lineRule="auto"/>
        <w:tabs>
          <w:tab w:leader="none" w:pos="199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Liquidation. </w:t>
      </w:r>
      <w:r>
        <w:rPr>
          <w:rFonts w:ascii="Times New Roman" w:cs="Times New Roman" w:eastAsia="Times New Roman" w:hAnsi="Times New Roman"/>
          <w:sz w:val="20"/>
          <w:szCs w:val="20"/>
          <w:color w:val="auto"/>
        </w:rPr>
        <w:t>The approval by the stockholders of the Company of a complete liquidation of the Company 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for the sale or disposition by the Company of all or substantially all of the Company’s assets; and</w:t>
      </w:r>
    </w:p>
    <w:p>
      <w:pPr>
        <w:spacing w:after="0" w:line="124" w:lineRule="exact"/>
        <w:rPr>
          <w:rFonts w:ascii="Times New Roman" w:cs="Times New Roman" w:eastAsia="Times New Roman" w:hAnsi="Times New Roman"/>
          <w:sz w:val="20"/>
          <w:szCs w:val="20"/>
          <w:color w:val="auto"/>
        </w:rPr>
      </w:pPr>
    </w:p>
    <w:p>
      <w:pPr>
        <w:jc w:val="both"/>
        <w:ind w:right="40" w:firstLine="1663"/>
        <w:spacing w:after="0" w:line="256" w:lineRule="auto"/>
        <w:tabs>
          <w:tab w:leader="none" w:pos="193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Events. </w:t>
      </w:r>
      <w:r>
        <w:rPr>
          <w:rFonts w:ascii="Times New Roman" w:cs="Times New Roman" w:eastAsia="Times New Roman" w:hAnsi="Times New Roman"/>
          <w:sz w:val="20"/>
          <w:szCs w:val="20"/>
          <w:color w:val="auto"/>
        </w:rPr>
        <w:t>Any other event of a nature that would be required to be reported in response to Item 6(e) of Schedule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14A of Regulation 14A (or in response to any similar item on any similar schedule or form) promulgated under the Securities Exchange Act of 1934, as amended, whether or not the Company is then subject to such reporting requirement.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For purposes of this Section 1(a), the following terms shall have the following meanings:</w:t>
      </w:r>
    </w:p>
    <w:p>
      <w:pPr>
        <w:spacing w:after="0" w:line="198" w:lineRule="exact"/>
        <w:rPr>
          <w:sz w:val="20"/>
          <w:szCs w:val="20"/>
          <w:color w:val="auto"/>
        </w:rPr>
      </w:pPr>
    </w:p>
    <w:p>
      <w:pPr>
        <w:ind w:right="80" w:firstLine="2299"/>
        <w:spacing w:after="0" w:line="250" w:lineRule="auto"/>
        <w:tabs>
          <w:tab w:leader="none" w:pos="2571"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xml:space="preserve">” shall have the meaning as set forth in Sections 13(d) and 14(d) of the Securities Exchange Act of 1934, as amended;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48" w:lineRule="exact"/>
        <w:rPr>
          <w:rFonts w:ascii="Times New Roman" w:cs="Times New Roman" w:eastAsia="Times New Roman" w:hAnsi="Times New Roman"/>
          <w:sz w:val="20"/>
          <w:szCs w:val="20"/>
          <w:color w:val="auto"/>
        </w:rPr>
      </w:pPr>
    </w:p>
    <w:p>
      <w:pPr>
        <w:jc w:val="both"/>
        <w:ind w:right="40" w:firstLine="2299"/>
        <w:spacing w:after="0" w:line="250" w:lineRule="auto"/>
        <w:tabs>
          <w:tab w:leader="none" w:pos="2571"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w:t>
      </w:r>
      <w:r>
        <w:rPr>
          <w:rFonts w:ascii="Times New Roman" w:cs="Times New Roman" w:eastAsia="Times New Roman" w:hAnsi="Times New Roman"/>
          <w:sz w:val="20"/>
          <w:szCs w:val="20"/>
          <w:color w:val="auto"/>
        </w:rPr>
        <w:t xml:space="preserve">” shall have the meaning given to such term in Rule 13d-3 under the Securities Exchange Act of 1934, as amended;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Beneficial Owner</w:t>
      </w:r>
      <w:r>
        <w:rPr>
          <w:rFonts w:ascii="Times New Roman" w:cs="Times New Roman" w:eastAsia="Times New Roman" w:hAnsi="Times New Roman"/>
          <w:sz w:val="20"/>
          <w:szCs w:val="20"/>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62" w:lineRule="exact"/>
        <w:rPr>
          <w:rFonts w:ascii="Times New Roman" w:cs="Times New Roman" w:eastAsia="Times New Roman" w:hAnsi="Times New Roman"/>
          <w:sz w:val="20"/>
          <w:szCs w:val="20"/>
          <w:color w:val="auto"/>
        </w:rPr>
      </w:pPr>
    </w:p>
    <w:p>
      <w:pPr>
        <w:ind w:right="220" w:firstLine="1154"/>
        <w:spacing w:after="0" w:line="273" w:lineRule="auto"/>
        <w:tabs>
          <w:tab w:leader="none" w:pos="142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Status</w:t>
      </w:r>
      <w:r>
        <w:rPr>
          <w:rFonts w:ascii="Times New Roman" w:cs="Times New Roman" w:eastAsia="Times New Roman" w:hAnsi="Times New Roman"/>
          <w:sz w:val="20"/>
          <w:szCs w:val="20"/>
          <w:color w:val="auto"/>
        </w:rPr>
        <w:t>” describes the status of a person who is or was a director, trustee, general partner, managing member, officer, employee, agent or fiduciary of the Company or any other Enterprise.</w:t>
      </w:r>
    </w:p>
    <w:p>
      <w:pPr>
        <w:spacing w:after="0" w:line="138" w:lineRule="exact"/>
        <w:rPr>
          <w:rFonts w:ascii="Times New Roman" w:cs="Times New Roman" w:eastAsia="Times New Roman" w:hAnsi="Times New Roman"/>
          <w:sz w:val="20"/>
          <w:szCs w:val="20"/>
          <w:color w:val="auto"/>
        </w:rPr>
      </w:pPr>
    </w:p>
    <w:p>
      <w:pPr>
        <w:ind w:left="1420" w:hanging="266"/>
        <w:spacing w:after="0"/>
        <w:tabs>
          <w:tab w:leader="none" w:pos="142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means the General Corporation Law of the State of Delaware.</w:t>
      </w:r>
    </w:p>
    <w:p>
      <w:pPr>
        <w:spacing w:after="0" w:line="188" w:lineRule="exact"/>
        <w:rPr>
          <w:rFonts w:ascii="Times New Roman" w:cs="Times New Roman" w:eastAsia="Times New Roman" w:hAnsi="Times New Roman"/>
          <w:sz w:val="20"/>
          <w:szCs w:val="20"/>
          <w:color w:val="auto"/>
        </w:rPr>
      </w:pPr>
    </w:p>
    <w:p>
      <w:pPr>
        <w:ind w:right="180" w:firstLine="1154"/>
        <w:spacing w:after="0" w:line="273" w:lineRule="auto"/>
        <w:tabs>
          <w:tab w:leader="none" w:pos="142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Disinterested Director</w:t>
      </w:r>
      <w:r>
        <w:rPr>
          <w:rFonts w:ascii="Times New Roman" w:cs="Times New Roman" w:eastAsia="Times New Roman" w:hAnsi="Times New Roman"/>
          <w:sz w:val="20"/>
          <w:szCs w:val="20"/>
          <w:color w:val="auto"/>
        </w:rPr>
        <w:t>” means a director of the Company who is not and was not a party to the Proceeding in respect of which indemnification is sought by Indemnitee.</w:t>
      </w:r>
    </w:p>
    <w:p>
      <w:pPr>
        <w:spacing w:after="0" w:line="138" w:lineRule="exact"/>
        <w:rPr>
          <w:rFonts w:ascii="Times New Roman" w:cs="Times New Roman" w:eastAsia="Times New Roman" w:hAnsi="Times New Roman"/>
          <w:sz w:val="20"/>
          <w:szCs w:val="20"/>
          <w:color w:val="auto"/>
        </w:rPr>
      </w:pPr>
    </w:p>
    <w:p>
      <w:pPr>
        <w:ind w:right="120" w:firstLine="1154"/>
        <w:spacing w:after="0" w:line="256" w:lineRule="auto"/>
        <w:tabs>
          <w:tab w:leader="none" w:pos="141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Enterprise</w:t>
      </w:r>
      <w:r>
        <w:rPr>
          <w:rFonts w:ascii="Times New Roman" w:cs="Times New Roman" w:eastAsia="Times New Roman" w:hAnsi="Times New Roman"/>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55" w:lineRule="exact"/>
        <w:rPr>
          <w:rFonts w:ascii="Times New Roman" w:cs="Times New Roman" w:eastAsia="Times New Roman" w:hAnsi="Times New Roman"/>
          <w:sz w:val="20"/>
          <w:szCs w:val="20"/>
          <w:color w:val="auto"/>
        </w:rPr>
      </w:pPr>
    </w:p>
    <w:p>
      <w:pPr>
        <w:ind w:right="40" w:firstLine="1154"/>
        <w:spacing w:after="0" w:line="245" w:lineRule="auto"/>
        <w:tabs>
          <w:tab w:leader="none" w:pos="1393"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Expenses</w:t>
      </w:r>
      <w:r>
        <w:rPr>
          <w:rFonts w:ascii="Times New Roman" w:cs="Times New Roman" w:eastAsia="Times New Roman" w:hAnsi="Times New Roman"/>
          <w:sz w:val="20"/>
          <w:szCs w:val="20"/>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supersedes bond or other appeal bond or their equivalent, and (ii) for purposes of Section 12(d), Expenses incurred by Indemnitee in connection with the interpretation, enforcement or defense of Indemnitee’s rights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08" w:name="page209"/>
    <w:bookmarkEnd w:id="208"/>
    <w:p>
      <w:pPr>
        <w:ind w:right="620"/>
        <w:spacing w:after="0" w:line="269" w:lineRule="auto"/>
        <w:rPr>
          <w:sz w:val="20"/>
          <w:szCs w:val="20"/>
          <w:color w:val="auto"/>
        </w:rPr>
      </w:pPr>
      <w:r>
        <w:rPr>
          <w:rFonts w:ascii="Times New Roman" w:cs="Times New Roman" w:eastAsia="Times New Roman" w:hAnsi="Times New Roman"/>
          <w:sz w:val="20"/>
          <w:szCs w:val="20"/>
          <w:color w:val="auto"/>
        </w:rPr>
        <w:t>Agreement or under any directors’ and officers’ liability insurance policies maintained by the Company. Expenses, however, shall not include amounts paid in settlement by Indemnitee or the amount of judgments or fines against Indemnitee.</w:t>
      </w:r>
    </w:p>
    <w:p>
      <w:pPr>
        <w:spacing w:after="0" w:line="142" w:lineRule="exact"/>
        <w:rPr>
          <w:sz w:val="20"/>
          <w:szCs w:val="20"/>
          <w:color w:val="auto"/>
        </w:rPr>
      </w:pPr>
    </w:p>
    <w:p>
      <w:pPr>
        <w:ind w:firstLine="1154"/>
        <w:spacing w:after="0" w:line="245" w:lineRule="auto"/>
        <w:tabs>
          <w:tab w:leader="none" w:pos="1426"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Counsel</w:t>
      </w:r>
      <w:r>
        <w:rPr>
          <w:rFonts w:ascii="Times New Roman" w:cs="Times New Roman" w:eastAsia="Times New Roman" w:hAnsi="Times New Roman"/>
          <w:sz w:val="20"/>
          <w:szCs w:val="20"/>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20"/>
          <w:szCs w:val="20"/>
          <w:b w:val="1"/>
          <w:bCs w:val="1"/>
          <w:i w:val="1"/>
          <w:iCs w:val="1"/>
          <w:color w:val="auto"/>
        </w:rPr>
        <w:t>Independent Counsel</w:t>
      </w:r>
      <w:r>
        <w:rPr>
          <w:rFonts w:ascii="Times New Roman" w:cs="Times New Roman" w:eastAsia="Times New Roman" w:hAnsi="Times New Roman"/>
          <w:sz w:val="20"/>
          <w:szCs w:val="20"/>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52" w:lineRule="exact"/>
        <w:rPr>
          <w:rFonts w:ascii="Times New Roman" w:cs="Times New Roman" w:eastAsia="Times New Roman" w:hAnsi="Times New Roman"/>
          <w:sz w:val="20"/>
          <w:szCs w:val="20"/>
          <w:color w:val="auto"/>
        </w:rPr>
      </w:pPr>
    </w:p>
    <w:p>
      <w:pPr>
        <w:ind w:right="80" w:firstLine="1154"/>
        <w:spacing w:after="0" w:line="243" w:lineRule="auto"/>
        <w:tabs>
          <w:tab w:leader="none" w:pos="1426"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Proceeding</w:t>
      </w:r>
      <w:r>
        <w:rPr>
          <w:rFonts w:ascii="Times New Roman" w:cs="Times New Roman" w:eastAsia="Times New Roman" w:hAnsi="Times New Roman"/>
          <w:sz w:val="20"/>
          <w:szCs w:val="20"/>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72" w:lineRule="exact"/>
        <w:rPr>
          <w:rFonts w:ascii="Times New Roman" w:cs="Times New Roman" w:eastAsia="Times New Roman" w:hAnsi="Times New Roman"/>
          <w:sz w:val="20"/>
          <w:szCs w:val="20"/>
          <w:color w:val="auto"/>
        </w:rPr>
      </w:pPr>
    </w:p>
    <w:p>
      <w:pPr>
        <w:ind w:right="180" w:firstLine="1154"/>
        <w:spacing w:after="0" w:line="246" w:lineRule="auto"/>
        <w:tabs>
          <w:tab w:leader="none" w:pos="1382"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w:t>
      </w:r>
      <w:r>
        <w:rPr>
          <w:rFonts w:ascii="Times New Roman" w:cs="Times New Roman" w:eastAsia="Times New Roman" w:hAnsi="Times New Roman"/>
          <w:sz w:val="20"/>
          <w:szCs w:val="20"/>
          <w:b w:val="1"/>
          <w:bCs w:val="1"/>
          <w:i w:val="1"/>
          <w:iCs w:val="1"/>
          <w:color w:val="auto"/>
        </w:rPr>
        <w:t>other enterprises</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b w:val="1"/>
          <w:bCs w:val="1"/>
          <w:i w:val="1"/>
          <w:iCs w:val="1"/>
          <w:color w:val="auto"/>
        </w:rPr>
        <w:t>fines</w:t>
      </w:r>
      <w:r>
        <w:rPr>
          <w:rFonts w:ascii="Times New Roman" w:cs="Times New Roman" w:eastAsia="Times New Roman" w:hAnsi="Times New Roman"/>
          <w:sz w:val="20"/>
          <w:szCs w:val="20"/>
          <w:color w:val="auto"/>
        </w:rPr>
        <w:t>” shall include any excise taxes assessed on a person with respect to any employee benefit plan; references to “</w:t>
      </w:r>
      <w:r>
        <w:rPr>
          <w:rFonts w:ascii="Times New Roman" w:cs="Times New Roman" w:eastAsia="Times New Roman" w:hAnsi="Times New Roman"/>
          <w:sz w:val="20"/>
          <w:szCs w:val="20"/>
          <w:b w:val="1"/>
          <w:bCs w:val="1"/>
          <w:i w:val="1"/>
          <w:iCs w:val="1"/>
          <w:color w:val="auto"/>
        </w:rPr>
        <w:t>serving at the request of the Company</w:t>
      </w:r>
      <w:r>
        <w:rPr>
          <w:rFonts w:ascii="Times New Roman" w:cs="Times New Roman" w:eastAsia="Times New Roman" w:hAnsi="Times New Roman"/>
          <w:sz w:val="20"/>
          <w:szCs w:val="20"/>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20"/>
          <w:szCs w:val="20"/>
          <w:b w:val="1"/>
          <w:bCs w:val="1"/>
          <w:i w:val="1"/>
          <w:iCs w:val="1"/>
          <w:color w:val="auto"/>
        </w:rPr>
        <w:t>not opposed to the best interests of the Company</w:t>
      </w:r>
      <w:r>
        <w:rPr>
          <w:rFonts w:ascii="Times New Roman" w:cs="Times New Roman" w:eastAsia="Times New Roman" w:hAnsi="Times New Roman"/>
          <w:sz w:val="20"/>
          <w:szCs w:val="20"/>
          <w:color w:val="auto"/>
        </w:rPr>
        <w:t>” as referred to in this Agreement.</w:t>
      </w:r>
    </w:p>
    <w:p>
      <w:pPr>
        <w:spacing w:after="0" w:line="165" w:lineRule="exact"/>
        <w:rPr>
          <w:rFonts w:ascii="Times New Roman" w:cs="Times New Roman" w:eastAsia="Times New Roman" w:hAnsi="Times New Roman"/>
          <w:sz w:val="20"/>
          <w:szCs w:val="20"/>
          <w:color w:val="auto"/>
        </w:rPr>
      </w:pPr>
    </w:p>
    <w:p>
      <w:pPr>
        <w:ind w:right="40" w:firstLine="517"/>
        <w:spacing w:after="0" w:line="245" w:lineRule="auto"/>
        <w:tabs>
          <w:tab w:leader="none" w:pos="707"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Indemnity in Third-Party Proceedings. </w:t>
      </w:r>
      <w:r>
        <w:rPr>
          <w:rFonts w:ascii="Times New Roman" w:cs="Times New Roman" w:eastAsia="Times New Roman" w:hAnsi="Times New Roman"/>
          <w:sz w:val="20"/>
          <w:szCs w:val="20"/>
          <w:color w:val="auto"/>
        </w:rPr>
        <w:t>The Company shall indemnify Indemnitee in accordance with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52" w:lineRule="exact"/>
        <w:rPr>
          <w:rFonts w:ascii="Times New Roman" w:cs="Times New Roman" w:eastAsia="Times New Roman" w:hAnsi="Times New Roman"/>
          <w:sz w:val="20"/>
          <w:szCs w:val="20"/>
          <w:b w:val="1"/>
          <w:bCs w:val="1"/>
          <w:color w:val="auto"/>
        </w:rPr>
      </w:pPr>
    </w:p>
    <w:p>
      <w:pPr>
        <w:jc w:val="both"/>
        <w:ind w:right="80" w:firstLine="517"/>
        <w:spacing w:after="0" w:line="256" w:lineRule="auto"/>
        <w:tabs>
          <w:tab w:leader="none" w:pos="707"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Indemnity in Proceedings by or in the Right of the Company. </w:t>
      </w:r>
      <w:r>
        <w:rPr>
          <w:rFonts w:ascii="Times New Roman" w:cs="Times New Roman" w:eastAsia="Times New Roman" w:hAnsi="Times New Roman"/>
          <w:sz w:val="20"/>
          <w:szCs w:val="20"/>
          <w:color w:val="auto"/>
        </w:rPr>
        <w:t>The Company shall indemnify Indemnitee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this Section 3 if Indemnitee is, or is threatened to be made, a party to or a participant in any Proceeding by or in the right of the Company to procure a judgment in its favor. Pursuant to this Section 3, Indemnitee shall be indemnified to the fullest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9" w:name="page210"/>
    <w:bookmarkEnd w:id="209"/>
    <w:p>
      <w:pPr>
        <w:spacing w:after="0" w:line="244" w:lineRule="auto"/>
        <w:rPr>
          <w:sz w:val="20"/>
          <w:szCs w:val="20"/>
          <w:color w:val="auto"/>
        </w:rPr>
      </w:pPr>
      <w:r>
        <w:rPr>
          <w:rFonts w:ascii="Times New Roman" w:cs="Times New Roman" w:eastAsia="Times New Roman" w:hAnsi="Times New Roman"/>
          <w:sz w:val="20"/>
          <w:szCs w:val="20"/>
          <w:color w:val="auto"/>
        </w:rPr>
        <w:t>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68" w:lineRule="exact"/>
        <w:rPr>
          <w:sz w:val="20"/>
          <w:szCs w:val="20"/>
          <w:color w:val="auto"/>
        </w:rPr>
      </w:pPr>
    </w:p>
    <w:p>
      <w:pPr>
        <w:ind w:firstLine="517"/>
        <w:spacing w:after="0" w:line="243" w:lineRule="auto"/>
        <w:tabs>
          <w:tab w:leader="none" w:pos="707"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for Expenses of a Party Who is Wholly or Partly Successful. </w:t>
      </w:r>
      <w:r>
        <w:rPr>
          <w:rFonts w:ascii="Times New Roman" w:cs="Times New Roman" w:eastAsia="Times New Roman" w:hAnsi="Times New Roman"/>
          <w:sz w:val="20"/>
          <w:szCs w:val="20"/>
          <w:color w:val="auto"/>
        </w:rPr>
        <w:t>To the extent that Indemnitee is a party to 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58" w:lineRule="exact"/>
        <w:rPr>
          <w:rFonts w:ascii="Times New Roman" w:cs="Times New Roman" w:eastAsia="Times New Roman" w:hAnsi="Times New Roman"/>
          <w:sz w:val="20"/>
          <w:szCs w:val="20"/>
          <w:b w:val="1"/>
          <w:bCs w:val="1"/>
          <w:color w:val="auto"/>
        </w:rPr>
      </w:pPr>
    </w:p>
    <w:p>
      <w:pPr>
        <w:ind w:right="40" w:firstLine="517"/>
        <w:spacing w:after="0" w:line="256" w:lineRule="auto"/>
        <w:tabs>
          <w:tab w:leader="none" w:pos="707"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for Expenses of a Witness. </w:t>
      </w:r>
      <w:r>
        <w:rPr>
          <w:rFonts w:ascii="Times New Roman" w:cs="Times New Roman" w:eastAsia="Times New Roman" w:hAnsi="Times New Roman"/>
          <w:sz w:val="20"/>
          <w:szCs w:val="20"/>
          <w:color w:val="auto"/>
        </w:rPr>
        <w:t>To the extent that Indemnitee is, by reason of his or her Corporate Status, a witness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55" w:lineRule="exact"/>
        <w:rPr>
          <w:rFonts w:ascii="Times New Roman" w:cs="Times New Roman" w:eastAsia="Times New Roman" w:hAnsi="Times New Roman"/>
          <w:sz w:val="20"/>
          <w:szCs w:val="20"/>
          <w:b w:val="1"/>
          <w:bCs w:val="1"/>
          <w:color w:val="auto"/>
        </w:rPr>
      </w:pPr>
    </w:p>
    <w:p>
      <w:pPr>
        <w:ind w:left="720" w:hanging="203"/>
        <w:spacing w:after="0"/>
        <w:tabs>
          <w:tab w:leader="none" w:pos="72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Indemnification</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right="140" w:firstLine="1154"/>
        <w:spacing w:after="0" w:line="246" w:lineRule="auto"/>
        <w:tabs>
          <w:tab w:leader="none" w:pos="1415"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53" w:lineRule="exact"/>
        <w:rPr>
          <w:rFonts w:ascii="Times New Roman" w:cs="Times New Roman" w:eastAsia="Times New Roman" w:hAnsi="Times New Roman"/>
          <w:sz w:val="20"/>
          <w:szCs w:val="20"/>
          <w:color w:val="auto"/>
        </w:rPr>
      </w:pPr>
    </w:p>
    <w:p>
      <w:pPr>
        <w:ind w:right="240" w:firstLine="1154"/>
        <w:spacing w:after="0" w:line="273" w:lineRule="auto"/>
        <w:tabs>
          <w:tab w:leader="none" w:pos="1426"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6(a), the meaning of the phrase “</w:t>
      </w:r>
      <w:r>
        <w:rPr>
          <w:rFonts w:ascii="Times New Roman" w:cs="Times New Roman" w:eastAsia="Times New Roman" w:hAnsi="Times New Roman"/>
          <w:sz w:val="20"/>
          <w:szCs w:val="20"/>
          <w:b w:val="1"/>
          <w:bCs w:val="1"/>
          <w:i w:val="1"/>
          <w:iCs w:val="1"/>
          <w:color w:val="auto"/>
        </w:rPr>
        <w:t>to the fullest extent permitted by applicable law</w:t>
      </w:r>
      <w:r>
        <w:rPr>
          <w:rFonts w:ascii="Times New Roman" w:cs="Times New Roman" w:eastAsia="Times New Roman" w:hAnsi="Times New Roman"/>
          <w:sz w:val="20"/>
          <w:szCs w:val="20"/>
          <w:color w:val="auto"/>
        </w:rPr>
        <w:t>” shall include, but not be limited to:</w:t>
      </w:r>
    </w:p>
    <w:p>
      <w:pPr>
        <w:spacing w:after="0" w:line="142" w:lineRule="exact"/>
        <w:rPr>
          <w:rFonts w:ascii="Times New Roman" w:cs="Times New Roman" w:eastAsia="Times New Roman" w:hAnsi="Times New Roman"/>
          <w:sz w:val="20"/>
          <w:szCs w:val="20"/>
          <w:color w:val="auto"/>
        </w:rPr>
      </w:pPr>
    </w:p>
    <w:p>
      <w:pPr>
        <w:ind w:right="100" w:firstLine="1663"/>
        <w:spacing w:after="0" w:line="269" w:lineRule="auto"/>
        <w:tabs>
          <w:tab w:leader="none" w:pos="1891"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fullest extent permitted by the provision of the DGCL that authorizes or contemplates additional indemnification by agreement, or the corresponding provision of any amendment to or replacement of the DGCL; and</w:t>
      </w:r>
    </w:p>
    <w:p>
      <w:pPr>
        <w:spacing w:after="0" w:line="145" w:lineRule="exact"/>
        <w:rPr>
          <w:rFonts w:ascii="Times New Roman" w:cs="Times New Roman" w:eastAsia="Times New Roman" w:hAnsi="Times New Roman"/>
          <w:sz w:val="20"/>
          <w:szCs w:val="20"/>
          <w:color w:val="auto"/>
        </w:rPr>
      </w:pPr>
    </w:p>
    <w:p>
      <w:pPr>
        <w:ind w:right="40" w:firstLine="1663"/>
        <w:spacing w:after="0" w:line="269" w:lineRule="auto"/>
        <w:tabs>
          <w:tab w:leader="none" w:pos="1946"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28" w:lineRule="exact"/>
        <w:rPr>
          <w:rFonts w:ascii="Times New Roman" w:cs="Times New Roman" w:eastAsia="Times New Roman" w:hAnsi="Times New Roman"/>
          <w:sz w:val="20"/>
          <w:szCs w:val="20"/>
          <w:color w:val="auto"/>
        </w:rPr>
      </w:pPr>
    </w:p>
    <w:p>
      <w:pPr>
        <w:ind w:right="240" w:firstLine="517"/>
        <w:spacing w:after="0" w:line="273" w:lineRule="auto"/>
        <w:tabs>
          <w:tab w:leader="none" w:pos="707"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Exclusions. </w:t>
      </w:r>
      <w:r>
        <w:rPr>
          <w:rFonts w:ascii="Times New Roman" w:cs="Times New Roman" w:eastAsia="Times New Roman" w:hAnsi="Times New Roman"/>
          <w:sz w:val="20"/>
          <w:szCs w:val="20"/>
          <w:color w:val="auto"/>
        </w:rPr>
        <w:t>Notwithstanding any provision in this Agreement, the Company shall not be obligated under this Agreement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indemnity in connection with any Proceeding (or any part of any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0" w:name="page211"/>
    <w:bookmarkEnd w:id="210"/>
    <w:p>
      <w:pPr>
        <w:ind w:left="-517" w:right="360" w:firstLine="1154"/>
        <w:spacing w:after="0" w:line="269" w:lineRule="auto"/>
        <w:tabs>
          <w:tab w:leader="none" w:pos="898"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Indemnitee under any statute, insurance policy, indemnity provision, vote or otherwise, except with respect to any excess beyond the amount paid;</w:t>
      </w:r>
    </w:p>
    <w:p>
      <w:pPr>
        <w:spacing w:after="0" w:line="145" w:lineRule="exact"/>
        <w:rPr>
          <w:rFonts w:ascii="Times New Roman" w:cs="Times New Roman" w:eastAsia="Times New Roman" w:hAnsi="Times New Roman"/>
          <w:sz w:val="20"/>
          <w:szCs w:val="20"/>
          <w:color w:val="auto"/>
        </w:rPr>
      </w:pPr>
    </w:p>
    <w:p>
      <w:pPr>
        <w:ind w:left="-517" w:firstLine="1154"/>
        <w:spacing w:after="0" w:line="254" w:lineRule="auto"/>
        <w:tabs>
          <w:tab w:leader="none" w:pos="909"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47" w:lineRule="exact"/>
        <w:rPr>
          <w:rFonts w:ascii="Times New Roman" w:cs="Times New Roman" w:eastAsia="Times New Roman" w:hAnsi="Times New Roman"/>
          <w:sz w:val="20"/>
          <w:szCs w:val="20"/>
          <w:color w:val="auto"/>
        </w:rPr>
      </w:pPr>
    </w:p>
    <w:p>
      <w:pPr>
        <w:ind w:left="-517" w:right="40" w:firstLine="1154"/>
        <w:spacing w:after="0" w:line="245" w:lineRule="auto"/>
        <w:tabs>
          <w:tab w:leader="none" w:pos="898"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Times New Roman" w:cs="Times New Roman" w:eastAsia="Times New Roman" w:hAnsi="Times New Roman"/>
          <w:sz w:val="20"/>
          <w:szCs w:val="20"/>
          <w:b w:val="1"/>
          <w:bCs w:val="1"/>
          <w:i w:val="1"/>
          <w:iCs w:val="1"/>
          <w:color w:val="auto"/>
        </w:rPr>
        <w:t>Sarbanes-Oxley Act</w:t>
      </w:r>
      <w:r>
        <w:rPr>
          <w:rFonts w:ascii="Times New Roman" w:cs="Times New Roman" w:eastAsia="Times New Roman" w:hAnsi="Times New Roman"/>
          <w:sz w:val="20"/>
          <w:szCs w:val="20"/>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70" w:lineRule="exact"/>
        <w:rPr>
          <w:rFonts w:ascii="Times New Roman" w:cs="Times New Roman" w:eastAsia="Times New Roman" w:hAnsi="Times New Roman"/>
          <w:sz w:val="20"/>
          <w:szCs w:val="20"/>
          <w:color w:val="auto"/>
        </w:rPr>
      </w:pPr>
    </w:p>
    <w:p>
      <w:pPr>
        <w:ind w:left="-517" w:right="60" w:firstLine="1154"/>
        <w:spacing w:after="0" w:line="246" w:lineRule="auto"/>
        <w:tabs>
          <w:tab w:leader="none" w:pos="909"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71" w:lineRule="exact"/>
        <w:rPr>
          <w:rFonts w:ascii="Times New Roman" w:cs="Times New Roman" w:eastAsia="Times New Roman" w:hAnsi="Times New Roman"/>
          <w:sz w:val="20"/>
          <w:szCs w:val="20"/>
          <w:color w:val="auto"/>
        </w:rPr>
      </w:pPr>
    </w:p>
    <w:p>
      <w:pPr>
        <w:ind w:left="903" w:hanging="266"/>
        <w:spacing w:after="0"/>
        <w:tabs>
          <w:tab w:leader="none" w:pos="903"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prohibited by applicable law.</w:t>
      </w:r>
    </w:p>
    <w:p>
      <w:pPr>
        <w:spacing w:after="0" w:line="184" w:lineRule="exact"/>
        <w:rPr>
          <w:rFonts w:ascii="Times New Roman" w:cs="Times New Roman" w:eastAsia="Times New Roman" w:hAnsi="Times New Roman"/>
          <w:sz w:val="20"/>
          <w:szCs w:val="20"/>
          <w:color w:val="auto"/>
        </w:rPr>
      </w:pPr>
    </w:p>
    <w:p>
      <w:pPr>
        <w:ind w:left="-517" w:right="20" w:firstLine="517"/>
        <w:spacing w:after="0" w:line="243" w:lineRule="auto"/>
        <w:tabs>
          <w:tab w:leader="none" w:pos="19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Advances of Expenses. </w:t>
      </w:r>
      <w:r>
        <w:rPr>
          <w:rFonts w:ascii="Times New Roman" w:cs="Times New Roman" w:eastAsia="Times New Roman" w:hAnsi="Times New Roman"/>
          <w:sz w:val="20"/>
          <w:szCs w:val="20"/>
          <w:color w:val="auto"/>
        </w:rPr>
        <w:t>The Company shall advance the Expenses incurred by Indemnitee in connection with any Proceeding,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pacing w:after="0" w:line="168" w:lineRule="exact"/>
        <w:rPr>
          <w:rFonts w:ascii="Times New Roman" w:cs="Times New Roman" w:eastAsia="Times New Roman" w:hAnsi="Times New Roman"/>
          <w:sz w:val="20"/>
          <w:szCs w:val="20"/>
          <w:b w:val="1"/>
          <w:bCs w:val="1"/>
          <w:color w:val="auto"/>
        </w:rPr>
      </w:pPr>
    </w:p>
    <w:p>
      <w:pPr>
        <w:ind w:left="203" w:hanging="203"/>
        <w:spacing w:after="0"/>
        <w:tabs>
          <w:tab w:leader="none" w:pos="203"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for Notification and Defense of Claim</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left="-517" w:right="140" w:firstLine="1154"/>
        <w:spacing w:after="0" w:line="245" w:lineRule="auto"/>
        <w:tabs>
          <w:tab w:leader="none" w:pos="89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993140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13" w:right="339" w:bottom="1440" w:gutter="0" w:footer="0" w:header="0"/>
        </w:sectPr>
      </w:pPr>
    </w:p>
    <w:bookmarkStart w:id="211" w:name="page212"/>
    <w:bookmarkEnd w:id="211"/>
    <w:p>
      <w:pPr>
        <w:jc w:val="both"/>
        <w:ind w:left="-517" w:right="100" w:firstLine="1154"/>
        <w:spacing w:after="0" w:line="246" w:lineRule="auto"/>
        <w:tabs>
          <w:tab w:leader="none" w:pos="909"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71" w:lineRule="exact"/>
        <w:rPr>
          <w:rFonts w:ascii="Times New Roman" w:cs="Times New Roman" w:eastAsia="Times New Roman" w:hAnsi="Times New Roman"/>
          <w:sz w:val="20"/>
          <w:szCs w:val="20"/>
          <w:color w:val="auto"/>
        </w:rPr>
      </w:pPr>
    </w:p>
    <w:p>
      <w:pPr>
        <w:ind w:left="-517" w:right="40" w:firstLine="1154"/>
        <w:spacing w:after="0" w:line="241" w:lineRule="auto"/>
        <w:tabs>
          <w:tab w:leader="none" w:pos="89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fees and expenses are non-duplicative and reasonably incurred in connection with Indemnitee’s role in the Proceeding despite the Company’s assumption of the defense, (iv) 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68" w:lineRule="exact"/>
        <w:rPr>
          <w:rFonts w:ascii="Times New Roman" w:cs="Times New Roman" w:eastAsia="Times New Roman" w:hAnsi="Times New Roman"/>
          <w:sz w:val="20"/>
          <w:szCs w:val="20"/>
          <w:color w:val="auto"/>
        </w:rPr>
      </w:pPr>
    </w:p>
    <w:p>
      <w:pPr>
        <w:ind w:left="-517" w:right="640" w:firstLine="1154"/>
        <w:spacing w:after="0" w:line="269" w:lineRule="auto"/>
        <w:tabs>
          <w:tab w:leader="none" w:pos="909"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give the Company such information and cooperation in connection with the Proceeding as may be reasonably appropriate.</w:t>
      </w:r>
    </w:p>
    <w:p>
      <w:pPr>
        <w:spacing w:after="0" w:line="145" w:lineRule="exact"/>
        <w:rPr>
          <w:rFonts w:ascii="Times New Roman" w:cs="Times New Roman" w:eastAsia="Times New Roman" w:hAnsi="Times New Roman"/>
          <w:sz w:val="20"/>
          <w:szCs w:val="20"/>
          <w:color w:val="auto"/>
        </w:rPr>
      </w:pPr>
    </w:p>
    <w:p>
      <w:pPr>
        <w:ind w:left="-517" w:right="580" w:firstLine="1154"/>
        <w:spacing w:after="0" w:line="269" w:lineRule="auto"/>
        <w:tabs>
          <w:tab w:leader="none" w:pos="89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to indemnify Indemnitee for any settlement of any Proceeding (or any part thereof) without the Company’s prior written consent, which shall not be unreasonably withheld.</w:t>
      </w:r>
    </w:p>
    <w:p>
      <w:pPr>
        <w:spacing w:after="0" w:line="145" w:lineRule="exact"/>
        <w:rPr>
          <w:rFonts w:ascii="Times New Roman" w:cs="Times New Roman" w:eastAsia="Times New Roman" w:hAnsi="Times New Roman"/>
          <w:sz w:val="20"/>
          <w:szCs w:val="20"/>
          <w:color w:val="auto"/>
        </w:rPr>
      </w:pPr>
    </w:p>
    <w:p>
      <w:pPr>
        <w:ind w:left="-517" w:right="120" w:firstLine="1154"/>
        <w:spacing w:after="0" w:line="269" w:lineRule="auto"/>
        <w:tabs>
          <w:tab w:leader="none" w:pos="876"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settle any Proceeding (or any part thereof) without Indemnitee’s prior written consent, which shall not be unreasonably withheld.</w:t>
      </w:r>
    </w:p>
    <w:p>
      <w:pPr>
        <w:spacing w:after="0" w:line="128" w:lineRule="exact"/>
        <w:rPr>
          <w:rFonts w:ascii="Times New Roman" w:cs="Times New Roman" w:eastAsia="Times New Roman" w:hAnsi="Times New Roman"/>
          <w:sz w:val="20"/>
          <w:szCs w:val="20"/>
          <w:color w:val="auto"/>
        </w:rPr>
      </w:pPr>
    </w:p>
    <w:p>
      <w:pPr>
        <w:ind w:left="303" w:hanging="303"/>
        <w:spacing w:after="0"/>
        <w:tabs>
          <w:tab w:leader="none" w:pos="303"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upon Application for Indemnification</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left="-517" w:right="100" w:firstLine="1154"/>
        <w:spacing w:after="0" w:line="245" w:lineRule="auto"/>
        <w:tabs>
          <w:tab w:leader="none" w:pos="89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pacing w:after="0" w:line="170" w:lineRule="exact"/>
        <w:rPr>
          <w:rFonts w:ascii="Times New Roman" w:cs="Times New Roman" w:eastAsia="Times New Roman" w:hAnsi="Times New Roman"/>
          <w:sz w:val="20"/>
          <w:szCs w:val="20"/>
          <w:color w:val="auto"/>
        </w:rPr>
      </w:pPr>
    </w:p>
    <w:p>
      <w:pPr>
        <w:ind w:left="-517" w:firstLine="1154"/>
        <w:spacing w:after="0" w:line="249" w:lineRule="auto"/>
        <w:tabs>
          <w:tab w:leader="none" w:pos="909"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989965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13" w:right="379" w:bottom="1440" w:gutter="0" w:footer="0" w:header="0"/>
        </w:sectPr>
      </w:pPr>
    </w:p>
    <w:bookmarkStart w:id="212" w:name="page213"/>
    <w:bookmarkEnd w:id="212"/>
    <w:p>
      <w:pPr>
        <w:ind w:right="60"/>
        <w:spacing w:after="0" w:line="242" w:lineRule="auto"/>
        <w:rPr>
          <w:sz w:val="20"/>
          <w:szCs w:val="20"/>
          <w:color w:val="auto"/>
        </w:rPr>
      </w:pPr>
      <w:r>
        <w:rPr>
          <w:rFonts w:ascii="Times New Roman" w:cs="Times New Roman" w:eastAsia="Times New Roman" w:hAnsi="Times New Roman"/>
          <w:sz w:val="20"/>
          <w:szCs w:val="20"/>
          <w:color w:val="auto"/>
        </w:rPr>
        <w:t>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so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176" w:lineRule="exact"/>
        <w:rPr>
          <w:sz w:val="20"/>
          <w:szCs w:val="20"/>
          <w:color w:val="auto"/>
        </w:rPr>
      </w:pPr>
    </w:p>
    <w:p>
      <w:pPr>
        <w:ind w:firstLine="1154"/>
        <w:spacing w:after="0"/>
        <w:tabs>
          <w:tab w:leader="none" w:pos="1415"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such objection may be asserted only on the ground that the Independent Counsel so selected does not meet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pursuant to Section 12(a) of this Agreement, the Independent Counsel shall be discharged and relieved of any further responsibility in such capacity (subject to the applicable standards of professional conduct then prevailing).</w:t>
      </w:r>
    </w:p>
    <w:p>
      <w:pPr>
        <w:spacing w:after="0" w:line="178" w:lineRule="exact"/>
        <w:rPr>
          <w:rFonts w:ascii="Times New Roman" w:cs="Times New Roman" w:eastAsia="Times New Roman" w:hAnsi="Times New Roman"/>
          <w:sz w:val="20"/>
          <w:szCs w:val="20"/>
          <w:color w:val="auto"/>
        </w:rPr>
      </w:pPr>
    </w:p>
    <w:p>
      <w:pPr>
        <w:ind w:right="120" w:firstLine="1154"/>
        <w:spacing w:after="0" w:line="254" w:lineRule="auto"/>
        <w:tabs>
          <w:tab w:leader="none" w:pos="1426"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156" w:lineRule="exact"/>
        <w:rPr>
          <w:rFonts w:ascii="Times New Roman" w:cs="Times New Roman" w:eastAsia="Times New Roman" w:hAnsi="Times New Roman"/>
          <w:sz w:val="20"/>
          <w:szCs w:val="20"/>
          <w:color w:val="auto"/>
        </w:rPr>
      </w:pPr>
    </w:p>
    <w:p>
      <w:pPr>
        <w:ind w:left="820" w:hanging="303"/>
        <w:spacing w:after="0"/>
        <w:tabs>
          <w:tab w:leader="none" w:pos="82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Presumptions and Effect of Certain Proceedings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right="220" w:firstLine="1154"/>
        <w:spacing w:after="0" w:line="269" w:lineRule="auto"/>
        <w:tabs>
          <w:tab w:leader="none" w:pos="1415"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making a determination with respect to entitlement to indemnification hereunder, the person, persons or entity making such determination shall, to the fullest extent not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3" w:name="page214"/>
    <w:bookmarkEnd w:id="213"/>
    <w:p>
      <w:pPr>
        <w:spacing w:after="0" w:line="249" w:lineRule="auto"/>
        <w:rPr>
          <w:sz w:val="20"/>
          <w:szCs w:val="20"/>
          <w:color w:val="auto"/>
        </w:rPr>
      </w:pPr>
      <w:r>
        <w:rPr>
          <w:rFonts w:ascii="Times New Roman" w:cs="Times New Roman" w:eastAsia="Times New Roman" w:hAnsi="Times New Roman"/>
          <w:sz w:val="20"/>
          <w:szCs w:val="20"/>
          <w:color w:val="auto"/>
        </w:rPr>
        <w:t>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pacing w:after="0" w:line="166" w:lineRule="exact"/>
        <w:rPr>
          <w:sz w:val="20"/>
          <w:szCs w:val="20"/>
          <w:color w:val="auto"/>
        </w:rPr>
      </w:pPr>
    </w:p>
    <w:p>
      <w:pPr>
        <w:ind w:right="20" w:firstLine="1154"/>
        <w:spacing w:after="0" w:line="246" w:lineRule="auto"/>
        <w:tabs>
          <w:tab w:leader="none" w:pos="1426"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57" w:lineRule="exact"/>
        <w:rPr>
          <w:rFonts w:ascii="Times New Roman" w:cs="Times New Roman" w:eastAsia="Times New Roman" w:hAnsi="Times New Roman"/>
          <w:sz w:val="20"/>
          <w:szCs w:val="20"/>
          <w:color w:val="auto"/>
        </w:rPr>
      </w:pPr>
    </w:p>
    <w:p>
      <w:pPr>
        <w:ind w:right="20" w:firstLine="1154"/>
        <w:spacing w:after="0" w:line="243" w:lineRule="auto"/>
        <w:tabs>
          <w:tab w:leader="none" w:pos="1415"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175" w:lineRule="exact"/>
        <w:rPr>
          <w:rFonts w:ascii="Times New Roman" w:cs="Times New Roman" w:eastAsia="Times New Roman" w:hAnsi="Times New Roman"/>
          <w:sz w:val="20"/>
          <w:szCs w:val="20"/>
          <w:color w:val="auto"/>
        </w:rPr>
      </w:pPr>
    </w:p>
    <w:p>
      <w:pPr>
        <w:ind w:right="80" w:firstLine="1154"/>
        <w:spacing w:after="0" w:line="269" w:lineRule="auto"/>
        <w:tabs>
          <w:tab w:leader="none" w:pos="1426"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41" w:lineRule="exact"/>
        <w:rPr>
          <w:rFonts w:ascii="Times New Roman" w:cs="Times New Roman" w:eastAsia="Times New Roman" w:hAnsi="Times New Roman"/>
          <w:sz w:val="20"/>
          <w:szCs w:val="20"/>
          <w:color w:val="auto"/>
        </w:rPr>
      </w:pPr>
    </w:p>
    <w:p>
      <w:pPr>
        <w:ind w:left="820" w:hanging="303"/>
        <w:spacing w:after="0"/>
        <w:tabs>
          <w:tab w:leader="none" w:pos="82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 of Indemnitee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b w:val="1"/>
          <w:bCs w:val="1"/>
          <w:color w:val="auto"/>
        </w:rPr>
      </w:pPr>
    </w:p>
    <w:p>
      <w:pPr>
        <w:ind w:right="20" w:firstLine="1154"/>
        <w:spacing w:after="0" w:line="256" w:lineRule="auto"/>
        <w:tabs>
          <w:tab w:leader="none" w:pos="1415"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The Company shall not oppose Indemnitee’s right to seek any such adjudication in accordance with this Agreement.</w:t>
      </w:r>
    </w:p>
    <w:p>
      <w:pPr>
        <w:spacing w:after="0" w:line="163" w:lineRule="exact"/>
        <w:rPr>
          <w:rFonts w:ascii="Times New Roman" w:cs="Times New Roman" w:eastAsia="Times New Roman" w:hAnsi="Times New Roman"/>
          <w:sz w:val="19"/>
          <w:szCs w:val="19"/>
          <w:color w:val="auto"/>
        </w:rPr>
      </w:pPr>
    </w:p>
    <w:p>
      <w:pPr>
        <w:ind w:firstLine="1154"/>
        <w:spacing w:after="0" w:line="249" w:lineRule="auto"/>
        <w:tabs>
          <w:tab w:leader="none" w:pos="142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4" w:name="page215"/>
    <w:bookmarkEnd w:id="214"/>
    <w:p>
      <w:pPr>
        <w:ind w:right="40"/>
        <w:spacing w:after="0" w:line="245" w:lineRule="auto"/>
        <w:rPr>
          <w:sz w:val="20"/>
          <w:szCs w:val="20"/>
          <w:color w:val="auto"/>
        </w:rPr>
      </w:pPr>
      <w:r>
        <w:rPr>
          <w:rFonts w:ascii="Times New Roman" w:cs="Times New Roman" w:eastAsia="Times New Roman" w:hAnsi="Times New Roman"/>
          <w:sz w:val="20"/>
          <w:szCs w:val="20"/>
          <w:color w:val="auto"/>
        </w:rPr>
        <w:t xml:space="preserve">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pacing w:after="0" w:line="171" w:lineRule="exact"/>
        <w:rPr>
          <w:sz w:val="20"/>
          <w:szCs w:val="20"/>
          <w:color w:val="auto"/>
        </w:rPr>
      </w:pPr>
    </w:p>
    <w:p>
      <w:pPr>
        <w:ind w:firstLine="1154"/>
        <w:spacing w:after="0" w:line="256" w:lineRule="auto"/>
        <w:tabs>
          <w:tab w:leader="none" w:pos="1415" w:val="left"/>
        </w:tabs>
        <w:numPr>
          <w:ilvl w:val="2"/>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w:t>
      </w:r>
    </w:p>
    <w:p>
      <w:pPr>
        <w:ind w:left="300" w:hanging="292"/>
        <w:spacing w:after="0"/>
        <w:tabs>
          <w:tab w:leader="none" w:pos="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of such indemnification under applicable law.</w:t>
      </w:r>
    </w:p>
    <w:p>
      <w:pPr>
        <w:spacing w:after="0" w:line="166" w:lineRule="exact"/>
        <w:rPr>
          <w:rFonts w:ascii="Times New Roman" w:cs="Times New Roman" w:eastAsia="Times New Roman" w:hAnsi="Times New Roman"/>
          <w:sz w:val="20"/>
          <w:szCs w:val="20"/>
          <w:color w:val="auto"/>
        </w:rPr>
      </w:pPr>
    </w:p>
    <w:p>
      <w:pPr>
        <w:ind w:firstLine="1154"/>
        <w:spacing w:after="0" w:line="246" w:lineRule="auto"/>
        <w:tabs>
          <w:tab w:leader="none" w:pos="1426" w:val="left"/>
        </w:tabs>
        <w:numPr>
          <w:ilvl w:val="2"/>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60 days, after receipt by the Company of a written request therefor) advance such Expenses to Indemnitee, subject to the provisions of Section 8.</w:t>
      </w:r>
    </w:p>
    <w:p>
      <w:pPr>
        <w:spacing w:after="0" w:line="171" w:lineRule="exact"/>
        <w:rPr>
          <w:rFonts w:ascii="Times New Roman" w:cs="Times New Roman" w:eastAsia="Times New Roman" w:hAnsi="Times New Roman"/>
          <w:sz w:val="20"/>
          <w:szCs w:val="20"/>
          <w:color w:val="auto"/>
        </w:rPr>
      </w:pPr>
    </w:p>
    <w:p>
      <w:pPr>
        <w:ind w:right="100" w:firstLine="1154"/>
        <w:spacing w:after="0" w:line="269" w:lineRule="auto"/>
        <w:tabs>
          <w:tab w:leader="none" w:pos="1415" w:val="left"/>
        </w:tabs>
        <w:numPr>
          <w:ilvl w:val="2"/>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no determination as to entitlement to indemnification shall be required to be made prior to the final disposition of the Proceeding.</w:t>
      </w:r>
    </w:p>
    <w:p>
      <w:pPr>
        <w:spacing w:after="0" w:line="141" w:lineRule="exact"/>
        <w:rPr>
          <w:rFonts w:ascii="Times New Roman" w:cs="Times New Roman" w:eastAsia="Times New Roman" w:hAnsi="Times New Roman"/>
          <w:sz w:val="20"/>
          <w:szCs w:val="20"/>
          <w:color w:val="auto"/>
        </w:rPr>
      </w:pPr>
    </w:p>
    <w:p>
      <w:pPr>
        <w:ind w:right="20" w:firstLine="517"/>
        <w:spacing w:after="0" w:line="245" w:lineRule="auto"/>
        <w:tabs>
          <w:tab w:leader="none" w:pos="806" w:val="left"/>
        </w:tabs>
        <w:numPr>
          <w:ilvl w:val="1"/>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Contribution. </w:t>
      </w:r>
      <w:r>
        <w:rPr>
          <w:rFonts w:ascii="Times New Roman" w:cs="Times New Roman" w:eastAsia="Times New Roman" w:hAnsi="Times New Roman"/>
          <w:sz w:val="20"/>
          <w:szCs w:val="20"/>
          <w:color w:val="auto"/>
        </w:rPr>
        <w:t>To the fullest extent permissible under applicable law, if the indemnification provided for in this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52" w:lineRule="exact"/>
        <w:rPr>
          <w:rFonts w:ascii="Times New Roman" w:cs="Times New Roman" w:eastAsia="Times New Roman" w:hAnsi="Times New Roman"/>
          <w:sz w:val="20"/>
          <w:szCs w:val="20"/>
          <w:b w:val="1"/>
          <w:bCs w:val="1"/>
          <w:color w:val="auto"/>
        </w:rPr>
      </w:pPr>
    </w:p>
    <w:p>
      <w:pPr>
        <w:ind w:firstLine="517"/>
        <w:spacing w:after="0" w:line="244" w:lineRule="auto"/>
        <w:tabs>
          <w:tab w:leader="none" w:pos="806" w:val="left"/>
        </w:tabs>
        <w:numPr>
          <w:ilvl w:val="1"/>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Non-exclusivity. </w:t>
      </w:r>
      <w:r>
        <w:rPr>
          <w:rFonts w:ascii="Times New Roman" w:cs="Times New Roman" w:eastAsia="Times New Roman" w:hAnsi="Times New Roman"/>
          <w:sz w:val="20"/>
          <w:szCs w:val="20"/>
          <w:color w:val="auto"/>
        </w:rPr>
        <w:t>The rights of indemnification and to receive advancement of Expenses as provided by this Agreement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5" w:name="page216"/>
    <w:bookmarkEnd w:id="215"/>
    <w:p>
      <w:pPr>
        <w:spacing w:after="0" w:line="254" w:lineRule="auto"/>
        <w:rPr>
          <w:sz w:val="20"/>
          <w:szCs w:val="20"/>
          <w:color w:val="auto"/>
        </w:rPr>
      </w:pPr>
      <w:r>
        <w:rPr>
          <w:rFonts w:ascii="Times New Roman" w:cs="Times New Roman" w:eastAsia="Times New Roman" w:hAnsi="Times New Roman"/>
          <w:sz w:val="20"/>
          <w:szCs w:val="20"/>
          <w:color w:val="auto"/>
        </w:rPr>
        <w:t>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57" w:lineRule="exact"/>
        <w:rPr>
          <w:sz w:val="20"/>
          <w:szCs w:val="20"/>
          <w:color w:val="auto"/>
        </w:rPr>
      </w:pPr>
    </w:p>
    <w:p>
      <w:pPr>
        <w:ind w:right="60" w:firstLine="517"/>
        <w:spacing w:after="0" w:line="241" w:lineRule="auto"/>
        <w:tabs>
          <w:tab w:leader="none" w:pos="806"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Primary Responsibility. </w:t>
      </w:r>
      <w:r>
        <w:rPr>
          <w:rFonts w:ascii="Times New Roman" w:cs="Times New Roman" w:eastAsia="Times New Roman" w:hAnsi="Times New Roman"/>
          <w:sz w:val="20"/>
          <w:szCs w:val="20"/>
          <w:color w:val="auto"/>
        </w:rPr>
        <w:t>The Company acknowledges that to the extent Indemnitee is serving as a director on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 at the request or direction of a venture capital fund or other entity and/or certain of its affiliates (collectively, the “Secondary Indemnitors”),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15.</w:t>
      </w:r>
    </w:p>
    <w:p>
      <w:pPr>
        <w:spacing w:after="0" w:line="167" w:lineRule="exact"/>
        <w:rPr>
          <w:rFonts w:ascii="Times New Roman" w:cs="Times New Roman" w:eastAsia="Times New Roman" w:hAnsi="Times New Roman"/>
          <w:sz w:val="20"/>
          <w:szCs w:val="20"/>
          <w:b w:val="1"/>
          <w:bCs w:val="1"/>
          <w:color w:val="auto"/>
        </w:rPr>
      </w:pPr>
    </w:p>
    <w:p>
      <w:pPr>
        <w:ind w:right="120" w:firstLine="517"/>
        <w:spacing w:after="0" w:line="256" w:lineRule="auto"/>
        <w:tabs>
          <w:tab w:leader="none" w:pos="806"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Duplication of Payments. </w:t>
      </w:r>
      <w:r>
        <w:rPr>
          <w:rFonts w:ascii="Times New Roman" w:cs="Times New Roman" w:eastAsia="Times New Roman" w:hAnsi="Times New Roman"/>
          <w:sz w:val="20"/>
          <w:szCs w:val="20"/>
          <w:color w:val="auto"/>
        </w:rPr>
        <w:t>The Company shall not be liable under this Agreement to make any payment of amounts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55" w:lineRule="exact"/>
        <w:rPr>
          <w:rFonts w:ascii="Times New Roman" w:cs="Times New Roman" w:eastAsia="Times New Roman" w:hAnsi="Times New Roman"/>
          <w:sz w:val="20"/>
          <w:szCs w:val="20"/>
          <w:b w:val="1"/>
          <w:bCs w:val="1"/>
          <w:color w:val="auto"/>
        </w:rPr>
      </w:pPr>
    </w:p>
    <w:p>
      <w:pPr>
        <w:ind w:right="80" w:firstLine="517"/>
        <w:spacing w:after="0" w:line="250" w:lineRule="auto"/>
        <w:tabs>
          <w:tab w:leader="none" w:pos="806"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Insurance. </w:t>
      </w:r>
      <w:r>
        <w:rPr>
          <w:rFonts w:ascii="Times New Roman" w:cs="Times New Roman" w:eastAsia="Times New Roman" w:hAnsi="Times New Roman"/>
          <w:sz w:val="20"/>
          <w:szCs w:val="20"/>
          <w:color w:val="auto"/>
        </w:rPr>
        <w:t>To the extent that the Company maintains an insurance policy or policies providing liability insurance for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62" w:lineRule="exact"/>
        <w:rPr>
          <w:rFonts w:ascii="Times New Roman" w:cs="Times New Roman" w:eastAsia="Times New Roman" w:hAnsi="Times New Roman"/>
          <w:sz w:val="20"/>
          <w:szCs w:val="20"/>
          <w:b w:val="1"/>
          <w:bCs w:val="1"/>
          <w:color w:val="auto"/>
        </w:rPr>
      </w:pPr>
    </w:p>
    <w:p>
      <w:pPr>
        <w:ind w:right="180" w:firstLine="517"/>
        <w:spacing w:after="0" w:line="256" w:lineRule="auto"/>
        <w:tabs>
          <w:tab w:leader="none" w:pos="806"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Subrogation. </w:t>
      </w:r>
      <w:r>
        <w:rPr>
          <w:rFonts w:ascii="Times New Roman" w:cs="Times New Roman" w:eastAsia="Times New Roman" w:hAnsi="Times New Roman"/>
          <w:sz w:val="20"/>
          <w:szCs w:val="20"/>
          <w:color w:val="auto"/>
        </w:rPr>
        <w:t>In the event of any payment under this Agreement, the Company shall be subrogated to the extent of such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41" w:lineRule="exact"/>
        <w:rPr>
          <w:rFonts w:ascii="Times New Roman" w:cs="Times New Roman" w:eastAsia="Times New Roman" w:hAnsi="Times New Roman"/>
          <w:sz w:val="20"/>
          <w:szCs w:val="20"/>
          <w:b w:val="1"/>
          <w:bCs w:val="1"/>
          <w:color w:val="auto"/>
        </w:rPr>
      </w:pPr>
    </w:p>
    <w:p>
      <w:pPr>
        <w:ind w:right="40" w:firstLine="517"/>
        <w:spacing w:after="0" w:line="245" w:lineRule="auto"/>
        <w:tabs>
          <w:tab w:leader="none" w:pos="806"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Services to the Company. </w:t>
      </w:r>
      <w:r>
        <w:rPr>
          <w:rFonts w:ascii="Times New Roman" w:cs="Times New Roman" w:eastAsia="Times New Roman" w:hAnsi="Times New Roman"/>
          <w:sz w:val="20"/>
          <w:szCs w:val="20"/>
          <w:color w:val="auto"/>
        </w:rPr>
        <w:t>Indemnitee agrees to serve as a director or officer of the Company or, at the request of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ind w:right="140"/>
        <w:spacing w:after="0" w:line="246" w:lineRule="auto"/>
        <w:rPr>
          <w:sz w:val="20"/>
          <w:szCs w:val="20"/>
          <w:color w:val="auto"/>
        </w:rPr>
      </w:pPr>
      <w:r>
        <w:rPr>
          <w:rFonts w:ascii="Times New Roman" w:cs="Times New Roman" w:eastAsia="Times New Roman" w:hAnsi="Times New Roman"/>
          <w:sz w:val="20"/>
          <w:szCs w:val="20"/>
          <w:color w:val="auto"/>
        </w:rPr>
        <w:t>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67" w:lineRule="exact"/>
        <w:rPr>
          <w:sz w:val="20"/>
          <w:szCs w:val="20"/>
          <w:color w:val="auto"/>
        </w:rPr>
      </w:pPr>
    </w:p>
    <w:p>
      <w:pPr>
        <w:ind w:right="200" w:firstLine="517"/>
        <w:spacing w:after="0" w:line="247" w:lineRule="auto"/>
        <w:tabs>
          <w:tab w:leader="none" w:pos="806"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Duration. </w:t>
      </w:r>
      <w:r>
        <w:rPr>
          <w:rFonts w:ascii="Times New Roman" w:cs="Times New Roman" w:eastAsia="Times New Roman" w:hAnsi="Times New Roman"/>
          <w:sz w:val="20"/>
          <w:szCs w:val="20"/>
          <w:color w:val="auto"/>
        </w:rPr>
        <w:t>This Agreement shall continue until and terminate upon the later of (a) ten years after the date that Indemnitee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53" w:lineRule="exact"/>
        <w:rPr>
          <w:rFonts w:ascii="Times New Roman" w:cs="Times New Roman" w:eastAsia="Times New Roman" w:hAnsi="Times New Roman"/>
          <w:sz w:val="20"/>
          <w:szCs w:val="20"/>
          <w:b w:val="1"/>
          <w:bCs w:val="1"/>
          <w:color w:val="auto"/>
        </w:rPr>
      </w:pPr>
    </w:p>
    <w:p>
      <w:pPr>
        <w:ind w:right="120" w:firstLine="517"/>
        <w:spacing w:after="0" w:line="256" w:lineRule="auto"/>
        <w:tabs>
          <w:tab w:leader="none" w:pos="806"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Agreement shall be binding upon the Company and its successors and assigns, including any direct or indirect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 by purchase, merger, consolidation or otherwise to all or substantially all of the business or assets of the Company, and shall inure to the benefit of Indemnitee and Indemnitee’s heirs, executors and administrators.</w:t>
      </w:r>
    </w:p>
    <w:p>
      <w:pPr>
        <w:spacing w:after="0" w:line="155" w:lineRule="exact"/>
        <w:rPr>
          <w:rFonts w:ascii="Times New Roman" w:cs="Times New Roman" w:eastAsia="Times New Roman" w:hAnsi="Times New Roman"/>
          <w:sz w:val="20"/>
          <w:szCs w:val="20"/>
          <w:b w:val="1"/>
          <w:bCs w:val="1"/>
          <w:color w:val="auto"/>
        </w:rPr>
      </w:pPr>
    </w:p>
    <w:p>
      <w:pPr>
        <w:ind w:firstLine="517"/>
        <w:spacing w:after="0" w:line="242" w:lineRule="auto"/>
        <w:tabs>
          <w:tab w:leader="none" w:pos="806"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Nothing in this Agreement is intended to require or shall be construed as requiring the Company to do or fail to 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Times New Roman" w:cs="Times New Roman" w:eastAsia="Times New Roman" w:hAnsi="Times New Roman"/>
          <w:sz w:val="20"/>
          <w:szCs w:val="20"/>
          <w:b w:val="1"/>
          <w:bCs w:val="1"/>
          <w:color w:val="auto"/>
        </w:rPr>
      </w:pPr>
    </w:p>
    <w:p>
      <w:pPr>
        <w:jc w:val="both"/>
        <w:ind w:right="300" w:firstLine="517"/>
        <w:spacing w:after="0" w:line="256" w:lineRule="auto"/>
        <w:tabs>
          <w:tab w:leader="none" w:pos="806"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Enforcement. </w:t>
      </w:r>
      <w:r>
        <w:rPr>
          <w:rFonts w:ascii="Times New Roman" w:cs="Times New Roman" w:eastAsia="Times New Roman" w:hAnsi="Times New Roman"/>
          <w:sz w:val="20"/>
          <w:szCs w:val="20"/>
          <w:color w:val="auto"/>
        </w:rPr>
        <w:t>The Company expressly confirms and agrees that it has entered into this Agreement and assumed the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imposed on it hereby in order to induce Indemnitee to serve as a director or officer of the Company, and the Company acknowledges that Indemnitee is relying upon this Agreement in serving as a director or officer of the Company.</w:t>
      </w:r>
    </w:p>
    <w:p>
      <w:pPr>
        <w:spacing w:after="0" w:line="141" w:lineRule="exact"/>
        <w:rPr>
          <w:rFonts w:ascii="Times New Roman" w:cs="Times New Roman" w:eastAsia="Times New Roman" w:hAnsi="Times New Roman"/>
          <w:sz w:val="20"/>
          <w:szCs w:val="20"/>
          <w:b w:val="1"/>
          <w:bCs w:val="1"/>
          <w:color w:val="auto"/>
        </w:rPr>
      </w:pPr>
    </w:p>
    <w:p>
      <w:pPr>
        <w:ind w:right="180" w:firstLine="517"/>
        <w:spacing w:after="0" w:line="250" w:lineRule="auto"/>
        <w:tabs>
          <w:tab w:leader="none" w:pos="806"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constitutes the entire agreement between the parties hereto with respect to the subject matter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hereof and supersedes all prior agreements and understandings, oral, written and implied, between the parties hereto with respect to the subject matter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this Agreement is a supplement to and in furtherance of the Company’s certificate of incorporation and bylaws and applicable law.</w:t>
      </w:r>
    </w:p>
    <w:p>
      <w:pPr>
        <w:spacing w:after="0" w:line="162" w:lineRule="exact"/>
        <w:rPr>
          <w:rFonts w:ascii="Times New Roman" w:cs="Times New Roman" w:eastAsia="Times New Roman" w:hAnsi="Times New Roman"/>
          <w:sz w:val="20"/>
          <w:szCs w:val="20"/>
          <w:b w:val="1"/>
          <w:bCs w:val="1"/>
          <w:color w:val="auto"/>
        </w:rPr>
      </w:pPr>
    </w:p>
    <w:p>
      <w:pPr>
        <w:ind w:right="60" w:firstLine="517"/>
        <w:spacing w:after="0" w:line="247" w:lineRule="auto"/>
        <w:tabs>
          <w:tab w:leader="none" w:pos="806"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Modification and Waiver. </w:t>
      </w:r>
      <w:r>
        <w:rPr>
          <w:rFonts w:ascii="Times New Roman" w:cs="Times New Roman" w:eastAsia="Times New Roman" w:hAnsi="Times New Roman"/>
          <w:sz w:val="20"/>
          <w:szCs w:val="20"/>
          <w:color w:val="auto"/>
        </w:rPr>
        <w:t>No supplement, modification or amendment to this Agreement shall be binding unless executed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7" w:name="page218"/>
    <w:bookmarkEnd w:id="217"/>
    <w:p>
      <w:pPr>
        <w:ind w:left="820" w:hanging="303"/>
        <w:spacing w:after="0"/>
        <w:tabs>
          <w:tab w:leader="none" w:pos="82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and other communications required or permitted hereunder shall be in writing and shall be mailed by</w:t>
      </w:r>
    </w:p>
    <w:p>
      <w:pPr>
        <w:spacing w:after="0" w:line="25" w:lineRule="exact"/>
        <w:rPr>
          <w:rFonts w:ascii="Times New Roman" w:cs="Times New Roman" w:eastAsia="Times New Roman" w:hAnsi="Times New Roman"/>
          <w:sz w:val="20"/>
          <w:szCs w:val="20"/>
          <w:b w:val="1"/>
          <w:bCs w:val="1"/>
          <w:color w:val="auto"/>
        </w:rPr>
      </w:pPr>
    </w:p>
    <w:p>
      <w:pPr>
        <w:ind w:right="2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registered or certified mail, postage prepaid, sent by facsimile or electronic mail or otherwise delivered by hand, messenger or courier service addressed:</w:t>
      </w:r>
    </w:p>
    <w:p>
      <w:pPr>
        <w:spacing w:after="0" w:line="168" w:lineRule="exact"/>
        <w:rPr>
          <w:rFonts w:ascii="Times New Roman" w:cs="Times New Roman" w:eastAsia="Times New Roman" w:hAnsi="Times New Roman"/>
          <w:sz w:val="20"/>
          <w:szCs w:val="20"/>
          <w:b w:val="1"/>
          <w:bCs w:val="1"/>
          <w:color w:val="auto"/>
        </w:rPr>
      </w:pPr>
    </w:p>
    <w:p>
      <w:pPr>
        <w:ind w:left="1420" w:hanging="266"/>
        <w:spacing w:after="0"/>
        <w:tabs>
          <w:tab w:leader="none" w:pos="1420"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Indemnitee, to Indemnitee’s address, facsimile number or electronic mail address set forth below Indemnitee signature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hereto; or</w:t>
      </w:r>
    </w:p>
    <w:p>
      <w:pPr>
        <w:spacing w:after="0" w:line="166" w:lineRule="exact"/>
        <w:rPr>
          <w:rFonts w:ascii="Times New Roman" w:cs="Times New Roman" w:eastAsia="Times New Roman" w:hAnsi="Times New Roman"/>
          <w:sz w:val="19"/>
          <w:szCs w:val="19"/>
          <w:color w:val="auto"/>
        </w:rPr>
      </w:pPr>
    </w:p>
    <w:p>
      <w:pPr>
        <w:jc w:val="both"/>
        <w:ind w:right="380" w:firstLine="1154"/>
        <w:spacing w:after="0" w:line="274" w:lineRule="auto"/>
        <w:tabs>
          <w:tab w:leader="none" w:pos="1426"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Company, to the attention of the Chief Executive Officer of the Company at Invivyd, Inc., 1601 Trapelo Road, Suite 178, Waltham, MA 02451, or at such other current address as the Company shall have furnished to Indemnitee, with a copy (which shall not constitute notice) to Jill Andersen, Chief Legal Officer, at Invivyd, Inc., 1601 Trapelo Road, Suite 178, Waltham, MA 02451.</w:t>
      </w:r>
    </w:p>
    <w:p>
      <w:pPr>
        <w:spacing w:after="0" w:line="143"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20"/>
          <w:szCs w:val="20"/>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a nationally-recognized overnight courier service, freight prepaid, specifying next-business-day delivery, one business day after deposit with the courier), or (ii)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mail, at the earlier of its receipt or five days after the same has been deposited in a regularly-maintained receptacle for the deposit of the United States mail, addressed and mailed as aforesaid, or (iii)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facsimile, upon confirmation of facsimile transfer or,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68" w:lineRule="exact"/>
        <w:rPr>
          <w:sz w:val="20"/>
          <w:szCs w:val="20"/>
          <w:color w:val="auto"/>
        </w:rPr>
      </w:pPr>
    </w:p>
    <w:p>
      <w:pPr>
        <w:ind w:firstLine="517"/>
        <w:spacing w:after="0" w:line="242" w:lineRule="auto"/>
        <w:tabs>
          <w:tab w:leader="none" w:pos="806"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Applicable Law and Consent to Jurisdiction. </w:t>
      </w:r>
      <w:r>
        <w:rPr>
          <w:rFonts w:ascii="Times New Roman" w:cs="Times New Roman" w:eastAsia="Times New Roman" w:hAnsi="Times New Roman"/>
          <w:sz w:val="20"/>
          <w:szCs w:val="20"/>
          <w:color w:val="auto"/>
        </w:rPr>
        <w:t>This Agreement and the legal relations among the parties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Capitol Services, Inc., Dover,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60" w:lineRule="exact"/>
        <w:rPr>
          <w:rFonts w:ascii="Times New Roman" w:cs="Times New Roman" w:eastAsia="Times New Roman" w:hAnsi="Times New Roman"/>
          <w:sz w:val="20"/>
          <w:szCs w:val="20"/>
          <w:b w:val="1"/>
          <w:bCs w:val="1"/>
          <w:color w:val="auto"/>
        </w:rPr>
      </w:pPr>
    </w:p>
    <w:p>
      <w:pPr>
        <w:ind w:right="40" w:firstLine="517"/>
        <w:spacing w:after="0" w:line="247" w:lineRule="auto"/>
        <w:tabs>
          <w:tab w:leader="none" w:pos="806"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one or more counterparts, each of which shall for all purposes be deemed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6" w:lineRule="exact"/>
        <w:rPr>
          <w:rFonts w:ascii="Times New Roman" w:cs="Times New Roman" w:eastAsia="Times New Roman" w:hAnsi="Times New Roman"/>
          <w:sz w:val="20"/>
          <w:szCs w:val="20"/>
          <w:b w:val="1"/>
          <w:bCs w:val="1"/>
          <w:color w:val="auto"/>
        </w:rPr>
      </w:pPr>
    </w:p>
    <w:p>
      <w:pPr>
        <w:ind w:right="760" w:firstLine="517"/>
        <w:spacing w:after="0" w:line="273" w:lineRule="auto"/>
        <w:tabs>
          <w:tab w:leader="none" w:pos="806"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Captions. </w:t>
      </w:r>
      <w:r>
        <w:rPr>
          <w:rFonts w:ascii="Times New Roman" w:cs="Times New Roman" w:eastAsia="Times New Roman" w:hAnsi="Times New Roman"/>
          <w:sz w:val="20"/>
          <w:szCs w:val="20"/>
          <w:color w:val="auto"/>
        </w:rPr>
        <w:t>The headings of the paragraphs of this Agreement are inserted for convenience only and shall not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part of this Agreement or to affect the construction thereof.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1152525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color w:val="auto"/>
        </w:rPr>
        <w:t>The parties are signing this Indemnification Agreement as of the date stated in the introductory sentence.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307975</wp:posOffset>
            </wp:positionV>
            <wp:extent cx="28289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307975</wp:posOffset>
            </wp:positionV>
            <wp:extent cx="28289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307975</wp:posOffset>
            </wp:positionV>
            <wp:extent cx="28289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Title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307975</wp:posOffset>
            </wp:positionV>
            <wp:extent cx="28289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307975</wp:posOffset>
            </wp:positionV>
            <wp:extent cx="28289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307975</wp:posOffset>
            </wp:positionV>
            <wp:extent cx="28289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Street address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307975</wp:posOffset>
            </wp:positionV>
            <wp:extent cx="28289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20"/>
          <w:szCs w:val="20"/>
          <w:i w:val="1"/>
          <w:iCs w:val="1"/>
          <w:color w:val="auto"/>
        </w:rPr>
        <w:t>(City, State and ZIP)</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Indemnification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895350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413" w:right="1440" w:bottom="1440" w:gutter="0" w:footer="0" w:header="0"/>
        </w:sectPr>
      </w:pPr>
    </w:p>
    <w:bookmarkStart w:id="219" w:name="page220"/>
    <w:bookmarkEnd w:id="219"/>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Schedule of Material Differences to Exhibit 10.4</w:t>
      </w:r>
    </w:p>
    <w:p>
      <w:pPr>
        <w:spacing w:after="0" w:line="220" w:lineRule="exact"/>
        <w:rPr>
          <w:sz w:val="20"/>
          <w:szCs w:val="20"/>
          <w:color w:val="auto"/>
        </w:rPr>
      </w:pPr>
    </w:p>
    <w:p>
      <w:pPr>
        <w:ind w:firstLine="469"/>
        <w:spacing w:after="0" w:line="249" w:lineRule="auto"/>
        <w:rPr>
          <w:sz w:val="20"/>
          <w:szCs w:val="20"/>
          <w:color w:val="auto"/>
        </w:rPr>
      </w:pPr>
      <w:r>
        <w:rPr>
          <w:rFonts w:ascii="Times New Roman" w:cs="Times New Roman" w:eastAsia="Times New Roman" w:hAnsi="Times New Roman"/>
          <w:sz w:val="20"/>
          <w:szCs w:val="20"/>
          <w:color w:val="auto"/>
        </w:rPr>
        <w:t>The following directors and executive officers are parties to an Indemnification Agreement with the Company, each of which are substantially identical in all material respects to the representative Indemnification Agreement filed herewith as Exhibit 10.4 except as to the name of the signatory and the date of each signatory’s Indemnification Agreement. The name of each signatory is listed below. The actual Indemnification Agreements are omitted pursuant to Instruction 2 to Item 601 of Regulation S-K.</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27469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Tamsin Berry</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Marc Elia</w:t>
      </w:r>
    </w:p>
    <w:p>
      <w:pPr>
        <w:ind w:left="20"/>
        <w:spacing w:after="0"/>
        <w:rPr>
          <w:sz w:val="20"/>
          <w:szCs w:val="20"/>
          <w:color w:val="auto"/>
        </w:rPr>
      </w:pPr>
      <w:r>
        <w:rPr>
          <w:rFonts w:ascii="Times New Roman" w:cs="Times New Roman" w:eastAsia="Times New Roman" w:hAnsi="Times New Roman"/>
          <w:sz w:val="20"/>
          <w:szCs w:val="20"/>
          <w:color w:val="auto"/>
        </w:rPr>
        <w:t>Srishti Gupta. M.D.</w:t>
      </w:r>
    </w:p>
    <w:p>
      <w:pPr>
        <w:ind w:left="20"/>
        <w:spacing w:after="0"/>
        <w:rPr>
          <w:sz w:val="20"/>
          <w:szCs w:val="20"/>
          <w:color w:val="auto"/>
        </w:rPr>
      </w:pPr>
      <w:r>
        <w:rPr>
          <w:rFonts w:ascii="Times New Roman" w:cs="Times New Roman" w:eastAsia="Times New Roman" w:hAnsi="Times New Roman"/>
          <w:sz w:val="20"/>
          <w:szCs w:val="20"/>
          <w:color w:val="auto"/>
        </w:rPr>
        <w:t>Terrance McGuire</w:t>
      </w:r>
    </w:p>
    <w:p>
      <w:pPr>
        <w:ind w:left="20"/>
        <w:spacing w:after="0"/>
        <w:rPr>
          <w:sz w:val="20"/>
          <w:szCs w:val="20"/>
          <w:color w:val="auto"/>
        </w:rPr>
      </w:pPr>
      <w:r>
        <w:rPr>
          <w:rFonts w:ascii="Times New Roman" w:cs="Times New Roman" w:eastAsia="Times New Roman" w:hAnsi="Times New Roman"/>
          <w:sz w:val="20"/>
          <w:szCs w:val="20"/>
          <w:color w:val="auto"/>
        </w:rPr>
        <w:t>Christine Lindenboom</w:t>
      </w:r>
    </w:p>
    <w:p>
      <w:pPr>
        <w:ind w:left="20"/>
        <w:spacing w:after="0"/>
        <w:rPr>
          <w:sz w:val="20"/>
          <w:szCs w:val="20"/>
          <w:color w:val="auto"/>
        </w:rPr>
      </w:pPr>
      <w:r>
        <w:rPr>
          <w:rFonts w:ascii="Times New Roman" w:cs="Times New Roman" w:eastAsia="Times New Roman" w:hAnsi="Times New Roman"/>
          <w:sz w:val="20"/>
          <w:szCs w:val="20"/>
          <w:color w:val="auto"/>
        </w:rPr>
        <w:t>Kevin F. McLaughlin</w:t>
      </w:r>
    </w:p>
    <w:p>
      <w:pPr>
        <w:ind w:left="20"/>
        <w:spacing w:after="0"/>
        <w:rPr>
          <w:sz w:val="20"/>
          <w:szCs w:val="20"/>
          <w:color w:val="auto"/>
        </w:rPr>
      </w:pPr>
      <w:r>
        <w:rPr>
          <w:rFonts w:ascii="Times New Roman" w:cs="Times New Roman" w:eastAsia="Times New Roman" w:hAnsi="Times New Roman"/>
          <w:sz w:val="20"/>
          <w:szCs w:val="20"/>
          <w:color w:val="auto"/>
        </w:rPr>
        <w:t>Robert Allen</w:t>
      </w:r>
    </w:p>
    <w:p>
      <w:pPr>
        <w:ind w:left="20"/>
        <w:spacing w:after="0"/>
        <w:rPr>
          <w:sz w:val="20"/>
          <w:szCs w:val="20"/>
          <w:color w:val="auto"/>
        </w:rPr>
      </w:pPr>
      <w:r>
        <w:rPr>
          <w:rFonts w:ascii="Times New Roman" w:cs="Times New Roman" w:eastAsia="Times New Roman" w:hAnsi="Times New Roman"/>
          <w:sz w:val="20"/>
          <w:szCs w:val="20"/>
          <w:color w:val="auto"/>
        </w:rPr>
        <w:t>Jill Andersen</w:t>
      </w:r>
    </w:p>
    <w:p>
      <w:pPr>
        <w:ind w:left="20"/>
        <w:spacing w:after="0"/>
        <w:rPr>
          <w:sz w:val="20"/>
          <w:szCs w:val="20"/>
          <w:color w:val="auto"/>
        </w:rPr>
      </w:pPr>
      <w:r>
        <w:rPr>
          <w:rFonts w:ascii="Times New Roman" w:cs="Times New Roman" w:eastAsia="Times New Roman" w:hAnsi="Times New Roman"/>
          <w:sz w:val="20"/>
          <w:szCs w:val="20"/>
          <w:color w:val="auto"/>
        </w:rPr>
        <w:t>William Duke, Jr.</w:t>
      </w:r>
    </w:p>
    <w:p>
      <w:pPr>
        <w:ind w:left="20"/>
        <w:spacing w:after="0"/>
        <w:rPr>
          <w:sz w:val="20"/>
          <w:szCs w:val="20"/>
          <w:color w:val="auto"/>
        </w:rPr>
      </w:pPr>
      <w:r>
        <w:rPr>
          <w:rFonts w:ascii="Times New Roman" w:cs="Times New Roman" w:eastAsia="Times New Roman" w:hAnsi="Times New Roman"/>
          <w:sz w:val="20"/>
          <w:szCs w:val="20"/>
          <w:color w:val="auto"/>
        </w:rPr>
        <w:t>Julie Green</w:t>
      </w:r>
    </w:p>
    <w:p>
      <w:pPr>
        <w:ind w:left="20"/>
        <w:spacing w:after="0"/>
        <w:rPr>
          <w:sz w:val="20"/>
          <w:szCs w:val="20"/>
          <w:color w:val="auto"/>
        </w:rPr>
      </w:pPr>
      <w:r>
        <w:rPr>
          <w:rFonts w:ascii="Times New Roman" w:cs="Times New Roman" w:eastAsia="Times New Roman" w:hAnsi="Times New Roman"/>
          <w:sz w:val="20"/>
          <w:szCs w:val="20"/>
          <w:color w:val="auto"/>
        </w:rPr>
        <w:t>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JULIE GREEN</w:t>
      </w:r>
    </w:p>
    <w:p>
      <w:pPr>
        <w:spacing w:after="0" w:line="176" w:lineRule="exact"/>
        <w:rPr>
          <w:sz w:val="20"/>
          <w:szCs w:val="20"/>
          <w:color w:val="auto"/>
        </w:rPr>
      </w:pPr>
    </w:p>
    <w:p>
      <w:pPr>
        <w:jc w:val="both"/>
        <w:ind w:firstLine="853"/>
        <w:spacing w:after="0" w:line="249" w:lineRule="auto"/>
        <w:rPr>
          <w:sz w:val="20"/>
          <w:szCs w:val="20"/>
          <w:color w:val="auto"/>
        </w:rPr>
      </w:pPr>
      <w:r>
        <w:rPr>
          <w:rFonts w:ascii="Times New Roman" w:cs="Times New Roman" w:eastAsia="Times New Roman" w:hAnsi="Times New Roman"/>
          <w:sz w:val="22"/>
          <w:szCs w:val="22"/>
          <w:color w:val="auto"/>
        </w:rPr>
        <w:t>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ulie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Amendment</w:t>
      </w:r>
      <w:r>
        <w:rPr>
          <w:rFonts w:ascii="Times New Roman" w:cs="Times New Roman" w:eastAsia="Times New Roman" w:hAnsi="Times New Roman"/>
          <w:sz w:val="22"/>
          <w:szCs w:val="22"/>
          <w:color w:val="auto"/>
        </w:rPr>
        <w:t>”) is entered into this October 23, 2024 (the “</w:t>
      </w:r>
      <w:r>
        <w:rPr>
          <w:rFonts w:ascii="Times New Roman" w:cs="Times New Roman" w:eastAsia="Times New Roman" w:hAnsi="Times New Roman"/>
          <w:sz w:val="22"/>
          <w:szCs w:val="22"/>
          <w:b w:val="1"/>
          <w:bCs w:val="1"/>
          <w:i w:val="1"/>
          <w:iCs w:val="1"/>
          <w:u w:val="single" w:color="auto"/>
          <w:color w:val="auto"/>
        </w:rPr>
        <w:t>Amendment Effective Date</w:t>
      </w:r>
      <w:r>
        <w:rPr>
          <w:rFonts w:ascii="Times New Roman" w:cs="Times New Roman" w:eastAsia="Times New Roman" w:hAnsi="Times New Roman"/>
          <w:sz w:val="22"/>
          <w:szCs w:val="22"/>
          <w:color w:val="auto"/>
        </w:rPr>
        <w:t>”), by and between JULIE GREEN (the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have entered into that certain Employment Agreement dated January 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(the “</w:t>
      </w:r>
      <w:r>
        <w:rPr>
          <w:rFonts w:ascii="Times New Roman" w:cs="Times New Roman" w:eastAsia="Times New Roman" w:hAnsi="Times New Roman"/>
          <w:sz w:val="22"/>
          <w:szCs w:val="22"/>
          <w:b w:val="1"/>
          <w:bCs w:val="1"/>
          <w:i w:val="1"/>
          <w:iCs w:val="1"/>
          <w:u w:val="single" w:color="auto"/>
          <w:color w:val="auto"/>
        </w:rPr>
        <w:t>Executive 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jc w:val="both"/>
        <w:ind w:firstLine="853"/>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to continue to employ Executive as its Chief Human Resources Officer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to employ Executive as its Interim Head of Communications, and Executive desires to accept such employment and to perform the duties to the Company on the terms and conditions hereinafter set forth in this Amendment; and</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wish to amend the Executive Agreement as set forth in this Amendment.</w:t>
      </w:r>
    </w:p>
    <w:p>
      <w:pPr>
        <w:spacing w:after="0" w:line="206" w:lineRule="exact"/>
        <w:rPr>
          <w:sz w:val="20"/>
          <w:szCs w:val="20"/>
          <w:color w:val="auto"/>
        </w:rPr>
      </w:pPr>
    </w:p>
    <w:p>
      <w:pPr>
        <w:jc w:val="both"/>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valid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ind w:left="760" w:hanging="752"/>
        <w:spacing w:after="0" w:line="262" w:lineRule="auto"/>
        <w:tabs>
          <w:tab w:leader="none" w:pos="7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1(b) of the Executive Agreement is hereby amended by replacing Section 1(b)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with the following:</w:t>
      </w:r>
    </w:p>
    <w:p>
      <w:pPr>
        <w:spacing w:after="0" w:line="154" w:lineRule="exact"/>
        <w:rPr>
          <w:sz w:val="20"/>
          <w:szCs w:val="20"/>
          <w:color w:val="auto"/>
        </w:rPr>
      </w:pPr>
    </w:p>
    <w:p>
      <w:pPr>
        <w:jc w:val="both"/>
        <w:ind w:left="1500" w:right="740" w:firstLine="5"/>
        <w:spacing w:after="0" w:line="238" w:lineRule="auto"/>
        <w:tabs>
          <w:tab w:leader="none" w:pos="181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Executive shall serve as the Chief Human Resources Officer of the Company and shall have such powers and duties as customarily associated with the office of the Chief Human Resources Officer, and as may from time to time be prescribed by the Chief Executive Officer of the Company (the “</w:t>
      </w:r>
      <w:r>
        <w:rPr>
          <w:rFonts w:ascii="Times New Roman" w:cs="Times New Roman" w:eastAsia="Times New Roman" w:hAnsi="Times New Roman"/>
          <w:sz w:val="22"/>
          <w:szCs w:val="22"/>
          <w:b w:val="1"/>
          <w:bCs w:val="1"/>
          <w:i w:val="1"/>
          <w:iCs w:val="1"/>
          <w:u w:val="single" w:color="auto"/>
          <w:color w:val="auto"/>
        </w:rPr>
        <w:t>CEO</w:t>
      </w:r>
      <w:r>
        <w:rPr>
          <w:rFonts w:ascii="Times New Roman" w:cs="Times New Roman" w:eastAsia="Times New Roman" w:hAnsi="Times New Roman"/>
          <w:sz w:val="22"/>
          <w:szCs w:val="22"/>
          <w:color w:val="auto"/>
        </w:rPr>
        <w:t>”). Executive shall report to the CEO and shall be subject to the direction and control of the CEO.</w:t>
      </w:r>
    </w:p>
    <w:p>
      <w:pPr>
        <w:spacing w:after="0" w:line="177" w:lineRule="exact"/>
        <w:rPr>
          <w:sz w:val="20"/>
          <w:szCs w:val="20"/>
          <w:color w:val="auto"/>
        </w:rPr>
      </w:pPr>
    </w:p>
    <w:p>
      <w:pPr>
        <w:jc w:val="both"/>
        <w:ind w:left="1500" w:right="760"/>
        <w:spacing w:after="0" w:line="238" w:lineRule="auto"/>
        <w:rPr>
          <w:sz w:val="20"/>
          <w:szCs w:val="20"/>
          <w:color w:val="auto"/>
        </w:rPr>
      </w:pPr>
      <w:r>
        <w:rPr>
          <w:rFonts w:ascii="Times New Roman" w:cs="Times New Roman" w:eastAsia="Times New Roman" w:hAnsi="Times New Roman"/>
          <w:sz w:val="22"/>
          <w:szCs w:val="22"/>
          <w:color w:val="auto"/>
        </w:rPr>
        <w:t>As of the Amendment Effective Date, Executive shall additionally serve as the Interim Head of Communications of the Company and shall have such powers and duties as customarily associated with the office of Head of Communications, and as may from time to time be prescribed by the CEO. In her service as Interim Head of Communications, Executive shall report to the CEO and shall be subject to the direction and control of the CEO.</w:t>
      </w:r>
    </w:p>
    <w:p>
      <w:pPr>
        <w:spacing w:after="0" w:line="173" w:lineRule="exact"/>
        <w:rPr>
          <w:sz w:val="20"/>
          <w:szCs w:val="20"/>
          <w:color w:val="auto"/>
        </w:rPr>
      </w:pPr>
    </w:p>
    <w:p>
      <w:pPr>
        <w:ind w:left="760" w:hanging="752"/>
        <w:spacing w:after="0" w:line="262" w:lineRule="auto"/>
        <w:tabs>
          <w:tab w:leader="none" w:pos="76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2(a)</w:t>
      </w:r>
      <w:r>
        <w:rPr>
          <w:rFonts w:ascii="Times New Roman" w:cs="Times New Roman" w:eastAsia="Times New Roman" w:hAnsi="Times New Roman"/>
          <w:sz w:val="22"/>
          <w:szCs w:val="22"/>
          <w:color w:val="auto"/>
        </w:rPr>
        <w:t>. Section 2(a) of the Executive Agreement is hereby amended by replacing Section 2(a)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1071245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1" w:name="page222"/>
    <w:bookmarkEnd w:id="221"/>
    <w:p>
      <w:pPr>
        <w:jc w:val="both"/>
        <w:ind w:left="1500" w:firstLine="5"/>
        <w:spacing w:after="0" w:line="235" w:lineRule="auto"/>
        <w:tabs>
          <w:tab w:leader="none" w:pos="186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Effective as of September 1, 2024, the Company will pay Executive, as compensation for the performance of Executive’s duties and obligations hereunder, a base salary at the rate of $440,000 per year, less applicable deductions. Executive’s salary shall be subject to annual review not later than March 31st of each year for possible increase by the Board or the Compensation Committee of the Board (the “</w:t>
      </w:r>
      <w:r>
        <w:rPr>
          <w:rFonts w:ascii="Times New Roman" w:cs="Times New Roman" w:eastAsia="Times New Roman" w:hAnsi="Times New Roman"/>
          <w:sz w:val="22"/>
          <w:szCs w:val="22"/>
          <w:b w:val="1"/>
          <w:bCs w:val="1"/>
          <w:i w:val="1"/>
          <w:iCs w:val="1"/>
          <w:u w:val="single" w:color="auto"/>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Committee</w:t>
      </w:r>
      <w:r>
        <w:rPr>
          <w:rFonts w:ascii="Times New Roman" w:cs="Times New Roman" w:eastAsia="Times New Roman" w:hAnsi="Times New Roman"/>
          <w:sz w:val="22"/>
          <w:szCs w:val="22"/>
          <w:color w:val="auto"/>
        </w:rPr>
        <w:t>”), which may be adjusted from time to time. The base salary in effect at any given time is referred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herein as “</w:t>
      </w:r>
      <w:r>
        <w:rPr>
          <w:rFonts w:ascii="Times New Roman" w:cs="Times New Roman" w:eastAsia="Times New Roman" w:hAnsi="Times New Roman"/>
          <w:sz w:val="22"/>
          <w:szCs w:val="22"/>
          <w:b w:val="1"/>
          <w:bCs w:val="1"/>
          <w:i w:val="1"/>
          <w:iCs w:val="1"/>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79" w:lineRule="exact"/>
        <w:rPr>
          <w:rFonts w:ascii="Times New Roman" w:cs="Times New Roman" w:eastAsia="Times New Roman" w:hAnsi="Times New Roman"/>
          <w:sz w:val="22"/>
          <w:szCs w:val="22"/>
          <w:color w:val="auto"/>
        </w:rPr>
      </w:pPr>
    </w:p>
    <w:p>
      <w:pPr>
        <w:ind w:left="760" w:hanging="752"/>
        <w:spacing w:after="0" w:line="262" w:lineRule="auto"/>
        <w:tabs>
          <w:tab w:leader="none" w:pos="7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2(b)</w:t>
      </w:r>
      <w:r>
        <w:rPr>
          <w:rFonts w:ascii="Times New Roman" w:cs="Times New Roman" w:eastAsia="Times New Roman" w:hAnsi="Times New Roman"/>
          <w:sz w:val="22"/>
          <w:szCs w:val="22"/>
          <w:color w:val="auto"/>
        </w:rPr>
        <w:t>. Section 2(b) of the Executive Agreement is hereby amended by replacing Section 2(b)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with the following:</w:t>
      </w:r>
    </w:p>
    <w:p>
      <w:pPr>
        <w:spacing w:after="0" w:line="153" w:lineRule="exact"/>
        <w:rPr>
          <w:rFonts w:ascii="Times New Roman" w:cs="Times New Roman" w:eastAsia="Times New Roman" w:hAnsi="Times New Roman"/>
          <w:sz w:val="22"/>
          <w:szCs w:val="22"/>
          <w:color w:val="auto"/>
        </w:rPr>
      </w:pPr>
    </w:p>
    <w:p>
      <w:pPr>
        <w:jc w:val="both"/>
        <w:ind w:left="1500" w:firstLine="5"/>
        <w:spacing w:after="0" w:line="229" w:lineRule="auto"/>
        <w:tabs>
          <w:tab w:leader="none" w:pos="2103"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Executive’s target Annual Bonus will be 40% percent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in effect on January 1st of the applicable performance period, and will not be pro rated for calendar year 2024, except that for calendar year 2024, the Base Salary for purposes of the Target Bonus shall be the Base Salary in effect as of the Amendment Effective Date.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w:t>
      </w:r>
    </w:p>
    <w:p>
      <w:pPr>
        <w:spacing w:after="0" w:line="186" w:lineRule="exact"/>
        <w:rPr>
          <w:rFonts w:ascii="Times New Roman" w:cs="Times New Roman" w:eastAsia="Times New Roman" w:hAnsi="Times New Roman"/>
          <w:sz w:val="22"/>
          <w:szCs w:val="22"/>
          <w:color w:val="auto"/>
        </w:rPr>
      </w:pPr>
    </w:p>
    <w:p>
      <w:pPr>
        <w:jc w:val="both"/>
        <w:ind w:left="760" w:hanging="752"/>
        <w:spacing w:after="0" w:line="236" w:lineRule="auto"/>
        <w:tabs>
          <w:tab w:leader="none" w:pos="7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Executive further agree that this Amendment does not constitute grounds for “Good Reason” pursuant to Section 3(e) of the Executive Agreement, or otherwise constitute any trigger for the Company’s payment of any severance benefits to Executive pursuant to the Executive Agreement. The Company and Executive further agree that Executive’s title of Interim Head of Communications may be temporary, and neither the removal of the Interim Head of Communications title, nor the diminution of or removal of these related duties, will constitute grounds for “Good Reason” pursuant to Section 3(e) of the Executive Agreement.</w:t>
      </w:r>
    </w:p>
    <w:p>
      <w:pPr>
        <w:spacing w:after="0" w:line="181" w:lineRule="exact"/>
        <w:rPr>
          <w:rFonts w:ascii="Times New Roman" w:cs="Times New Roman" w:eastAsia="Times New Roman" w:hAnsi="Times New Roman"/>
          <w:sz w:val="22"/>
          <w:szCs w:val="22"/>
          <w:color w:val="auto"/>
        </w:rPr>
      </w:pPr>
    </w:p>
    <w:p>
      <w:pPr>
        <w:jc w:val="both"/>
        <w:ind w:left="760" w:right="20" w:hanging="752"/>
        <w:spacing w:after="0" w:line="239" w:lineRule="auto"/>
        <w:tabs>
          <w:tab w:leader="none" w:pos="7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2" w:name="page223"/>
    <w:bookmarkEnd w:id="222"/>
    <w:p>
      <w:pPr>
        <w:ind w:left="760"/>
        <w:spacing w:after="0" w:line="258" w:lineRule="auto"/>
        <w:rPr>
          <w:sz w:val="20"/>
          <w:szCs w:val="20"/>
          <w:color w:val="auto"/>
        </w:rPr>
      </w:pPr>
      <w:r>
        <w:rPr>
          <w:rFonts w:ascii="Times New Roman" w:cs="Times New Roman" w:eastAsia="Times New Roman" w:hAnsi="Times New Roman"/>
          <w:sz w:val="22"/>
          <w:szCs w:val="22"/>
          <w:color w:val="auto"/>
        </w:rPr>
        <w:t>any prior oral discussions or written communications and agreements. This Amendment cannot be modified or amended except in writing signed by Executive and an authorized officer of the Company.</w:t>
      </w:r>
    </w:p>
    <w:p>
      <w:pPr>
        <w:spacing w:after="0" w:line="158" w:lineRule="exact"/>
        <w:rPr>
          <w:sz w:val="20"/>
          <w:szCs w:val="20"/>
          <w:color w:val="auto"/>
        </w:rPr>
      </w:pPr>
    </w:p>
    <w:p>
      <w:pPr>
        <w:ind w:firstLine="853"/>
        <w:spacing w:after="0" w:line="258" w:lineRule="auto"/>
        <w:rPr>
          <w:sz w:val="20"/>
          <w:szCs w:val="20"/>
          <w:color w:val="auto"/>
        </w:rPr>
      </w:pPr>
      <w:r>
        <w:rPr>
          <w:rFonts w:ascii="Times New Roman" w:cs="Times New Roman" w:eastAsia="Times New Roman" w:hAnsi="Times New Roman"/>
          <w:sz w:val="22"/>
          <w:szCs w:val="22"/>
          <w:color w:val="auto"/>
        </w:rPr>
        <w:t>The parties have executed this First Amendment to the Employment Agreement of Julie Green on the day and year first written above.</w:t>
      </w:r>
    </w:p>
    <w:p>
      <w:pPr>
        <w:spacing w:after="0" w:line="1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3716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William Duke, Jr.</w:t>
      </w:r>
    </w:p>
    <w:p>
      <w:pPr>
        <w:ind w:left="48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Julie Green</w:t>
      </w:r>
    </w:p>
    <w:p>
      <w:pPr>
        <w:spacing w:after="0" w:line="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Julie Green</w:t>
      </w:r>
    </w:p>
    <w:p>
      <w:pPr>
        <w:spacing w:after="0" w:line="200" w:lineRule="exact"/>
        <w:rPr>
          <w:sz w:val="20"/>
          <w:szCs w:val="20"/>
          <w:color w:val="auto"/>
        </w:rPr>
      </w:pP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hereby acknowledge and reaffirm my obligations pursuant to the Employee Proprietary Information and Inventions Assignment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Julie Green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Julie Green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10/23/2024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2"/>
          <w:szCs w:val="22"/>
          <w:color w:val="auto"/>
        </w:rPr>
        <w:t>Exhibit 10.16</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329" w:lineRule="exact"/>
        <w:rPr>
          <w:sz w:val="20"/>
          <w:szCs w:val="20"/>
          <w:color w:val="auto"/>
        </w:rPr>
      </w:pPr>
    </w:p>
    <w:p>
      <w:pPr>
        <w:ind w:right="140" w:firstLine="749"/>
        <w:spacing w:after="0" w:line="295"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b w:val="1"/>
          <w:bCs w:val="1"/>
          <w:i w:val="1"/>
          <w:iCs w:val="1"/>
          <w:u w:val="single" w:color="auto"/>
          <w:color w:val="auto"/>
        </w:rPr>
        <w:t>Agreement</w:t>
      </w:r>
      <w:r>
        <w:rPr>
          <w:rFonts w:ascii="Times New Roman" w:cs="Times New Roman" w:eastAsia="Times New Roman" w:hAnsi="Times New Roman"/>
          <w:sz w:val="22"/>
          <w:szCs w:val="22"/>
          <w:color w:val="auto"/>
        </w:rPr>
        <w:t>”) is made between Invivyd, Inc., a Delaware corporation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 and Timothy Lee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this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2024.</w:t>
      </w:r>
    </w:p>
    <w:p>
      <w:pPr>
        <w:spacing w:after="0" w:line="1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to employ Executive in the role of Chief Commercial Officer of the Company, providing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with certain compensation and benefits in return for such employment services, and Executive desires to accept such employment and provide personal services to the Company in return for certain compensation and benefits set forth herein; and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Executive desire for this Agreement to be effective as of June 5, 2024 (the “</w:t>
      </w:r>
      <w:r>
        <w:rPr>
          <w:rFonts w:ascii="Times New Roman" w:cs="Times New Roman" w:eastAsia="Times New Roman" w:hAnsi="Times New Roman"/>
          <w:sz w:val="22"/>
          <w:szCs w:val="22"/>
          <w:b w:val="1"/>
          <w:bCs w:val="1"/>
          <w:i w:val="1"/>
          <w:iCs w:val="1"/>
          <w:u w:val="single" w:color="auto"/>
          <w:color w:val="auto"/>
        </w:rPr>
        <w:t>Effective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Date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as a condition of employment, Executive agrees to enter into an Employee Proprietary Information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Assignment Agreement (“</w:t>
      </w:r>
      <w:r>
        <w:rPr>
          <w:rFonts w:ascii="Times New Roman" w:cs="Times New Roman" w:eastAsia="Times New Roman" w:hAnsi="Times New Roman"/>
          <w:sz w:val="22"/>
          <w:szCs w:val="22"/>
          <w:b w:val="1"/>
          <w:bCs w:val="1"/>
          <w:i w:val="1"/>
          <w:iCs w:val="1"/>
          <w:color w:val="auto"/>
        </w:rPr>
        <w:t>PIIA Agreement</w:t>
      </w:r>
      <w:r>
        <w:rPr>
          <w:rFonts w:ascii="Times New Roman" w:cs="Times New Roman" w:eastAsia="Times New Roman" w:hAnsi="Times New Roman"/>
          <w:sz w:val="22"/>
          <w:szCs w:val="22"/>
          <w:color w:val="auto"/>
        </w:rPr>
        <w:t>”) in a form acceptable to the Company on or before the Effective Date.</w:t>
      </w:r>
    </w:p>
    <w:p>
      <w:pPr>
        <w:spacing w:after="0" w:line="150" w:lineRule="exact"/>
        <w:rPr>
          <w:sz w:val="20"/>
          <w:szCs w:val="20"/>
          <w:color w:val="auto"/>
        </w:rPr>
      </w:pPr>
    </w:p>
    <w:p>
      <w:pPr>
        <w:ind w:right="2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 contained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agree as follows:</w:t>
      </w:r>
    </w:p>
    <w:p>
      <w:pPr>
        <w:spacing w:after="0" w:line="154" w:lineRule="exact"/>
        <w:rPr>
          <w:sz w:val="20"/>
          <w:szCs w:val="20"/>
          <w:color w:val="auto"/>
        </w:rPr>
      </w:pPr>
    </w:p>
    <w:p>
      <w:pPr>
        <w:ind w:left="1180" w:hanging="423"/>
        <w:spacing w:after="0"/>
        <w:tabs>
          <w:tab w:leader="none" w:pos="11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60" w:firstLine="1505"/>
        <w:spacing w:after="0" w:line="238" w:lineRule="auto"/>
        <w:tabs>
          <w:tab w:leader="none" w:pos="2036"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Executive and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i w:val="1"/>
          <w:iCs w:val="1"/>
          <w:u w:val="single" w:color="auto"/>
          <w:color w:val="auto"/>
        </w:rPr>
        <w:t>Term</w:t>
      </w:r>
      <w:r>
        <w:rPr>
          <w:rFonts w:ascii="Times New Roman" w:cs="Times New Roman" w:eastAsia="Times New Roman" w:hAnsi="Times New Roman"/>
          <w:sz w:val="22"/>
          <w:szCs w:val="22"/>
          <w:color w:val="auto"/>
        </w:rPr>
        <w:t>”). Executive’s employment with the Company shall be “at will,” meaning that Executive’s employment may be terminated by the Company or Executive at any time and for any reason subject to the terms of this Agreement.</w:t>
      </w:r>
    </w:p>
    <w:p>
      <w:pPr>
        <w:spacing w:after="0" w:line="176" w:lineRule="exact"/>
        <w:rPr>
          <w:rFonts w:ascii="Times New Roman" w:cs="Times New Roman" w:eastAsia="Times New Roman" w:hAnsi="Times New Roman"/>
          <w:sz w:val="22"/>
          <w:szCs w:val="22"/>
          <w:color w:val="auto"/>
        </w:rPr>
      </w:pPr>
    </w:p>
    <w:p>
      <w:pPr>
        <w:ind w:right="60" w:firstLine="1505"/>
        <w:spacing w:after="0" w:line="239" w:lineRule="auto"/>
        <w:tabs>
          <w:tab w:leader="none" w:pos="2036"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Executive shall serve as the Chief Commercial Officer and shall have such powers and duties as customarily associated with the office of Chief Commercial Officer, and as may from time to time be prescribed by the Chief Executive Officer of the Company (the “</w:t>
      </w:r>
      <w:r>
        <w:rPr>
          <w:rFonts w:ascii="Times New Roman" w:cs="Times New Roman" w:eastAsia="Times New Roman" w:hAnsi="Times New Roman"/>
          <w:sz w:val="22"/>
          <w:szCs w:val="22"/>
          <w:i w:val="1"/>
          <w:iCs w:val="1"/>
          <w:u w:val="single" w:color="auto"/>
          <w:color w:val="auto"/>
        </w:rPr>
        <w:t>CEO</w:t>
      </w:r>
      <w:r>
        <w:rPr>
          <w:rFonts w:ascii="Times New Roman" w:cs="Times New Roman" w:eastAsia="Times New Roman" w:hAnsi="Times New Roman"/>
          <w:sz w:val="22"/>
          <w:szCs w:val="22"/>
          <w:color w:val="auto"/>
        </w:rPr>
        <w:t>”). Executive shall report to the CEO and shall be subject to the direction and control of the CEO.</w:t>
      </w:r>
    </w:p>
    <w:p>
      <w:pPr>
        <w:spacing w:after="0" w:line="180" w:lineRule="exact"/>
        <w:rPr>
          <w:rFonts w:ascii="Times New Roman" w:cs="Times New Roman" w:eastAsia="Times New Roman" w:hAnsi="Times New Roman"/>
          <w:sz w:val="22"/>
          <w:szCs w:val="22"/>
          <w:color w:val="auto"/>
        </w:rPr>
      </w:pPr>
    </w:p>
    <w:p>
      <w:pPr>
        <w:ind w:right="40" w:firstLine="1505"/>
        <w:spacing w:after="0" w:line="249" w:lineRule="auto"/>
        <w:tabs>
          <w:tab w:leader="none" w:pos="2036"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Outside Activities</w:t>
      </w:r>
      <w:r>
        <w:rPr>
          <w:rFonts w:ascii="Times New Roman" w:cs="Times New Roman" w:eastAsia="Times New Roman" w:hAnsi="Times New Roman"/>
          <w:sz w:val="21"/>
          <w:szCs w:val="21"/>
          <w:color w:val="auto"/>
        </w:rPr>
        <w:t>.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 direct or indirect remuneration which may or could potentially constitute a conflict of interest or otherwise interfere with Executive’s obligations to the Company without the prior approval of the CEO or Board; provided, however, that Executive may, without such approval, serve in any capacity with any civic, educational, or charitable organization, participate in industry affairs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spacing w:after="0" w:line="18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1"/>
          <w:szCs w:val="21"/>
          <w:color w:val="auto"/>
        </w:rPr>
        <w:t xml:space="preserve">manage Executive’s personal passive investments, and engage in the activities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to this Agreement, provided that in each case such services do not materially interfere with Executive’s obligations to the Company, create a conflict of interest, violate any of Executive’s Continuing Obligations (as defined in Section 9 below) or cause any reputational damage to the Company as reasonably determined by the Board. Executive may retain any compensation or benefits received as a result of any such consented to service without any offset in respect of any compensation or benefits to be provided hereunder.</w:t>
      </w:r>
    </w:p>
    <w:p>
      <w:pPr>
        <w:spacing w:after="0" w:line="168" w:lineRule="exact"/>
        <w:rPr>
          <w:sz w:val="20"/>
          <w:szCs w:val="20"/>
          <w:color w:val="auto"/>
        </w:rPr>
      </w:pPr>
    </w:p>
    <w:p>
      <w:pPr>
        <w:ind w:right="540" w:firstLine="757"/>
        <w:spacing w:after="0" w:line="258" w:lineRule="auto"/>
        <w:tabs>
          <w:tab w:leader="none" w:pos="118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 This Section 2 sets forth the compensation and benefits to be provided to Executive during the Term.</w:t>
      </w:r>
    </w:p>
    <w:p>
      <w:pPr>
        <w:spacing w:after="0" w:line="158" w:lineRule="exact"/>
        <w:rPr>
          <w:rFonts w:ascii="Times New Roman" w:cs="Times New Roman" w:eastAsia="Times New Roman" w:hAnsi="Times New Roman"/>
          <w:sz w:val="22"/>
          <w:szCs w:val="22"/>
          <w:color w:val="auto"/>
        </w:rPr>
      </w:pPr>
    </w:p>
    <w:p>
      <w:pPr>
        <w:ind w:right="280" w:firstLine="1505"/>
        <w:spacing w:after="0" w:line="264" w:lineRule="auto"/>
        <w:tabs>
          <w:tab w:leader="none" w:pos="2036"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will pay Executive, as compensation for the performance of Executive’s duties and obligations hereunder, a base salary at the rate of $420,000 per year. Except for the 2024 calendar year (for which there shall be no salary review), Executive’s salary shall be subject to annual review not later than March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each year for possible increase by the Board or the Compensation Committee of the Board (the “</w:t>
      </w:r>
      <w:r>
        <w:rPr>
          <w:rFonts w:ascii="Times New Roman" w:cs="Times New Roman" w:eastAsia="Times New Roman" w:hAnsi="Times New Roman"/>
          <w:sz w:val="20"/>
          <w:szCs w:val="20"/>
          <w:i w:val="1"/>
          <w:iCs w:val="1"/>
          <w:u w:val="single" w:color="auto"/>
          <w:color w:val="auto"/>
        </w:rPr>
        <w:t>Compensation Committee</w:t>
      </w:r>
      <w:r>
        <w:rPr>
          <w:rFonts w:ascii="Times New Roman" w:cs="Times New Roman" w:eastAsia="Times New Roman" w:hAnsi="Times New Roman"/>
          <w:sz w:val="20"/>
          <w:szCs w:val="20"/>
          <w:color w:val="auto"/>
        </w:rPr>
        <w:t>”), which may be adjusted from time to time. The base salary in effect at any given time is referred to herein as “</w:t>
      </w:r>
      <w:r>
        <w:rPr>
          <w:rFonts w:ascii="Times New Roman" w:cs="Times New Roman" w:eastAsia="Times New Roman" w:hAnsi="Times New Roman"/>
          <w:sz w:val="20"/>
          <w:szCs w:val="20"/>
          <w:i w:val="1"/>
          <w:iCs w:val="1"/>
          <w:u w:val="single" w:color="auto"/>
          <w:color w:val="auto"/>
        </w:rPr>
        <w:t>Base Salary</w:t>
      </w:r>
      <w:r>
        <w:rPr>
          <w:rFonts w:ascii="Times New Roman" w:cs="Times New Roman" w:eastAsia="Times New Roman" w:hAnsi="Times New Roman"/>
          <w:sz w:val="20"/>
          <w:szCs w:val="20"/>
          <w:color w:val="auto"/>
        </w:rPr>
        <w:t>.” The Base Salary shall be payable in a manner that is consistent with the Company’s usual payroll practices for its executive officers.</w:t>
      </w:r>
    </w:p>
    <w:p>
      <w:pPr>
        <w:spacing w:after="0" w:line="156" w:lineRule="exact"/>
        <w:rPr>
          <w:rFonts w:ascii="Times New Roman" w:cs="Times New Roman" w:eastAsia="Times New Roman" w:hAnsi="Times New Roman"/>
          <w:sz w:val="20"/>
          <w:szCs w:val="20"/>
          <w:color w:val="auto"/>
        </w:rPr>
      </w:pPr>
    </w:p>
    <w:p>
      <w:pPr>
        <w:jc w:val="both"/>
        <w:ind w:firstLine="1505"/>
        <w:spacing w:after="0" w:line="233" w:lineRule="auto"/>
        <w:tabs>
          <w:tab w:leader="none" w:pos="2036"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i w:val="1"/>
          <w:iCs w:val="1"/>
          <w:u w:val="single" w:color="auto"/>
          <w:color w:val="auto"/>
        </w:rPr>
        <w:t>Annual Bonus</w:t>
      </w:r>
      <w:r>
        <w:rPr>
          <w:rFonts w:ascii="Times New Roman" w:cs="Times New Roman" w:eastAsia="Times New Roman" w:hAnsi="Times New Roman"/>
          <w:sz w:val="22"/>
          <w:szCs w:val="22"/>
          <w:color w:val="auto"/>
        </w:rPr>
        <w:t>”). Executive’s target Annual Bonus will be 40% percent of Executive’s Base Salary (the “</w:t>
      </w:r>
      <w:r>
        <w:rPr>
          <w:rFonts w:ascii="Times New Roman" w:cs="Times New Roman" w:eastAsia="Times New Roman" w:hAnsi="Times New Roman"/>
          <w:sz w:val="22"/>
          <w:szCs w:val="22"/>
          <w:i w:val="1"/>
          <w:iCs w:val="1"/>
          <w:u w:val="single" w:color="auto"/>
          <w:color w:val="auto"/>
        </w:rPr>
        <w:t>Target Bonus</w:t>
      </w:r>
      <w:r>
        <w:rPr>
          <w:rFonts w:ascii="Times New Roman" w:cs="Times New Roman" w:eastAsia="Times New Roman" w:hAnsi="Times New Roman"/>
          <w:sz w:val="22"/>
          <w:szCs w:val="22"/>
          <w:color w:val="auto"/>
        </w:rPr>
        <w:t>”) in effect on January 1st of the applicable performance period, and will not be pro-rated for calendar year 2024.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w:t>
      </w:r>
    </w:p>
    <w:p>
      <w:pPr>
        <w:spacing w:after="0" w:line="187" w:lineRule="exact"/>
        <w:rPr>
          <w:rFonts w:ascii="Times New Roman" w:cs="Times New Roman" w:eastAsia="Times New Roman" w:hAnsi="Times New Roman"/>
          <w:sz w:val="22"/>
          <w:szCs w:val="22"/>
          <w:color w:val="auto"/>
        </w:rPr>
      </w:pPr>
    </w:p>
    <w:p>
      <w:pPr>
        <w:ind w:right="20" w:firstLine="1505"/>
        <w:spacing w:after="0" w:line="234" w:lineRule="auto"/>
        <w:tabs>
          <w:tab w:leader="none" w:pos="2036"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 Subject to approval by the Board (or any authorized committee thereof), the Company shall grant Executive an option (the “</w:t>
      </w:r>
      <w:r>
        <w:rPr>
          <w:rFonts w:ascii="Times New Roman" w:cs="Times New Roman" w:eastAsia="Times New Roman" w:hAnsi="Times New Roman"/>
          <w:sz w:val="22"/>
          <w:szCs w:val="22"/>
          <w:i w:val="1"/>
          <w:iCs w:val="1"/>
          <w:u w:val="single" w:color="auto"/>
          <w:color w:val="auto"/>
        </w:rPr>
        <w:t>Option</w:t>
      </w:r>
      <w:r>
        <w:rPr>
          <w:rFonts w:ascii="Times New Roman" w:cs="Times New Roman" w:eastAsia="Times New Roman" w:hAnsi="Times New Roman"/>
          <w:sz w:val="22"/>
          <w:szCs w:val="22"/>
          <w:color w:val="auto"/>
        </w:rPr>
        <w:t>”) to purchase 600,000 shares of the Company’s common stock, with an exercise price equal to the fair market value of a share of the Company’s common stock on the grant date, as determined by the Board (or any authorized committee thereof), pursuant to the terms and conditions of the Company’s 2021 Equity Incentive Plan (the “</w:t>
      </w:r>
      <w:r>
        <w:rPr>
          <w:rFonts w:ascii="Times New Roman" w:cs="Times New Roman" w:eastAsia="Times New Roman" w:hAnsi="Times New Roman"/>
          <w:sz w:val="22"/>
          <w:szCs w:val="22"/>
          <w:i w:val="1"/>
          <w:iCs w:val="1"/>
          <w:u w:val="single" w:color="auto"/>
          <w:color w:val="auto"/>
        </w:rPr>
        <w:t>Plan</w:t>
      </w:r>
      <w:r>
        <w:rPr>
          <w:rFonts w:ascii="Times New Roman" w:cs="Times New Roman" w:eastAsia="Times New Roman" w:hAnsi="Times New Roman"/>
          <w:sz w:val="22"/>
          <w:szCs w:val="22"/>
          <w:color w:val="auto"/>
        </w:rPr>
        <w:t>”) and the applicable stock option grant notice and stock option agreement to be provided to Executive (together with the Plan, the “</w:t>
      </w:r>
      <w:r>
        <w:rPr>
          <w:rFonts w:ascii="Times New Roman" w:cs="Times New Roman" w:eastAsia="Times New Roman" w:hAnsi="Times New Roman"/>
          <w:sz w:val="22"/>
          <w:szCs w:val="22"/>
          <w:i w:val="1"/>
          <w:iCs w:val="1"/>
          <w:u w:val="single" w:color="auto"/>
          <w:color w:val="auto"/>
        </w:rPr>
        <w:t>Equity Documents</w:t>
      </w:r>
      <w:r>
        <w:rPr>
          <w:rFonts w:ascii="Times New Roman" w:cs="Times New Roman" w:eastAsia="Times New Roman" w:hAnsi="Times New Roman"/>
          <w:sz w:val="22"/>
          <w:szCs w:val="22"/>
          <w:color w:val="auto"/>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85"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the terms and conditions of the Equity Documents, over a three-year period at a rate of 1/36</w:t>
      </w:r>
      <w:r>
        <w:rPr>
          <w:rFonts w:ascii="Times New Roman" w:cs="Times New Roman" w:eastAsia="Times New Roman" w:hAnsi="Times New Roman"/>
          <w:sz w:val="14"/>
          <w:szCs w:val="14"/>
          <w:color w:val="auto"/>
        </w:rPr>
        <w:t>h</w:t>
      </w:r>
      <w:r>
        <w:rPr>
          <w:rFonts w:ascii="Times New Roman" w:cs="Times New Roman" w:eastAsia="Times New Roman" w:hAnsi="Times New Roman"/>
          <w:sz w:val="22"/>
          <w:szCs w:val="22"/>
          <w:color w:val="auto"/>
        </w:rPr>
        <w:t xml:space="preserve"> of the total shares subject to the Option vesting in substantially equal monthly installments measured from one month following the grant date, subject to Executive’s continuous service to the Company as of each such vesting date.</w:t>
      </w:r>
    </w:p>
    <w:p>
      <w:pPr>
        <w:spacing w:after="0" w:line="173" w:lineRule="exact"/>
        <w:rPr>
          <w:sz w:val="20"/>
          <w:szCs w:val="20"/>
          <w:color w:val="auto"/>
        </w:rPr>
      </w:pPr>
    </w:p>
    <w:p>
      <w:pPr>
        <w:jc w:val="both"/>
        <w:ind w:right="40" w:firstLine="1505"/>
        <w:spacing w:after="0" w:line="255" w:lineRule="auto"/>
        <w:tabs>
          <w:tab w:leader="none" w:pos="2036"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shall promptly pay or reimburse Executive for all reasonable expenses incurred by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61" w:lineRule="exact"/>
        <w:rPr>
          <w:rFonts w:ascii="Times New Roman" w:cs="Times New Roman" w:eastAsia="Times New Roman" w:hAnsi="Times New Roman"/>
          <w:sz w:val="21"/>
          <w:szCs w:val="21"/>
          <w:color w:val="auto"/>
        </w:rPr>
      </w:pPr>
    </w:p>
    <w:p>
      <w:pPr>
        <w:ind w:right="500" w:firstLine="1505"/>
        <w:spacing w:after="0" w:line="258" w:lineRule="auto"/>
        <w:tabs>
          <w:tab w:leader="none" w:pos="2036"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Executive shall be eligible to participate in or receive benefits under the Company’s employee benefit plans in effect from time to time, subject to the terms of such plans.</w:t>
      </w:r>
    </w:p>
    <w:p>
      <w:pPr>
        <w:spacing w:after="0" w:line="158" w:lineRule="exact"/>
        <w:rPr>
          <w:rFonts w:ascii="Times New Roman" w:cs="Times New Roman" w:eastAsia="Times New Roman" w:hAnsi="Times New Roman"/>
          <w:sz w:val="22"/>
          <w:szCs w:val="22"/>
          <w:color w:val="auto"/>
        </w:rPr>
      </w:pPr>
    </w:p>
    <w:p>
      <w:pPr>
        <w:ind w:right="640" w:firstLine="1505"/>
        <w:spacing w:after="0" w:line="258" w:lineRule="auto"/>
        <w:tabs>
          <w:tab w:leader="none" w:pos="2036"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take paid time off in accordance with the Company’s applicable paid time off policy for executives, as may be in effect from time to time.</w:t>
      </w:r>
    </w:p>
    <w:p>
      <w:pPr>
        <w:spacing w:after="0" w:line="158" w:lineRule="exact"/>
        <w:rPr>
          <w:rFonts w:ascii="Times New Roman" w:cs="Times New Roman" w:eastAsia="Times New Roman" w:hAnsi="Times New Roman"/>
          <w:sz w:val="22"/>
          <w:szCs w:val="22"/>
          <w:color w:val="auto"/>
        </w:rPr>
      </w:pPr>
    </w:p>
    <w:p>
      <w:pPr>
        <w:ind w:right="240" w:firstLine="1505"/>
        <w:spacing w:after="0" w:line="258" w:lineRule="auto"/>
        <w:tabs>
          <w:tab w:leader="none" w:pos="2036"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Executive shall be subject to the Company’s Executive Stock Ownership Guidelines while providing services under this Agreement.</w:t>
      </w:r>
    </w:p>
    <w:p>
      <w:pPr>
        <w:spacing w:after="0" w:line="158" w:lineRule="exact"/>
        <w:rPr>
          <w:rFonts w:ascii="Times New Roman" w:cs="Times New Roman" w:eastAsia="Times New Roman" w:hAnsi="Times New Roman"/>
          <w:sz w:val="22"/>
          <w:szCs w:val="22"/>
          <w:color w:val="auto"/>
        </w:rPr>
      </w:pPr>
    </w:p>
    <w:p>
      <w:pPr>
        <w:ind w:right="120" w:firstLine="1505"/>
        <w:spacing w:after="0" w:line="238" w:lineRule="auto"/>
        <w:tabs>
          <w:tab w:leader="none" w:pos="2036"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Equity Awards upon a Change in Control</w:t>
      </w:r>
      <w:r>
        <w:rPr>
          <w:rFonts w:ascii="Times New Roman" w:cs="Times New Roman" w:eastAsia="Times New Roman" w:hAnsi="Times New Roman"/>
          <w:sz w:val="22"/>
          <w:szCs w:val="22"/>
          <w:color w:val="auto"/>
        </w:rPr>
        <w:t>. The following provisions shall apply to any award granted under the Plan or any other plan, agreement or arrangement based on the value of a share of the Company’s common stock on or after the Effective Date (collectively, the “</w:t>
      </w:r>
      <w:r>
        <w:rPr>
          <w:rFonts w:ascii="Times New Roman" w:cs="Times New Roman" w:eastAsia="Times New Roman" w:hAnsi="Times New Roman"/>
          <w:sz w:val="22"/>
          <w:szCs w:val="22"/>
          <w:i w:val="1"/>
          <w:iCs w:val="1"/>
          <w:u w:val="single" w:color="auto"/>
          <w:color w:val="auto"/>
        </w:rPr>
        <w:t>Equity Awards</w:t>
      </w:r>
      <w:r>
        <w:rPr>
          <w:rFonts w:ascii="Times New Roman" w:cs="Times New Roman" w:eastAsia="Times New Roman" w:hAnsi="Times New Roman"/>
          <w:sz w:val="22"/>
          <w:szCs w:val="22"/>
          <w:color w:val="auto"/>
        </w:rPr>
        <w:t>”) to the extent the Equity Awards are assumed, continued or substituted by the surviving or acquiring entity (or its parent) in connection with a Change in Control (as defined in the Plan) and Executive continues to provide services to the Company or its successor following such Change in Control:</w:t>
      </w:r>
    </w:p>
    <w:p>
      <w:pPr>
        <w:spacing w:after="0" w:line="176" w:lineRule="exact"/>
        <w:rPr>
          <w:rFonts w:ascii="Times New Roman" w:cs="Times New Roman" w:eastAsia="Times New Roman" w:hAnsi="Times New Roman"/>
          <w:sz w:val="22"/>
          <w:szCs w:val="22"/>
          <w:color w:val="auto"/>
        </w:rPr>
      </w:pPr>
    </w:p>
    <w:p>
      <w:pPr>
        <w:ind w:left="760" w:firstLine="1494"/>
        <w:spacing w:after="0" w:line="255" w:lineRule="auto"/>
        <w:tabs>
          <w:tab w:leader="none" w:pos="2557" w:val="left"/>
        </w:tabs>
        <w:numPr>
          <w:ilvl w:val="2"/>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Times New Roman" w:cs="Times New Roman" w:eastAsia="Times New Roman" w:hAnsi="Times New Roman"/>
          <w:sz w:val="21"/>
          <w:szCs w:val="21"/>
          <w:b w:val="1"/>
          <w:bCs w:val="1"/>
          <w:i w:val="1"/>
          <w:iCs w:val="1"/>
          <w:u w:val="single" w:color="auto"/>
          <w:color w:val="auto"/>
        </w:rPr>
        <w:t>Time-Based Equity Awards</w:t>
      </w:r>
      <w:r>
        <w:rPr>
          <w:rFonts w:ascii="Times New Roman" w:cs="Times New Roman" w:eastAsia="Times New Roman" w:hAnsi="Times New Roman"/>
          <w:sz w:val="21"/>
          <w:szCs w:val="21"/>
          <w:color w:val="auto"/>
        </w:rPr>
        <w:t>”) shall not immediately accelerate and become fully vested and exercisable or non-forfeitable on such a Change in Control, and</w:t>
      </w:r>
    </w:p>
    <w:p>
      <w:pPr>
        <w:spacing w:after="0" w:line="161" w:lineRule="exact"/>
        <w:rPr>
          <w:rFonts w:ascii="Times New Roman" w:cs="Times New Roman" w:eastAsia="Times New Roman" w:hAnsi="Times New Roman"/>
          <w:sz w:val="21"/>
          <w:szCs w:val="21"/>
          <w:color w:val="auto"/>
        </w:rPr>
      </w:pPr>
    </w:p>
    <w:p>
      <w:pPr>
        <w:ind w:left="760" w:right="80" w:firstLine="1494"/>
        <w:spacing w:after="0" w:line="244" w:lineRule="auto"/>
        <w:tabs>
          <w:tab w:leader="none" w:pos="2611"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Equity Awards, including but not limited to performance stock units vesting based on achieving pre-established performance goals (collectively, the “</w:t>
      </w:r>
      <w:r>
        <w:rPr>
          <w:rFonts w:ascii="Times New Roman" w:cs="Times New Roman" w:eastAsia="Times New Roman" w:hAnsi="Times New Roman"/>
          <w:sz w:val="22"/>
          <w:szCs w:val="22"/>
          <w:b w:val="1"/>
          <w:bCs w:val="1"/>
          <w:i w:val="1"/>
          <w:iCs w:val="1"/>
          <w:u w:val="single" w:color="auto"/>
          <w:color w:val="auto"/>
        </w:rPr>
        <w:t>Performance-Based Equity Awards</w:t>
      </w:r>
      <w:r>
        <w:rPr>
          <w:rFonts w:ascii="Times New Roman" w:cs="Times New Roman" w:eastAsia="Times New Roman" w:hAnsi="Times New Roman"/>
          <w:sz w:val="22"/>
          <w:szCs w:val="22"/>
          <w:color w:val="auto"/>
        </w:rPr>
        <w:t>”) shall be governed by the terms of the Plan and the applicable award agreement.</w:t>
      </w:r>
    </w:p>
    <w:p>
      <w:pPr>
        <w:spacing w:after="0" w:line="173" w:lineRule="exact"/>
        <w:rPr>
          <w:rFonts w:ascii="Times New Roman" w:cs="Times New Roman" w:eastAsia="Times New Roman" w:hAnsi="Times New Roman"/>
          <w:sz w:val="22"/>
          <w:szCs w:val="22"/>
          <w:color w:val="auto"/>
        </w:rPr>
      </w:pPr>
    </w:p>
    <w:p>
      <w:pPr>
        <w:ind w:right="220" w:firstLine="757"/>
        <w:spacing w:after="0" w:line="258"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Executive’s employment hereunder may be terminated without any breach of this Agreement under the following circumstances:</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terminate upon death.</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85" w:lineRule="exact"/>
        <w:rPr>
          <w:sz w:val="20"/>
          <w:szCs w:val="20"/>
          <w:color w:val="auto"/>
        </w:rPr>
      </w:pPr>
    </w:p>
    <w:p>
      <w:pPr>
        <w:ind w:left="-20" w:firstLine="1505"/>
        <w:spacing w:after="0" w:line="233" w:lineRule="auto"/>
        <w:tabs>
          <w:tab w:leader="none" w:pos="201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 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w:t>
      </w:r>
    </w:p>
    <w:p>
      <w:pPr>
        <w:spacing w:after="0" w:line="187" w:lineRule="exact"/>
        <w:rPr>
          <w:rFonts w:ascii="Times New Roman" w:cs="Times New Roman" w:eastAsia="Times New Roman" w:hAnsi="Times New Roman"/>
          <w:sz w:val="22"/>
          <w:szCs w:val="22"/>
          <w:color w:val="auto"/>
        </w:rPr>
      </w:pPr>
    </w:p>
    <w:p>
      <w:pPr>
        <w:ind w:left="-20" w:right="840" w:firstLine="1505"/>
        <w:spacing w:after="0" w:line="258" w:lineRule="auto"/>
        <w:tabs>
          <w:tab w:leader="none" w:pos="201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Executive’s employment hereunder for Cause. For purposes of this Agreement, “</w:t>
      </w:r>
      <w:r>
        <w:rPr>
          <w:rFonts w:ascii="Times New Roman" w:cs="Times New Roman" w:eastAsia="Times New Roman" w:hAnsi="Times New Roman"/>
          <w:sz w:val="22"/>
          <w:szCs w:val="22"/>
          <w:i w:val="1"/>
          <w:iCs w:val="1"/>
          <w:u w:val="single" w:color="auto"/>
          <w:color w:val="auto"/>
        </w:rPr>
        <w:t>Cause</w:t>
      </w:r>
      <w:r>
        <w:rPr>
          <w:rFonts w:ascii="Times New Roman" w:cs="Times New Roman" w:eastAsia="Times New Roman" w:hAnsi="Times New Roman"/>
          <w:sz w:val="22"/>
          <w:szCs w:val="22"/>
          <w:color w:val="auto"/>
        </w:rPr>
        <w:t>” shall mean any of the following:</w:t>
      </w:r>
    </w:p>
    <w:p>
      <w:pPr>
        <w:spacing w:after="0" w:line="158" w:lineRule="exact"/>
        <w:rPr>
          <w:rFonts w:ascii="Times New Roman" w:cs="Times New Roman" w:eastAsia="Times New Roman" w:hAnsi="Times New Roman"/>
          <w:sz w:val="22"/>
          <w:szCs w:val="22"/>
          <w:color w:val="auto"/>
        </w:rPr>
      </w:pPr>
    </w:p>
    <w:p>
      <w:pPr>
        <w:ind w:left="740" w:right="120" w:firstLine="1494"/>
        <w:spacing w:after="0" w:line="244" w:lineRule="auto"/>
        <w:tabs>
          <w:tab w:leader="none" w:pos="2537"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PIIA Agreement;</w:t>
      </w:r>
    </w:p>
    <w:p>
      <w:pPr>
        <w:spacing w:after="0" w:line="173" w:lineRule="exact"/>
        <w:rPr>
          <w:rFonts w:ascii="Times New Roman" w:cs="Times New Roman" w:eastAsia="Times New Roman" w:hAnsi="Times New Roman"/>
          <w:sz w:val="22"/>
          <w:szCs w:val="22"/>
          <w:color w:val="auto"/>
        </w:rPr>
      </w:pPr>
    </w:p>
    <w:p>
      <w:pPr>
        <w:jc w:val="both"/>
        <w:ind w:left="740" w:right="60" w:firstLine="1494"/>
        <w:spacing w:after="0" w:line="244" w:lineRule="auto"/>
        <w:tabs>
          <w:tab w:leader="none" w:pos="2537"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or pleading no contest to, a felony under the laws of the United States or any state thereof (other than in connection with a traffic violation that does not result in imprisonment) or any crime that results in Executive’s incarceration in a federal, state, or local jail or prison;</w:t>
      </w:r>
    </w:p>
    <w:p>
      <w:pPr>
        <w:spacing w:after="0" w:line="173" w:lineRule="exact"/>
        <w:rPr>
          <w:sz w:val="20"/>
          <w:szCs w:val="20"/>
          <w:color w:val="auto"/>
        </w:rPr>
      </w:pPr>
    </w:p>
    <w:p>
      <w:pPr>
        <w:ind w:left="740" w:right="160" w:firstLine="1497"/>
        <w:spacing w:after="0" w:line="238" w:lineRule="auto"/>
        <w:rPr>
          <w:sz w:val="20"/>
          <w:szCs w:val="20"/>
          <w:color w:val="auto"/>
        </w:rPr>
      </w:pPr>
      <w:r>
        <w:rPr>
          <w:rFonts w:ascii="Times New Roman" w:cs="Times New Roman" w:eastAsia="Times New Roman" w:hAnsi="Times New Roman"/>
          <w:sz w:val="22"/>
          <w:szCs w:val="22"/>
          <w:color w:val="auto"/>
        </w:rPr>
        <w:t>(iii)Executive’s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w:t>
      </w:r>
    </w:p>
    <w:p>
      <w:pPr>
        <w:spacing w:after="0" w:line="177" w:lineRule="exact"/>
        <w:rPr>
          <w:sz w:val="20"/>
          <w:szCs w:val="20"/>
          <w:color w:val="auto"/>
        </w:rPr>
      </w:pPr>
    </w:p>
    <w:p>
      <w:pPr>
        <w:ind w:left="740" w:right="260" w:firstLine="1497"/>
        <w:spacing w:after="0" w:line="258" w:lineRule="auto"/>
        <w:rPr>
          <w:sz w:val="20"/>
          <w:szCs w:val="20"/>
          <w:color w:val="auto"/>
        </w:rPr>
      </w:pPr>
      <w:r>
        <w:rPr>
          <w:rFonts w:ascii="Times New Roman" w:cs="Times New Roman" w:eastAsia="Times New Roman" w:hAnsi="Times New Roman"/>
          <w:sz w:val="22"/>
          <w:szCs w:val="22"/>
          <w:color w:val="auto"/>
        </w:rPr>
        <w:t>(iv)any act of fraud, embezzlement or material misappropriation committed by Executive against the Company (other than good faith expense account disputes);</w:t>
      </w:r>
    </w:p>
    <w:p>
      <w:pPr>
        <w:spacing w:after="0" w:line="158" w:lineRule="exact"/>
        <w:rPr>
          <w:sz w:val="20"/>
          <w:szCs w:val="20"/>
          <w:color w:val="auto"/>
        </w:rPr>
      </w:pPr>
    </w:p>
    <w:p>
      <w:pPr>
        <w:jc w:val="both"/>
        <w:ind w:left="740" w:right="260" w:firstLine="1494"/>
        <w:spacing w:after="0" w:line="244" w:lineRule="auto"/>
        <w:tabs>
          <w:tab w:leader="none" w:pos="253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engaging by Executive in any act that brings or is reasonably likely to bring the Company into public disrepute or disgrace or causes material harm to the customer relations, operations or business prospects of the Company; or</w:t>
      </w:r>
    </w:p>
    <w:p>
      <w:pPr>
        <w:spacing w:after="0" w:line="173" w:lineRule="exact"/>
        <w:rPr>
          <w:sz w:val="20"/>
          <w:szCs w:val="20"/>
          <w:color w:val="auto"/>
        </w:rPr>
      </w:pPr>
    </w:p>
    <w:p>
      <w:pPr>
        <w:ind w:left="740" w:right="640" w:firstLine="1497"/>
        <w:spacing w:after="0" w:line="258" w:lineRule="auto"/>
        <w:rPr>
          <w:sz w:val="20"/>
          <w:szCs w:val="20"/>
          <w:color w:val="auto"/>
        </w:rPr>
      </w:pPr>
      <w:r>
        <w:rPr>
          <w:rFonts w:ascii="Times New Roman" w:cs="Times New Roman" w:eastAsia="Times New Roman" w:hAnsi="Times New Roman"/>
          <w:sz w:val="22"/>
          <w:szCs w:val="22"/>
          <w:color w:val="auto"/>
        </w:rPr>
        <w:t>(vi)Executive’s failure to cooperate with a bona fide internal investigation or an investigation by regulatory or law enforcement authorities, after being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27" w:name="page228"/>
    <w:bookmarkEnd w:id="227"/>
    <w:p>
      <w:pPr>
        <w:spacing w:after="0" w:line="185" w:lineRule="exact"/>
        <w:rPr>
          <w:sz w:val="20"/>
          <w:szCs w:val="20"/>
          <w:color w:val="auto"/>
        </w:rPr>
      </w:pPr>
    </w:p>
    <w:p>
      <w:pPr>
        <w:jc w:val="both"/>
        <w:ind w:left="760" w:right="240"/>
        <w:spacing w:after="0" w:line="244" w:lineRule="auto"/>
        <w:rPr>
          <w:sz w:val="20"/>
          <w:szCs w:val="20"/>
          <w:color w:val="auto"/>
        </w:rPr>
      </w:pPr>
      <w:r>
        <w:rPr>
          <w:rFonts w:ascii="Times New Roman" w:cs="Times New Roman" w:eastAsia="Times New Roman" w:hAnsi="Times New Roman"/>
          <w:sz w:val="22"/>
          <w:szCs w:val="22"/>
          <w:color w:val="auto"/>
        </w:rPr>
        <w:t>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spacing w:after="0" w:line="17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 the case of any termination for Cause, the Company shall provide written notice to Executive setting forth to a reasonable extent at least the principal acts or omissions of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 termination for Cause under this Section 3(c) (other than with respect to Section 3(c)(ii)) shall in no event become effective under the Agreement unless the provisions of this paragraph are complied with. Executive must be given written notice by the Company of the intention to terminate Executive’s employment for Cause, such notice to be given within three (3) months of the Company 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thereupon be terminated for Cause.</w:t>
      </w:r>
    </w:p>
    <w:p>
      <w:pPr>
        <w:spacing w:after="0" w:line="181" w:lineRule="exact"/>
        <w:rPr>
          <w:sz w:val="20"/>
          <w:szCs w:val="20"/>
          <w:color w:val="auto"/>
        </w:rPr>
      </w:pPr>
    </w:p>
    <w:p>
      <w:pPr>
        <w:ind w:firstLine="1505"/>
        <w:spacing w:after="0" w:line="239"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spacing w:after="0" w:line="180" w:lineRule="exact"/>
        <w:rPr>
          <w:rFonts w:ascii="Times New Roman" w:cs="Times New Roman" w:eastAsia="Times New Roman" w:hAnsi="Times New Roman"/>
          <w:sz w:val="22"/>
          <w:szCs w:val="22"/>
          <w:color w:val="auto"/>
        </w:rPr>
      </w:pPr>
    </w:p>
    <w:p>
      <w:pPr>
        <w:ind w:right="280" w:firstLine="1505"/>
        <w:spacing w:after="0" w:line="239"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w:t>
      </w:r>
      <w:r>
        <w:rPr>
          <w:rFonts w:ascii="Times New Roman" w:cs="Times New Roman" w:eastAsia="Times New Roman" w:hAnsi="Times New Roman"/>
          <w:sz w:val="22"/>
          <w:szCs w:val="22"/>
          <w:color w:val="auto"/>
        </w:rPr>
        <w:t>. Executive may terminate employment hereunder at any time for any reason, including but not limited to, Good Reason. For purposes of this Agreement, “</w:t>
      </w:r>
      <w:r>
        <w:rPr>
          <w:rFonts w:ascii="Times New Roman" w:cs="Times New Roman" w:eastAsia="Times New Roman" w:hAnsi="Times New Roman"/>
          <w:sz w:val="22"/>
          <w:szCs w:val="22"/>
          <w:b w:val="1"/>
          <w:bCs w:val="1"/>
          <w:i w:val="1"/>
          <w:iCs w:val="1"/>
          <w:u w:val="single" w:color="auto"/>
          <w:color w:val="auto"/>
        </w:rPr>
        <w:t>Good Reason</w:t>
      </w:r>
      <w:r>
        <w:rPr>
          <w:rFonts w:ascii="Times New Roman" w:cs="Times New Roman" w:eastAsia="Times New Roman" w:hAnsi="Times New Roman"/>
          <w:sz w:val="22"/>
          <w:szCs w:val="22"/>
          <w:color w:val="auto"/>
        </w:rPr>
        <w:t>” shall mean that Executive has completed all steps of the Good Reason Process (hereinafter defined) following the occurrence of any of the following events without Executive’s consent (each, a “</w:t>
      </w:r>
      <w:r>
        <w:rPr>
          <w:rFonts w:ascii="Times New Roman" w:cs="Times New Roman" w:eastAsia="Times New Roman" w:hAnsi="Times New Roman"/>
          <w:sz w:val="22"/>
          <w:szCs w:val="22"/>
          <w:b w:val="1"/>
          <w:bCs w:val="1"/>
          <w:i w:val="1"/>
          <w:iCs w:val="1"/>
          <w:u w:val="single" w:color="auto"/>
          <w:color w:val="auto"/>
        </w:rPr>
        <w:t>Good Reason Condition</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title, responsibilities, authority or duties;</w:t>
      </w:r>
    </w:p>
    <w:p>
      <w:pPr>
        <w:spacing w:after="0" w:line="206" w:lineRule="exact"/>
        <w:rPr>
          <w:rFonts w:ascii="Times New Roman" w:cs="Times New Roman" w:eastAsia="Times New Roman" w:hAnsi="Times New Roman"/>
          <w:sz w:val="22"/>
          <w:szCs w:val="22"/>
          <w:color w:val="auto"/>
        </w:rPr>
      </w:pPr>
    </w:p>
    <w:p>
      <w:pPr>
        <w:ind w:left="760" w:right="140" w:firstLine="1494"/>
        <w:spacing w:after="0" w:line="244" w:lineRule="auto"/>
        <w:tabs>
          <w:tab w:leader="none" w:pos="2557"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following which either: (A) Executive is not Chief Commercial Officer of the Company or, (B) if the Company becomes a subsidiary of one or more entities following the Change in Control, the post-consummation ultimate parent entity of the Company; or</w:t>
      </w:r>
    </w:p>
    <w:p>
      <w:pPr>
        <w:spacing w:after="0" w:line="173" w:lineRule="exact"/>
        <w:rPr>
          <w:rFonts w:ascii="Times New Roman" w:cs="Times New Roman" w:eastAsia="Times New Roman" w:hAnsi="Times New Roman"/>
          <w:sz w:val="22"/>
          <w:szCs w:val="22"/>
          <w:color w:val="auto"/>
        </w:rPr>
      </w:pPr>
    </w:p>
    <w:p>
      <w:pPr>
        <w:ind w:left="760" w:right="140" w:firstLine="1494"/>
        <w:spacing w:after="0" w:line="239" w:lineRule="auto"/>
        <w:tabs>
          <w:tab w:leader="none" w:pos="2635"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8" w:name="page229"/>
    <w:bookmarkEnd w:id="228"/>
    <w:p>
      <w:pPr>
        <w:spacing w:after="0" w:line="185" w:lineRule="exact"/>
        <w:rPr>
          <w:sz w:val="20"/>
          <w:szCs w:val="20"/>
          <w:color w:val="auto"/>
        </w:rPr>
      </w:pPr>
    </w:p>
    <w:p>
      <w:pPr>
        <w:ind w:left="760" w:right="20"/>
        <w:spacing w:after="0" w:line="261" w:lineRule="auto"/>
        <w:rPr>
          <w:sz w:val="20"/>
          <w:szCs w:val="20"/>
          <w:color w:val="auto"/>
        </w:rPr>
      </w:pPr>
      <w:r>
        <w:rPr>
          <w:rFonts w:ascii="Times New Roman" w:cs="Times New Roman" w:eastAsia="Times New Roman" w:hAnsi="Times New Roman"/>
          <w:sz w:val="21"/>
          <w:szCs w:val="21"/>
          <w:color w:val="auto"/>
        </w:rPr>
        <w:t>the Company), a relocation of Executive’s principal place of employment to any location that is greater than twenty (20) miles from Executive’s then-current home office, or the failure of the Company to obtain the assumption in writing of the Company’s obligations to Executive under this Agreement by any successor as required under Section 13 below.</w:t>
      </w:r>
    </w:p>
    <w:p>
      <w:pPr>
        <w:spacing w:after="0" w:line="151" w:lineRule="exact"/>
        <w:rPr>
          <w:sz w:val="20"/>
          <w:szCs w:val="20"/>
          <w:color w:val="auto"/>
        </w:rPr>
      </w:pPr>
    </w:p>
    <w:p>
      <w:pPr>
        <w:ind w:left="1940" w:hanging="435"/>
        <w:spacing w:after="0"/>
        <w:tabs>
          <w:tab w:leader="none" w:pos="194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212"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reasonably determines in good faith that a Good Reason Condition has occurred;</w:t>
      </w:r>
    </w:p>
    <w:p>
      <w:pPr>
        <w:spacing w:after="0" w:line="206" w:lineRule="exact"/>
        <w:rPr>
          <w:rFonts w:ascii="Times New Roman" w:cs="Times New Roman" w:eastAsia="Times New Roman" w:hAnsi="Times New Roman"/>
          <w:sz w:val="22"/>
          <w:szCs w:val="22"/>
          <w:color w:val="auto"/>
        </w:rPr>
      </w:pPr>
    </w:p>
    <w:p>
      <w:pPr>
        <w:ind w:left="760" w:right="300" w:firstLine="1494"/>
        <w:spacing w:after="0" w:line="258" w:lineRule="auto"/>
        <w:tabs>
          <w:tab w:leader="none" w:pos="2557"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notifies the Company in writing of the first occurrence of the Good Reason Condition within sixty (60) days of the first occurrence of such condition;</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(iii)Executive cooperates in good faith with the Company’s efforts, for a period of not less than thirty</w:t>
      </w:r>
    </w:p>
    <w:p>
      <w:pPr>
        <w:spacing w:after="0" w:line="14" w:lineRule="exact"/>
        <w:rPr>
          <w:sz w:val="20"/>
          <w:szCs w:val="20"/>
          <w:color w:val="auto"/>
        </w:rPr>
      </w:pPr>
    </w:p>
    <w:p>
      <w:pPr>
        <w:ind w:left="760" w:right="180" w:hanging="3"/>
        <w:spacing w:after="0" w:line="237" w:lineRule="auto"/>
        <w:tabs>
          <w:tab w:leader="none" w:pos="117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such notice (the “</w:t>
      </w:r>
      <w:r>
        <w:rPr>
          <w:rFonts w:ascii="Times New Roman" w:cs="Times New Roman" w:eastAsia="Times New Roman" w:hAnsi="Times New Roman"/>
          <w:sz w:val="22"/>
          <w:szCs w:val="22"/>
          <w:b w:val="1"/>
          <w:bCs w:val="1"/>
          <w:i w:val="1"/>
          <w:iCs w:val="1"/>
          <w:u w:val="single" w:color="auto"/>
          <w:color w:val="auto"/>
        </w:rPr>
        <w:t>Cure Period</w:t>
      </w:r>
      <w:r>
        <w:rPr>
          <w:rFonts w:ascii="Times New Roman" w:cs="Times New Roman" w:eastAsia="Times New Roman" w:hAnsi="Times New Roman"/>
          <w:sz w:val="22"/>
          <w:szCs w:val="22"/>
          <w:color w:val="auto"/>
        </w:rPr>
        <w:t>”), to remedy the Good Reason Condition (to the extent such cure is possible);</w:t>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(iv)notwithstanding such efforts, the Good Reason Condition continues to exist at the end of the Cure</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Period; and</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Executive terminates employment within sixty (60) days after the end of the Cure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14" w:lineRule="exact"/>
        <w:rPr>
          <w:sz w:val="20"/>
          <w:szCs w:val="20"/>
          <w:color w:val="auto"/>
        </w:rPr>
      </w:pPr>
    </w:p>
    <w:p>
      <w:pPr>
        <w:ind w:left="1180" w:hanging="423"/>
        <w:spacing w:after="0"/>
        <w:tabs>
          <w:tab w:leader="none" w:pos="11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right="20" w:firstLine="1505"/>
        <w:spacing w:after="0" w:line="239" w:lineRule="auto"/>
        <w:tabs>
          <w:tab w:leader="none" w:pos="1929"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Times New Roman" w:cs="Times New Roman" w:eastAsia="Times New Roman" w:hAnsi="Times New Roman"/>
          <w:sz w:val="22"/>
          <w:szCs w:val="22"/>
          <w:b w:val="1"/>
          <w:bCs w:val="1"/>
          <w:i w:val="1"/>
          <w:iCs w:val="1"/>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74"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9" w:name="page230"/>
    <w:bookmarkEnd w:id="229"/>
    <w:p>
      <w:pPr>
        <w:ind w:right="340"/>
        <w:spacing w:after="0" w:line="258" w:lineRule="auto"/>
        <w:rPr>
          <w:sz w:val="20"/>
          <w:szCs w:val="20"/>
          <w:color w:val="auto"/>
        </w:rPr>
      </w:pPr>
      <w:r>
        <w:rPr>
          <w:rFonts w:ascii="Times New Roman" w:cs="Times New Roman" w:eastAsia="Times New Roman" w:hAnsi="Times New Roman"/>
          <w:sz w:val="22"/>
          <w:szCs w:val="22"/>
          <w:color w:val="auto"/>
        </w:rPr>
        <w:t>accelerate the Date of Termination and such acceleration shall not result in a termination by the Company for purposes of this Agreement.</w:t>
      </w:r>
    </w:p>
    <w:p>
      <w:pPr>
        <w:spacing w:after="0" w:line="158" w:lineRule="exact"/>
        <w:rPr>
          <w:sz w:val="20"/>
          <w:szCs w:val="20"/>
          <w:color w:val="auto"/>
        </w:rPr>
      </w:pPr>
    </w:p>
    <w:p>
      <w:pPr>
        <w:ind w:right="40" w:firstLine="1505"/>
        <w:spacing w:after="0" w:line="234" w:lineRule="auto"/>
        <w:tabs>
          <w:tab w:leader="none" w:pos="1929"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Executive’s employment with the Company is terminated for any reason, the Company shall pay or provide to Executive (or to Executive’s authorized representative or estate) (i) any Base Salary earned through the Date of Termination; (ii) unpaid expense reimbursements (subject to, and in accordance with, Section 2(c) of this Agreement); and (iii) any vested benefits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Executive terminates employment due to death or disability, in accordance with Sections 3(a) and 3(b) above, Executive (or in the case of death,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cs="Times New Roman" w:eastAsia="Times New Roman" w:hAnsi="Times New Roman"/>
          <w:sz w:val="22"/>
          <w:szCs w:val="22"/>
          <w:b w:val="1"/>
          <w:bCs w:val="1"/>
          <w:i w:val="1"/>
          <w:iCs w:val="1"/>
          <w:u w:val="single" w:color="auto"/>
          <w:color w:val="auto"/>
        </w:rPr>
        <w:t>Accrued Obligations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20" w:firstLine="1505"/>
        <w:spacing w:after="0" w:line="239" w:lineRule="auto"/>
        <w:tabs>
          <w:tab w:leader="none" w:pos="1929"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80" w:lineRule="exact"/>
        <w:rPr>
          <w:rFonts w:ascii="Times New Roman" w:cs="Times New Roman" w:eastAsia="Times New Roman" w:hAnsi="Times New Roman"/>
          <w:sz w:val="22"/>
          <w:szCs w:val="22"/>
          <w:color w:val="auto"/>
        </w:rPr>
      </w:pPr>
    </w:p>
    <w:p>
      <w:pPr>
        <w:ind w:firstLine="757"/>
        <w:spacing w:after="0" w:line="235" w:lineRule="auto"/>
        <w:tabs>
          <w:tab w:leader="none" w:pos="11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Executive for Good Reason</w:t>
      </w:r>
      <w:r>
        <w:rPr>
          <w:rFonts w:ascii="Times New Roman" w:cs="Times New Roman" w:eastAsia="Times New Roman" w:hAnsi="Times New Roman"/>
          <w:sz w:val="22"/>
          <w:szCs w:val="22"/>
          <w:color w:val="auto"/>
        </w:rPr>
        <w:t xml:space="preserve">. If Executive’s employment is terminated by the Company without Cause as provided in Section 3(d), or Executive terminates employment for Good Reason as provided in Section 3(e), then, in addition to the Accrued Obligations, and subject to (i) Executive signing and allowing to become effective a separation agreement and release in a form substantially the same as set forth in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b w:val="1"/>
          <w:bCs w:val="1"/>
          <w:i w:val="1"/>
          <w:iCs w:val="1"/>
          <w:u w:val="single" w:color="auto"/>
          <w:color w:val="auto"/>
        </w:rPr>
        <w:t>Separation Agreement</w:t>
      </w:r>
      <w:r>
        <w:rPr>
          <w:rFonts w:ascii="Times New Roman" w:cs="Times New Roman" w:eastAsia="Times New Roman" w:hAnsi="Times New Roman"/>
          <w:sz w:val="22"/>
          <w:szCs w:val="22"/>
          <w:color w:val="auto"/>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78" w:lineRule="exact"/>
        <w:rPr>
          <w:rFonts w:ascii="Times New Roman" w:cs="Times New Roman" w:eastAsia="Times New Roman" w:hAnsi="Times New Roman"/>
          <w:sz w:val="22"/>
          <w:szCs w:val="22"/>
          <w:color w:val="auto"/>
        </w:rPr>
      </w:pPr>
    </w:p>
    <w:p>
      <w:pPr>
        <w:ind w:right="80" w:firstLine="1505"/>
        <w:spacing w:after="0" w:line="236" w:lineRule="auto"/>
        <w:tabs>
          <w:tab w:leader="none" w:pos="1929"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The Company shall pay Executive an amount equal to nine (9) months’ of Executive’s Base Salary (the “</w:t>
      </w:r>
      <w:r>
        <w:rPr>
          <w:rFonts w:ascii="Times New Roman" w:cs="Times New Roman" w:eastAsia="Times New Roman" w:hAnsi="Times New Roman"/>
          <w:sz w:val="22"/>
          <w:szCs w:val="22"/>
          <w:b w:val="1"/>
          <w:bCs w:val="1"/>
          <w:i w:val="1"/>
          <w:iCs w:val="1"/>
          <w:u w:val="single" w:color="auto"/>
          <w:color w:val="auto"/>
        </w:rPr>
        <w:t>Severance Amount</w:t>
      </w:r>
      <w:r>
        <w:rPr>
          <w:rFonts w:ascii="Times New Roman" w:cs="Times New Roman" w:eastAsia="Times New Roman" w:hAnsi="Times New Roman"/>
          <w:sz w:val="22"/>
          <w:szCs w:val="22"/>
          <w:color w:val="auto"/>
        </w:rPr>
        <w:t>”) and, in the event that Executive’s employment is terminated after the end of the calendar year but prior to the payment of any Annual Bonus 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Times New Roman" w:cs="Times New Roman" w:eastAsia="Times New Roman" w:hAnsi="Times New Roman"/>
          <w:sz w:val="22"/>
          <w:szCs w:val="22"/>
          <w:b w:val="1"/>
          <w:bCs w:val="1"/>
          <w:i w:val="1"/>
          <w:iCs w:val="1"/>
          <w:u w:val="single" w:color="auto"/>
          <w:color w:val="auto"/>
        </w:rPr>
        <w:t>Earned Bonus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140" w:firstLine="1505"/>
        <w:spacing w:after="0" w:line="244" w:lineRule="auto"/>
        <w:tabs>
          <w:tab w:leader="none" w:pos="1929"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the Consolidated Omnibus Budget Reconciliation Act of 1985, as amended (“</w:t>
      </w:r>
      <w:r>
        <w:rPr>
          <w:rFonts w:ascii="Times New Roman" w:cs="Times New Roman" w:eastAsia="Times New Roman" w:hAnsi="Times New Roman"/>
          <w:sz w:val="22"/>
          <w:szCs w:val="22"/>
          <w:b w:val="1"/>
          <w:bCs w:val="1"/>
          <w:i w:val="1"/>
          <w:iCs w:val="1"/>
          <w:u w:val="single" w:color="auto"/>
          <w:color w:val="auto"/>
        </w:rPr>
        <w:t>COBRA</w:t>
      </w:r>
      <w:r>
        <w:rPr>
          <w:rFonts w:ascii="Times New Roman" w:cs="Times New Roman" w:eastAsia="Times New Roman" w:hAnsi="Times New Roman"/>
          <w:sz w:val="22"/>
          <w:szCs w:val="22"/>
          <w:color w:val="auto"/>
        </w:rPr>
        <w:t>”), the Company shall pay to the group health plan provider or the COBRA provider a</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0" w:name="page231"/>
    <w:bookmarkEnd w:id="230"/>
    <w:p>
      <w:pPr>
        <w:ind w:right="80"/>
        <w:spacing w:after="0" w:line="234" w:lineRule="auto"/>
        <w:rPr>
          <w:sz w:val="20"/>
          <w:szCs w:val="20"/>
          <w:color w:val="auto"/>
        </w:rPr>
      </w:pPr>
      <w:r>
        <w:rPr>
          <w:rFonts w:ascii="Times New Roman" w:cs="Times New Roman" w:eastAsia="Times New Roman" w:hAnsi="Times New Roman"/>
          <w:sz w:val="22"/>
          <w:szCs w:val="22"/>
          <w:color w:val="auto"/>
        </w:rPr>
        <w:t>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3" w:lineRule="exact"/>
        <w:rPr>
          <w:sz w:val="20"/>
          <w:szCs w:val="20"/>
          <w:color w:val="auto"/>
        </w:rPr>
      </w:pPr>
    </w:p>
    <w:p>
      <w:pPr>
        <w:ind w:firstLine="1505"/>
        <w:spacing w:after="0" w:line="232" w:lineRule="auto"/>
        <w:tabs>
          <w:tab w:leader="none" w:pos="192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Forfeiture of Time-Based Equity Awards</w:t>
      </w:r>
      <w:r>
        <w:rPr>
          <w:rFonts w:ascii="Times New Roman" w:cs="Times New Roman" w:eastAsia="Times New Roman" w:hAnsi="Times New Roman"/>
          <w:sz w:val="22"/>
          <w:szCs w:val="22"/>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cs="Times New Roman" w:eastAsia="Times New Roman" w:hAnsi="Times New Roman"/>
          <w:sz w:val="22"/>
          <w:szCs w:val="22"/>
          <w:b w:val="1"/>
          <w:bCs w:val="1"/>
          <w:i w:val="1"/>
          <w:iCs w:val="1"/>
          <w:u w:val="single" w:color="auto"/>
          <w:color w:val="auto"/>
        </w:rPr>
        <w:t>Pre-CIC Protection Period</w:t>
      </w:r>
      <w:r>
        <w:rPr>
          <w:rFonts w:ascii="Times New Roman" w:cs="Times New Roman" w:eastAsia="Times New Roman" w:hAnsi="Times New Roman"/>
          <w:sz w:val="22"/>
          <w:szCs w:val="22"/>
          <w:color w:val="auto"/>
        </w:rPr>
        <w:t>”). If the Company has not, prior to the end of the Pre-CIC Protection Period, entered into a definitive agreement that, if closed, would result in a Change in Control (a “</w:t>
      </w:r>
      <w:r>
        <w:rPr>
          <w:rFonts w:ascii="Times New Roman" w:cs="Times New Roman" w:eastAsia="Times New Roman" w:hAnsi="Times New Roman"/>
          <w:sz w:val="22"/>
          <w:szCs w:val="22"/>
          <w:b w:val="1"/>
          <w:bCs w:val="1"/>
          <w:i w:val="1"/>
          <w:iCs w:val="1"/>
          <w:u w:val="single" w:color="auto"/>
          <w:color w:val="auto"/>
        </w:rPr>
        <w:t>P&amp;S Agreement</w:t>
      </w:r>
      <w:r>
        <w:rPr>
          <w:rFonts w:ascii="Times New Roman" w:cs="Times New Roman" w:eastAsia="Times New Roman" w:hAnsi="Times New Roman"/>
          <w:sz w:val="22"/>
          <w:szCs w:val="22"/>
          <w:color w:val="auto"/>
        </w:rPr>
        <w: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herein to the contrary, no Time-Based Awards shall remain outstanding following the original expiration date of such award, as set forth in the applicable award agreement.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1" w:name="page232"/>
    <w:bookmarkEnd w:id="231"/>
    <w:p>
      <w:pPr>
        <w:ind w:firstLine="1505"/>
        <w:spacing w:after="0" w:line="234" w:lineRule="auto"/>
        <w:tabs>
          <w:tab w:leader="none" w:pos="1929" w:val="left"/>
        </w:tabs>
        <w:numPr>
          <w:ilvl w:val="2"/>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 Timing</w:t>
      </w:r>
      <w:r>
        <w:rPr>
          <w:rFonts w:ascii="Times New Roman" w:cs="Times New Roman" w:eastAsia="Times New Roman" w:hAnsi="Times New Roman"/>
          <w:sz w:val="22"/>
          <w:szCs w:val="22"/>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b w:val="1"/>
          <w:bCs w:val="1"/>
          <w:i w:val="1"/>
          <w:iCs w:val="1"/>
          <w:u w:val="single" w:color="auto"/>
          <w:color w:val="auto"/>
        </w:rPr>
        <w:t>Code</w:t>
      </w:r>
      <w:r>
        <w:rPr>
          <w:rFonts w:ascii="Times New Roman" w:cs="Times New Roman" w:eastAsia="Times New Roman" w:hAnsi="Times New Roman"/>
          <w:sz w:val="22"/>
          <w:szCs w:val="22"/>
          <w:color w:val="auto"/>
        </w:rPr>
        <w:t>”), shall be paid or commence to be paid in the second calendar year by the last day of such period. The Severance Amount shall be paid in a single lump sum and the Earned Bonus, if any, shall be paid at the same time as if Executive had remained employed with the Company through the payment date.</w:t>
      </w:r>
    </w:p>
    <w:p>
      <w:pPr>
        <w:spacing w:after="0" w:line="183" w:lineRule="exact"/>
        <w:rPr>
          <w:rFonts w:ascii="Times New Roman" w:cs="Times New Roman" w:eastAsia="Times New Roman" w:hAnsi="Times New Roman"/>
          <w:sz w:val="22"/>
          <w:szCs w:val="22"/>
          <w:color w:val="auto"/>
        </w:rPr>
      </w:pPr>
    </w:p>
    <w:p>
      <w:pPr>
        <w:ind w:right="20" w:firstLine="757"/>
        <w:spacing w:after="0" w:line="246" w:lineRule="auto"/>
        <w:tabs>
          <w:tab w:leader="none" w:pos="1181"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 and Benefits Upon Termination by the Company without Cause or by Executive for Good Reason within the Change in Control Period</w:t>
      </w:r>
      <w:r>
        <w:rPr>
          <w:rFonts w:ascii="Times New Roman" w:cs="Times New Roman" w:eastAsia="Times New Roman" w:hAnsi="Times New Roman"/>
          <w:sz w:val="21"/>
          <w:szCs w:val="21"/>
          <w:color w:val="auto"/>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 (ii) the Date of Termination is during the Change in Control Period. The “</w:t>
      </w:r>
      <w:r>
        <w:rPr>
          <w:rFonts w:ascii="Times New Roman" w:cs="Times New Roman" w:eastAsia="Times New Roman" w:hAnsi="Times New Roman"/>
          <w:sz w:val="21"/>
          <w:szCs w:val="21"/>
          <w:b w:val="1"/>
          <w:bCs w:val="1"/>
          <w:i w:val="1"/>
          <w:iCs w:val="1"/>
          <w:u w:val="single" w:color="auto"/>
          <w:color w:val="auto"/>
        </w:rPr>
        <w:t>Change in Control Period</w:t>
      </w:r>
      <w:r>
        <w:rPr>
          <w:rFonts w:ascii="Times New Roman" w:cs="Times New Roman" w:eastAsia="Times New Roman" w:hAnsi="Times New Roman"/>
          <w:sz w:val="21"/>
          <w:szCs w:val="21"/>
          <w:color w:val="auto"/>
        </w:rPr>
        <w:t>” shall begin on the earlier of (a) the signing of a P&amp;S Agreement and</w:t>
      </w:r>
    </w:p>
    <w:p>
      <w:pPr>
        <w:spacing w:after="0" w:line="1" w:lineRule="exact"/>
        <w:rPr>
          <w:rFonts w:ascii="Times New Roman" w:cs="Times New Roman" w:eastAsia="Times New Roman" w:hAnsi="Times New Roman"/>
          <w:sz w:val="21"/>
          <w:szCs w:val="21"/>
          <w:color w:val="auto"/>
        </w:rPr>
      </w:pPr>
    </w:p>
    <w:p>
      <w:pPr>
        <w:ind w:right="40" w:firstLine="8"/>
        <w:spacing w:after="0" w:line="232" w:lineRule="auto"/>
        <w:tabs>
          <w:tab w:leader="none" w:pos="30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spacing w:after="0" w:line="1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spacing w:after="0" w:line="177" w:lineRule="exact"/>
        <w:rPr>
          <w:sz w:val="20"/>
          <w:szCs w:val="20"/>
          <w:color w:val="auto"/>
        </w:rPr>
      </w:pPr>
    </w:p>
    <w:p>
      <w:pPr>
        <w:ind w:left="1940" w:hanging="435"/>
        <w:spacing w:after="0"/>
        <w:tabs>
          <w:tab w:leader="none" w:pos="1940"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The Company shall pay Executive a lump sum in cash in an amount equal to the sum of</w:t>
      </w:r>
    </w:p>
    <w:p>
      <w:pPr>
        <w:spacing w:after="0" w:line="14" w:lineRule="exact"/>
        <w:rPr>
          <w:rFonts w:ascii="Times New Roman" w:cs="Times New Roman" w:eastAsia="Times New Roman" w:hAnsi="Times New Roman"/>
          <w:sz w:val="22"/>
          <w:szCs w:val="22"/>
          <w:color w:val="auto"/>
        </w:rPr>
      </w:pPr>
    </w:p>
    <w:p>
      <w:pPr>
        <w:ind w:right="120" w:firstLine="8"/>
        <w:spacing w:after="0" w:line="234" w:lineRule="auto"/>
        <w:tabs>
          <w:tab w:leader="none" w:pos="35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Earned Bonus (the “</w:t>
      </w:r>
      <w:r>
        <w:rPr>
          <w:rFonts w:ascii="Times New Roman" w:cs="Times New Roman" w:eastAsia="Times New Roman" w:hAnsi="Times New Roman"/>
          <w:sz w:val="22"/>
          <w:szCs w:val="22"/>
          <w:b w:val="1"/>
          <w:bCs w:val="1"/>
          <w:i w:val="1"/>
          <w:iCs w:val="1"/>
          <w:u w:val="single" w:color="auto"/>
          <w:color w:val="auto"/>
        </w:rPr>
        <w:t>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Payment</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220" w:firstLine="1505"/>
        <w:spacing w:after="0" w:line="239" w:lineRule="auto"/>
        <w:tabs>
          <w:tab w:leader="none" w:pos="1929"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2" w:name="page233"/>
    <w:bookmarkEnd w:id="232"/>
    <w:p>
      <w:pPr>
        <w:ind w:right="120"/>
        <w:spacing w:after="0" w:line="235" w:lineRule="auto"/>
        <w:rPr>
          <w:sz w:val="20"/>
          <w:szCs w:val="20"/>
          <w:color w:val="auto"/>
        </w:rPr>
      </w:pPr>
      <w:r>
        <w:rPr>
          <w:rFonts w:ascii="Times New Roman" w:cs="Times New Roman" w:eastAsia="Times New Roman" w:hAnsi="Times New Roman"/>
          <w:sz w:val="22"/>
          <w:szCs w:val="22"/>
          <w:color w:val="auto"/>
        </w:rPr>
        <w:t>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3" w:lineRule="exact"/>
        <w:rPr>
          <w:sz w:val="20"/>
          <w:szCs w:val="20"/>
          <w:color w:val="auto"/>
        </w:rPr>
      </w:pPr>
    </w:p>
    <w:p>
      <w:pPr>
        <w:ind w:firstLine="1505"/>
        <w:spacing w:after="0" w:line="246" w:lineRule="auto"/>
        <w:tabs>
          <w:tab w:leader="none" w:pos="1929"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Accelerated Vesting of Equity Awards</w:t>
      </w:r>
      <w:r>
        <w:rPr>
          <w:rFonts w:ascii="Times New Roman" w:cs="Times New Roman" w:eastAsia="Times New Roman" w:hAnsi="Times New Roman"/>
          <w:sz w:val="21"/>
          <w:szCs w:val="21"/>
          <w:color w:val="auto"/>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cs="Times New Roman" w:eastAsia="Times New Roman" w:hAnsi="Times New Roman"/>
          <w:sz w:val="21"/>
          <w:szCs w:val="21"/>
          <w:b w:val="1"/>
          <w:bCs w:val="1"/>
          <w:i w:val="1"/>
          <w:iCs w:val="1"/>
          <w:u w:val="single" w:color="auto"/>
          <w:color w:val="auto"/>
        </w:rPr>
        <w:t>Accelerated Vesting Date</w:t>
      </w:r>
      <w:r>
        <w:rPr>
          <w:rFonts w:ascii="Times New Roman" w:cs="Times New Roman" w:eastAsia="Times New Roman" w:hAnsi="Times New Roman"/>
          <w:sz w:val="21"/>
          <w:szCs w:val="21"/>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70" w:lineRule="exact"/>
        <w:rPr>
          <w:rFonts w:ascii="Times New Roman" w:cs="Times New Roman" w:eastAsia="Times New Roman" w:hAnsi="Times New Roman"/>
          <w:sz w:val="21"/>
          <w:szCs w:val="21"/>
          <w:color w:val="auto"/>
        </w:rPr>
      </w:pPr>
    </w:p>
    <w:p>
      <w:pPr>
        <w:ind w:firstLine="1505"/>
        <w:spacing w:after="0" w:line="238" w:lineRule="auto"/>
        <w:tabs>
          <w:tab w:leader="none" w:pos="1929"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Payment Timing</w:t>
      </w:r>
      <w:r>
        <w:rPr>
          <w:rFonts w:ascii="Times New Roman" w:cs="Times New Roman" w:eastAsia="Times New Roman" w:hAnsi="Times New Roman"/>
          <w:sz w:val="22"/>
          <w:szCs w:val="22"/>
          <w:color w:val="auto"/>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 Limitation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80" w:firstLine="1505"/>
        <w:spacing w:after="0" w:line="234" w:lineRule="auto"/>
        <w:tabs>
          <w:tab w:leader="none" w:pos="1929"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u w:val="single" w:color="auto"/>
          <w:color w:val="auto"/>
        </w:rPr>
        <w:t>Aggregate Payments</w:t>
      </w:r>
      <w:r>
        <w:rPr>
          <w:rFonts w:ascii="Times New Roman" w:cs="Times New Roman" w:eastAsia="Times New Roman" w:hAnsi="Times New Roman"/>
          <w:sz w:val="22"/>
          <w:szCs w:val="22"/>
          <w:color w:val="auto"/>
        </w:rPr>
        <w:t>”),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3" w:name="page234"/>
    <w:bookmarkEnd w:id="233"/>
    <w:p>
      <w:pPr>
        <w:ind w:right="180"/>
        <w:spacing w:after="0" w:line="236" w:lineRule="auto"/>
        <w:rPr>
          <w:sz w:val="20"/>
          <w:szCs w:val="20"/>
          <w:color w:val="auto"/>
        </w:rPr>
      </w:pPr>
      <w:r>
        <w:rPr>
          <w:rFonts w:ascii="Times New Roman" w:cs="Times New Roman" w:eastAsia="Times New Roman" w:hAnsi="Times New Roman"/>
          <w:sz w:val="22"/>
          <w:szCs w:val="22"/>
          <w:color w:val="auto"/>
        </w:rPr>
        <w:t>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5" w:lineRule="exact"/>
        <w:rPr>
          <w:sz w:val="20"/>
          <w:szCs w:val="20"/>
          <w:color w:val="auto"/>
        </w:rPr>
      </w:pPr>
    </w:p>
    <w:p>
      <w:pPr>
        <w:ind w:right="60" w:firstLine="1505"/>
        <w:spacing w:after="0" w:line="236" w:lineRule="auto"/>
        <w:tabs>
          <w:tab w:leader="none" w:pos="1929"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7, the “</w:t>
      </w:r>
      <w:r>
        <w:rPr>
          <w:rFonts w:ascii="Times New Roman" w:cs="Times New Roman" w:eastAsia="Times New Roman" w:hAnsi="Times New Roman"/>
          <w:sz w:val="22"/>
          <w:szCs w:val="22"/>
          <w:b w:val="1"/>
          <w:bCs w:val="1"/>
          <w:i w:val="1"/>
          <w:iCs w:val="1"/>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1" w:lineRule="exact"/>
        <w:rPr>
          <w:rFonts w:ascii="Times New Roman" w:cs="Times New Roman" w:eastAsia="Times New Roman" w:hAnsi="Times New Roman"/>
          <w:sz w:val="22"/>
          <w:szCs w:val="22"/>
          <w:color w:val="auto"/>
        </w:rPr>
      </w:pPr>
    </w:p>
    <w:p>
      <w:pPr>
        <w:ind w:firstLine="1505"/>
        <w:spacing w:after="0" w:line="233" w:lineRule="auto"/>
        <w:tabs>
          <w:tab w:leader="none" w:pos="1929"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cs="Times New Roman" w:eastAsia="Times New Roman" w:hAnsi="Times New Roman"/>
          <w:sz w:val="22"/>
          <w:szCs w:val="22"/>
          <w:b w:val="1"/>
          <w:bCs w:val="1"/>
          <w:i w:val="1"/>
          <w:iCs w:val="1"/>
          <w:color w:val="auto"/>
        </w:rPr>
        <w:t>Independent Advisors</w:t>
      </w:r>
      <w:r>
        <w:rPr>
          <w:rFonts w:ascii="Times New Roman" w:cs="Times New Roman" w:eastAsia="Times New Roman" w:hAnsi="Times New Roman"/>
          <w:sz w:val="22"/>
          <w:szCs w:val="22"/>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spacing w:after="0" w:line="17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0" w:firstLine="1505"/>
        <w:spacing w:after="0" w:line="238" w:lineRule="auto"/>
        <w:tabs>
          <w:tab w:leader="none" w:pos="1929"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4" w:name="page235"/>
    <w:bookmarkEnd w:id="234"/>
    <w:p>
      <w:pPr>
        <w:ind w:right="20"/>
        <w:spacing w:after="0" w:line="236" w:lineRule="auto"/>
        <w:rPr>
          <w:sz w:val="20"/>
          <w:szCs w:val="20"/>
          <w:color w:val="auto"/>
        </w:rPr>
      </w:pPr>
      <w:r>
        <w:rPr>
          <w:rFonts w:ascii="Times New Roman" w:cs="Times New Roman" w:eastAsia="Times New Roman" w:hAnsi="Times New Roman"/>
          <w:sz w:val="22"/>
          <w:szCs w:val="22"/>
          <w:color w:val="auto"/>
        </w:rPr>
        <w:t>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81" w:lineRule="exact"/>
        <w:rPr>
          <w:sz w:val="20"/>
          <w:szCs w:val="20"/>
          <w:color w:val="auto"/>
        </w:rPr>
      </w:pPr>
    </w:p>
    <w:p>
      <w:pPr>
        <w:ind w:firstLine="1505"/>
        <w:spacing w:after="0" w:line="235" w:lineRule="auto"/>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3" w:lineRule="exact"/>
        <w:rPr>
          <w:rFonts w:ascii="Times New Roman" w:cs="Times New Roman" w:eastAsia="Times New Roman" w:hAnsi="Times New Roman"/>
          <w:sz w:val="22"/>
          <w:szCs w:val="22"/>
          <w:color w:val="auto"/>
        </w:rPr>
      </w:pPr>
    </w:p>
    <w:p>
      <w:pPr>
        <w:ind w:right="160" w:firstLine="1505"/>
        <w:spacing w:after="0" w:line="260" w:lineRule="exact"/>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47" w:lineRule="exact"/>
        <w:rPr>
          <w:rFonts w:ascii="Times New Roman" w:cs="Times New Roman" w:eastAsia="Times New Roman" w:hAnsi="Times New Roman"/>
          <w:sz w:val="22"/>
          <w:szCs w:val="22"/>
          <w:color w:val="auto"/>
        </w:rPr>
      </w:pPr>
    </w:p>
    <w:p>
      <w:pPr>
        <w:ind w:right="240" w:firstLine="1505"/>
        <w:spacing w:after="0" w:line="248" w:lineRule="exact"/>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2" w:lineRule="exact"/>
        <w:rPr>
          <w:rFonts w:ascii="Times New Roman" w:cs="Times New Roman" w:eastAsia="Times New Roman" w:hAnsi="Times New Roman"/>
          <w:sz w:val="22"/>
          <w:szCs w:val="22"/>
          <w:color w:val="auto"/>
        </w:rPr>
      </w:pPr>
    </w:p>
    <w:p>
      <w:pPr>
        <w:jc w:val="both"/>
        <w:ind w:right="320" w:firstLine="1505"/>
        <w:spacing w:after="0" w:line="244" w:lineRule="auto"/>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5" w:name="page236"/>
    <w:bookmarkEnd w:id="235"/>
    <w:p>
      <w:pPr>
        <w:ind w:left="1140" w:hanging="423"/>
        <w:spacing w:after="0"/>
        <w:tabs>
          <w:tab w:leader="none" w:pos="114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40" w:right="60" w:firstLine="1505"/>
        <w:spacing w:after="0" w:line="238" w:lineRule="auto"/>
        <w:tabs>
          <w:tab w:leader="none" w:pos="188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PIIA Agreement</w:t>
      </w:r>
      <w:r>
        <w:rPr>
          <w:rFonts w:ascii="Times New Roman" w:cs="Times New Roman" w:eastAsia="Times New Roman" w:hAnsi="Times New Roman"/>
          <w:sz w:val="22"/>
          <w:szCs w:val="22"/>
          <w:color w:val="auto"/>
        </w:rPr>
        <w:t>. As a condition of entering into this Agreement, Executive agrees to execute and deliver, on or before the Effective Date, the PIIA Agreement, which is attached hereto as Appendix C. For purposes of this Agreement, the obligations in this Section 9 and those that arise in the PIIA Agreement and any other agreement relating to confidentiality, assignment of inventions, or other restrictive covenants that may later be agreed to by Executive shall collectively be referred to as the “</w:t>
      </w:r>
      <w:r>
        <w:rPr>
          <w:rFonts w:ascii="Times New Roman" w:cs="Times New Roman" w:eastAsia="Times New Roman" w:hAnsi="Times New Roman"/>
          <w:sz w:val="22"/>
          <w:szCs w:val="22"/>
          <w:b w:val="1"/>
          <w:bCs w:val="1"/>
          <w:i w:val="1"/>
          <w:iCs w:val="1"/>
          <w:u w:val="single" w:color="auto"/>
          <w:color w:val="auto"/>
        </w:rPr>
        <w:t>Continuing Obligations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40" w:firstLine="1505"/>
        <w:spacing w:after="0" w:line="234" w:lineRule="auto"/>
        <w:tabs>
          <w:tab w:leader="none" w:pos="188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Executive hereby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to be effective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spacing w:after="0" w:line="183" w:lineRule="exact"/>
        <w:rPr>
          <w:rFonts w:ascii="Times New Roman" w:cs="Times New Roman" w:eastAsia="Times New Roman" w:hAnsi="Times New Roman"/>
          <w:sz w:val="22"/>
          <w:szCs w:val="22"/>
          <w:color w:val="auto"/>
        </w:rPr>
      </w:pPr>
    </w:p>
    <w:p>
      <w:pPr>
        <w:ind w:left="-40" w:right="60" w:firstLine="1505"/>
        <w:spacing w:after="0" w:line="247" w:lineRule="exact"/>
        <w:tabs>
          <w:tab w:leader="none" w:pos="188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 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Executive’s performance of obligations pursuant to this Section 9(c), which shall be in addition to its obligations to provide indemnification to Executive.</w:t>
      </w:r>
    </w:p>
    <w:p>
      <w:pPr>
        <w:spacing w:after="0" w:line="185" w:lineRule="exact"/>
        <w:rPr>
          <w:rFonts w:ascii="Times New Roman" w:cs="Times New Roman" w:eastAsia="Times New Roman" w:hAnsi="Times New Roman"/>
          <w:sz w:val="22"/>
          <w:szCs w:val="22"/>
          <w:color w:val="auto"/>
        </w:rPr>
      </w:pPr>
    </w:p>
    <w:p>
      <w:pPr>
        <w:ind w:left="-40" w:right="120" w:firstLine="1505"/>
        <w:spacing w:after="0" w:line="235" w:lineRule="auto"/>
        <w:tabs>
          <w:tab w:leader="none" w:pos="1889"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not to disparage the Company, and/or the Company’s attorneys, directors, managers, partners, employees, agents and affiliates, in any manner likely to be harmful to them or their business, business reputation or personal reputation; provided that Executive may respond accurately and fully to any question, inquiry or request for information when required by legal process. Executive further agrees to delete or otherwise remove any and all disparaging public comments or statements that Executive made about or relating to the Company, including, but not limited to, comments in online forums or on websites (including, but not limited to, Facebook, Glassdoor, Yelp, and LinkedIn), as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08" w:right="379" w:bottom="1440" w:gutter="0" w:footer="0" w:header="0"/>
        </w:sectPr>
      </w:pPr>
    </w:p>
    <w:bookmarkStart w:id="236" w:name="page237"/>
    <w:bookmarkEnd w:id="236"/>
    <w:p>
      <w:pPr>
        <w:ind w:left="-40" w:right="140" w:firstLine="1505"/>
        <w:spacing w:after="0" w:line="236" w:lineRule="auto"/>
        <w:tabs>
          <w:tab w:leader="none" w:pos="1889"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Executive agrees that it would be difficult to measure any damages caused to the Company which might result from any breach by Executive of the Continuing Obligations, and that in any event monetary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1" w:lineRule="exact"/>
        <w:rPr>
          <w:rFonts w:ascii="Times New Roman" w:cs="Times New Roman" w:eastAsia="Times New Roman" w:hAnsi="Times New Roman"/>
          <w:sz w:val="22"/>
          <w:szCs w:val="22"/>
          <w:color w:val="auto"/>
        </w:rPr>
      </w:pPr>
    </w:p>
    <w:p>
      <w:pPr>
        <w:ind w:left="-40" w:right="40" w:firstLine="757"/>
        <w:spacing w:after="0" w:line="255" w:lineRule="auto"/>
        <w:tabs>
          <w:tab w:leader="none" w:pos="1141"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Jurisdiction</w:t>
      </w:r>
      <w:r>
        <w:rPr>
          <w:rFonts w:ascii="Times New Roman" w:cs="Times New Roman" w:eastAsia="Times New Roman" w:hAnsi="Times New Roman"/>
          <w:sz w:val="21"/>
          <w:szCs w:val="21"/>
          <w:color w:val="auto"/>
        </w:rPr>
        <w:t>. The parties hereby consent to the jurisdiction of the state and federal courts of Connecticut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61" w:lineRule="exact"/>
        <w:rPr>
          <w:rFonts w:ascii="Times New Roman" w:cs="Times New Roman" w:eastAsia="Times New Roman" w:hAnsi="Times New Roman"/>
          <w:sz w:val="21"/>
          <w:szCs w:val="21"/>
          <w:color w:val="auto"/>
        </w:rPr>
      </w:pPr>
    </w:p>
    <w:p>
      <w:pPr>
        <w:ind w:left="-40" w:firstLine="757"/>
        <w:spacing w:after="0" w:line="244" w:lineRule="auto"/>
        <w:tabs>
          <w:tab w:leader="none" w:pos="11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that the PIIA Agreement and the agreements governing any Equity Awards remain in full force and effect.</w:t>
      </w:r>
    </w:p>
    <w:p>
      <w:pPr>
        <w:spacing w:after="0" w:line="173" w:lineRule="exact"/>
        <w:rPr>
          <w:rFonts w:ascii="Times New Roman" w:cs="Times New Roman" w:eastAsia="Times New Roman" w:hAnsi="Times New Roman"/>
          <w:sz w:val="22"/>
          <w:szCs w:val="22"/>
          <w:color w:val="auto"/>
        </w:rPr>
      </w:pPr>
    </w:p>
    <w:p>
      <w:pPr>
        <w:ind w:left="-40" w:right="80" w:firstLine="757"/>
        <w:spacing w:after="0" w:line="239" w:lineRule="auto"/>
        <w:tabs>
          <w:tab w:leader="none" w:pos="11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w:t>
      </w:r>
    </w:p>
    <w:p>
      <w:pPr>
        <w:spacing w:after="0" w:line="180" w:lineRule="exact"/>
        <w:rPr>
          <w:rFonts w:ascii="Times New Roman" w:cs="Times New Roman" w:eastAsia="Times New Roman" w:hAnsi="Times New Roman"/>
          <w:sz w:val="22"/>
          <w:szCs w:val="22"/>
          <w:color w:val="auto"/>
        </w:rPr>
      </w:pPr>
    </w:p>
    <w:p>
      <w:pPr>
        <w:ind w:left="-40" w:right="40" w:firstLine="757"/>
        <w:spacing w:after="0" w:line="232" w:lineRule="auto"/>
        <w:tabs>
          <w:tab w:leader="none" w:pos="11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08" w:right="359" w:bottom="1440" w:gutter="0" w:footer="0" w:header="0"/>
        </w:sectPr>
      </w:pPr>
    </w:p>
    <w:bookmarkStart w:id="237" w:name="page238"/>
    <w:bookmarkEnd w:id="237"/>
    <w:p>
      <w:pPr>
        <w:ind w:right="40"/>
        <w:spacing w:after="0" w:line="239" w:lineRule="auto"/>
        <w:rPr>
          <w:sz w:val="20"/>
          <w:szCs w:val="20"/>
          <w:color w:val="auto"/>
        </w:rPr>
      </w:pPr>
      <w:r>
        <w:rPr>
          <w:rFonts w:ascii="Times New Roman" w:cs="Times New Roman" w:eastAsia="Times New Roman" w:hAnsi="Times New Roman"/>
          <w:sz w:val="22"/>
          <w:szCs w:val="22"/>
          <w:color w:val="auto"/>
        </w:rPr>
        <w:t>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0" w:lineRule="exact"/>
        <w:rPr>
          <w:sz w:val="20"/>
          <w:szCs w:val="20"/>
          <w:color w:val="auto"/>
        </w:rPr>
      </w:pPr>
    </w:p>
    <w:p>
      <w:pPr>
        <w:ind w:right="260" w:firstLine="757"/>
        <w:spacing w:after="0" w:line="238" w:lineRule="auto"/>
        <w:tabs>
          <w:tab w:leader="none" w:pos="1181"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22"/>
          <w:szCs w:val="22"/>
          <w:color w:val="auto"/>
        </w:rPr>
      </w:pPr>
    </w:p>
    <w:p>
      <w:pPr>
        <w:ind w:right="120" w:firstLine="757"/>
        <w:spacing w:after="0" w:line="239" w:lineRule="auto"/>
        <w:tabs>
          <w:tab w:leader="none" w:pos="1181"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Executive’s employment to the extent necessary to effectuate the terms contained herein, including but not limited to the Company’s obligation to make severance payments or provide indemnification and Executive’s obligations to comply with the Continuing Obligations.</w:t>
      </w:r>
    </w:p>
    <w:p>
      <w:pPr>
        <w:spacing w:after="0" w:line="180"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0" w:lineRule="exact"/>
        <w:rPr>
          <w:rFonts w:ascii="Times New Roman" w:cs="Times New Roman" w:eastAsia="Times New Roman" w:hAnsi="Times New Roman"/>
          <w:sz w:val="22"/>
          <w:szCs w:val="22"/>
          <w:color w:val="auto"/>
        </w:rPr>
      </w:pPr>
    </w:p>
    <w:p>
      <w:pPr>
        <w:ind w:firstLine="757"/>
        <w:spacing w:after="0" w:line="236" w:lineRule="auto"/>
        <w:tabs>
          <w:tab w:leader="none" w:pos="1181"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of the Chief Legal Officer or (iii) sent via email to Executive at Executive’s Company email address or, in the case of the Company, to the CEO’s or Chief Legal Officer’s Company email address.</w:t>
      </w:r>
    </w:p>
    <w:p>
      <w:pPr>
        <w:spacing w:after="0" w:line="181" w:lineRule="exact"/>
        <w:rPr>
          <w:rFonts w:ascii="Times New Roman" w:cs="Times New Roman" w:eastAsia="Times New Roman" w:hAnsi="Times New Roman"/>
          <w:sz w:val="22"/>
          <w:szCs w:val="22"/>
          <w:color w:val="auto"/>
        </w:rPr>
      </w:pPr>
    </w:p>
    <w:p>
      <w:pPr>
        <w:ind w:right="140" w:firstLine="757"/>
        <w:spacing w:after="0" w:line="258" w:lineRule="auto"/>
        <w:tabs>
          <w:tab w:leader="none" w:pos="1181"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Executive and by a duly authorized representative of the Company.</w:t>
      </w:r>
    </w:p>
    <w:p>
      <w:pPr>
        <w:spacing w:after="0" w:line="158" w:lineRule="exact"/>
        <w:rPr>
          <w:rFonts w:ascii="Times New Roman" w:cs="Times New Roman" w:eastAsia="Times New Roman" w:hAnsi="Times New Roman"/>
          <w:sz w:val="22"/>
          <w:szCs w:val="22"/>
          <w:color w:val="auto"/>
        </w:rPr>
      </w:pPr>
    </w:p>
    <w:p>
      <w:pPr>
        <w:ind w:firstLine="757"/>
        <w:spacing w:after="0" w:line="247" w:lineRule="auto"/>
        <w:tabs>
          <w:tab w:leader="none" w:pos="1181"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Company will (i) indemnify Executive with respect to claims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w:t>
      </w:r>
    </w:p>
    <w:p>
      <w:pPr>
        <w:spacing w:after="0" w:line="1" w:lineRule="exact"/>
        <w:rPr>
          <w:rFonts w:ascii="Times New Roman" w:cs="Times New Roman" w:eastAsia="Times New Roman" w:hAnsi="Times New Roman"/>
          <w:sz w:val="21"/>
          <w:szCs w:val="21"/>
          <w:color w:val="auto"/>
        </w:rPr>
      </w:pPr>
    </w:p>
    <w:p>
      <w:pPr>
        <w:jc w:val="both"/>
        <w:ind w:right="140" w:firstLine="8"/>
        <w:spacing w:after="0" w:line="234" w:lineRule="auto"/>
        <w:tabs>
          <w:tab w:leader="none" w:pos="31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the CEO and/or members of the Board, as applicable; provided that, this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8" w:name="page239"/>
    <w:bookmarkEnd w:id="238"/>
    <w:p>
      <w:pPr>
        <w:ind w:right="140"/>
        <w:spacing w:after="0" w:line="249" w:lineRule="auto"/>
        <w:rPr>
          <w:sz w:val="20"/>
          <w:szCs w:val="20"/>
          <w:color w:val="auto"/>
        </w:rPr>
      </w:pPr>
      <w:r>
        <w:rPr>
          <w:rFonts w:ascii="Times New Roman" w:cs="Times New Roman" w:eastAsia="Times New Roman" w:hAnsi="Times New Roman"/>
          <w:sz w:val="21"/>
          <w:szCs w:val="21"/>
          <w:color w:val="auto"/>
        </w:rPr>
        <w:t>Agreement constitutes an undertaking that amounts advanced under clause (ii) shall be promptly repaid to the Company by Executive if it shall ultimately be determined that Executive is not entitled to be indemnified 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spacing w:after="0" w:line="171" w:lineRule="exact"/>
        <w:rPr>
          <w:sz w:val="20"/>
          <w:szCs w:val="20"/>
          <w:color w:val="auto"/>
        </w:rPr>
      </w:pPr>
    </w:p>
    <w:p>
      <w:pPr>
        <w:ind w:right="260" w:firstLine="757"/>
        <w:spacing w:after="0" w:line="238" w:lineRule="auto"/>
        <w:tabs>
          <w:tab w:leader="none" w:pos="118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 Offset</w:t>
      </w:r>
      <w:r>
        <w:rPr>
          <w:rFonts w:ascii="Times New Roman" w:cs="Times New Roman" w:eastAsia="Times New Roman" w:hAnsi="Times New Roman"/>
          <w:sz w:val="22"/>
          <w:szCs w:val="22"/>
          <w:color w:val="auto"/>
        </w:rPr>
        <w:t>. In the event of any termination of employment and service hereunder,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76" w:lineRule="exact"/>
        <w:rPr>
          <w:rFonts w:ascii="Times New Roman" w:cs="Times New Roman" w:eastAsia="Times New Roman" w:hAnsi="Times New Roman"/>
          <w:sz w:val="22"/>
          <w:szCs w:val="22"/>
          <w:color w:val="auto"/>
        </w:rPr>
      </w:pPr>
    </w:p>
    <w:p>
      <w:pPr>
        <w:ind w:firstLine="757"/>
        <w:spacing w:after="0" w:line="234" w:lineRule="auto"/>
        <w:tabs>
          <w:tab w:leader="none" w:pos="118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hereof, and except that Executive shall have no rights to continue any severance benefits under any Company severance pay plan, offer letter or otherwise. Except for the PIIA Agreement, in the event that Executive is party 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 and 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60" w:firstLine="1505"/>
        <w:spacing w:after="0" w:line="238" w:lineRule="auto"/>
        <w:tabs>
          <w:tab w:leader="none" w:pos="1929"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governed by and construed in accordance with applicable federal laws and, to the extent not inconsistent therewith or preempted thereby, with the laws of Connecticut, including any applicable statutes of limitation, without regard to any otherwise applicable principles of conflicts of laws or choice of law rules (whether of the State of Connecticut or any other jurisdiction) that would result in the application of the substantive or procedural rules or law of any other jurisdiction.</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9" w:name="page240"/>
    <w:bookmarkEnd w:id="239"/>
    <w:p>
      <w:pPr>
        <w:ind w:left="-20" w:right="160" w:firstLine="1505"/>
        <w:spacing w:after="0" w:line="251" w:lineRule="auto"/>
        <w:tabs>
          <w:tab w:leader="none" w:pos="1909"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that any controversy or claim arising out of or relating to this Agreement or the alleged breach hereof shall be instituted in the United States District Court for the District of Connecticut, or if that court does not have or will not accept jurisdiction, in any court of general jurisdiction in the State of Connecticut,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68" w:lineRule="exact"/>
        <w:rPr>
          <w:rFonts w:ascii="Times New Roman" w:cs="Times New Roman" w:eastAsia="Times New Roman" w:hAnsi="Times New Roman"/>
          <w:sz w:val="21"/>
          <w:szCs w:val="21"/>
          <w:color w:val="auto"/>
        </w:rPr>
      </w:pPr>
    </w:p>
    <w:p>
      <w:pPr>
        <w:ind w:left="-20" w:firstLine="1505"/>
        <w:spacing w:after="0" w:line="238" w:lineRule="auto"/>
        <w:tabs>
          <w:tab w:leader="none" w:pos="1909"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award shall be payable to Executive no later than the end of Executive’s first taxable year in which the Company either concedes the amount (or portion of the amount) payable or is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76" w:lineRule="exact"/>
        <w:rPr>
          <w:rFonts w:ascii="Times New Roman" w:cs="Times New Roman" w:eastAsia="Times New Roman" w:hAnsi="Times New Roman"/>
          <w:sz w:val="22"/>
          <w:szCs w:val="22"/>
          <w:color w:val="auto"/>
        </w:rPr>
      </w:pPr>
    </w:p>
    <w:p>
      <w:pPr>
        <w:ind w:left="-20" w:right="100" w:firstLine="1505"/>
        <w:spacing w:after="0" w:line="233" w:lineRule="auto"/>
        <w:tabs>
          <w:tab w:leader="none" w:pos="1909"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Company determines in good faith that as of the date of Executive’s termination of employment and service, grounds for an involuntary termination for Cause had existed.</w:t>
      </w:r>
    </w:p>
    <w:p>
      <w:pPr>
        <w:spacing w:after="0" w:line="184" w:lineRule="exact"/>
        <w:rPr>
          <w:rFonts w:ascii="Times New Roman" w:cs="Times New Roman" w:eastAsia="Times New Roman" w:hAnsi="Times New Roman"/>
          <w:sz w:val="22"/>
          <w:szCs w:val="22"/>
          <w:color w:val="auto"/>
        </w:rPr>
      </w:pPr>
    </w:p>
    <w:p>
      <w:pPr>
        <w:ind w:left="-20" w:right="60" w:firstLine="757"/>
        <w:spacing w:after="0" w:line="233" w:lineRule="auto"/>
        <w:tabs>
          <w:tab w:leader="none" w:pos="116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Executive shall be required to repay incentive pay received throughout Executive’s employment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cs="Times New Roman" w:eastAsia="Times New Roman" w:hAnsi="Times New Roman"/>
          <w:sz w:val="22"/>
          <w:szCs w:val="22"/>
          <w:b w:val="1"/>
          <w:bCs w:val="1"/>
          <w:i w:val="1"/>
          <w:iCs w:val="1"/>
          <w:color w:val="auto"/>
        </w:rPr>
        <w:t>Recoupment Policy</w:t>
      </w:r>
      <w:r>
        <w:rPr>
          <w:rFonts w:ascii="Times New Roman" w:cs="Times New Roman" w:eastAsia="Times New Roman" w:hAnsi="Times New Roman"/>
          <w:sz w:val="22"/>
          <w:szCs w:val="22"/>
          <w:color w:val="auto"/>
        </w:rPr>
        <w:t>”). Where the result of a performance measure was a factor in determining the compensation awarded or paid, but (i) 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or recouped. If the Committee seeks to recover payment of incentive pay as a result of a restatement of the Company’s financial statements or otherwise under the Recoupment Policy, Executive shall pay to the Company, as applicable, (A) all or a portion (as determined by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240" w:name="page241"/>
    <w:bookmarkEnd w:id="240"/>
    <w:p>
      <w:pPr>
        <w:spacing w:after="0" w:line="239" w:lineRule="auto"/>
        <w:rPr>
          <w:sz w:val="20"/>
          <w:szCs w:val="20"/>
          <w:color w:val="auto"/>
        </w:rPr>
      </w:pPr>
      <w:r>
        <w:rPr>
          <w:rFonts w:ascii="Times New Roman" w:cs="Times New Roman" w:eastAsia="Times New Roman" w:hAnsi="Times New Roman"/>
          <w:sz w:val="22"/>
          <w:szCs w:val="22"/>
          <w:color w:val="auto"/>
        </w:rPr>
        <w:t>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80" w:lineRule="exact"/>
        <w:rPr>
          <w:sz w:val="20"/>
          <w:szCs w:val="20"/>
          <w:color w:val="auto"/>
        </w:rPr>
      </w:pPr>
    </w:p>
    <w:p>
      <w:pPr>
        <w:ind w:right="280" w:firstLine="757"/>
        <w:spacing w:after="0" w:line="282" w:lineRule="auto"/>
        <w:tabs>
          <w:tab w:leader="none" w:pos="1181"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when so executed and delivered shall be taken to be an original; but such counterparts shall together constitute one and the same document.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2061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Its:</w:t>
        <w:tab/>
        <w:t>Chairperson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-3810</wp:posOffset>
            </wp:positionV>
            <wp:extent cx="32061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TIMOTHY LEE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22"/>
          <w:szCs w:val="22"/>
          <w:color w:val="auto"/>
        </w:rPr>
        <w:t>[***]</w:t>
      </w:r>
    </w:p>
    <w:p>
      <w:pPr>
        <w:jc w:val="center"/>
        <w:ind w:left="4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Outside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SEPARATION AGREEMENT</w:t>
      </w:r>
      <w:r>
        <w:rPr>
          <w:rFonts w:ascii="Times New Roman" w:cs="Times New Roman" w:eastAsia="Times New Roman" w:hAnsi="Times New Roman"/>
          <w:sz w:val="28"/>
          <w:szCs w:val="28"/>
          <w:b w:val="1"/>
          <w:bCs w:val="1"/>
          <w:color w:val="auto"/>
          <w:vertAlign w:val="superscript"/>
        </w:rPr>
        <w:t>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[Name]:</w:t>
      </w:r>
    </w:p>
    <w:p>
      <w:pPr>
        <w:spacing w:after="0" w:line="206"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This letter sets forth the substance of the separation agreement (the “Agreement”) which Invivyd, Inc. (the “Company”) is offering to you to aid in your employment transition.</w:t>
      </w:r>
    </w:p>
    <w:p>
      <w:pPr>
        <w:spacing w:after="0" w:line="154" w:lineRule="exact"/>
        <w:rPr>
          <w:sz w:val="20"/>
          <w:szCs w:val="20"/>
          <w:color w:val="auto"/>
        </w:rPr>
      </w:pPr>
    </w:p>
    <w:p>
      <w:pPr>
        <w:ind w:firstLine="8"/>
        <w:spacing w:after="0" w:line="262" w:lineRule="auto"/>
        <w:tabs>
          <w:tab w:leader="none" w:pos="432"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Separation. </w:t>
      </w:r>
      <w:r>
        <w:rPr>
          <w:rFonts w:ascii="Times New Roman" w:cs="Times New Roman" w:eastAsia="Times New Roman" w:hAnsi="Times New Roman"/>
          <w:sz w:val="22"/>
          <w:szCs w:val="22"/>
          <w:color w:val="auto"/>
        </w:rPr>
        <w:t>Your last day of work with the Company and your employment termination date will be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432"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Salary. </w:t>
      </w:r>
      <w:r>
        <w:rPr>
          <w:rFonts w:ascii="Times New Roman" w:cs="Times New Roman" w:eastAsia="Times New Roman" w:hAnsi="Times New Roman"/>
          <w:sz w:val="22"/>
          <w:szCs w:val="22"/>
          <w:color w:val="auto"/>
        </w:rPr>
        <w:t>On the Separation Date, the Company will pay you all accrued salary earned through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standard payroll deductions and withholdings. You will receive these payments regardless of whether or not you sign this Agreement.</w:t>
      </w:r>
    </w:p>
    <w:p>
      <w:pPr>
        <w:spacing w:after="0" w:line="167" w:lineRule="exact"/>
        <w:rPr>
          <w:rFonts w:ascii="Times New Roman" w:cs="Times New Roman" w:eastAsia="Times New Roman" w:hAnsi="Times New Roman"/>
          <w:sz w:val="22"/>
          <w:szCs w:val="22"/>
          <w:b w:val="1"/>
          <w:bCs w:val="1"/>
          <w:color w:val="auto"/>
        </w:rPr>
      </w:pPr>
    </w:p>
    <w:p>
      <w:pPr>
        <w:ind w:right="20" w:firstLine="8"/>
        <w:spacing w:after="0" w:line="262" w:lineRule="auto"/>
        <w:tabs>
          <w:tab w:leader="none" w:pos="432"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Benefits. </w:t>
      </w:r>
      <w:r>
        <w:rPr>
          <w:rFonts w:ascii="Times New Roman" w:cs="Times New Roman" w:eastAsia="Times New Roman" w:hAnsi="Times New Roman"/>
          <w:sz w:val="22"/>
          <w:szCs w:val="22"/>
          <w:color w:val="auto"/>
        </w:rPr>
        <w:t>If you execute and do not revoke this Agreement, and comply with its terms,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you with the following Severance Benefits pursuant to the terms of your [month, date, year] Employment Agreement.</w:t>
      </w:r>
    </w:p>
    <w:p>
      <w:pPr>
        <w:spacing w:after="0" w:line="154"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77" w:lineRule="exact"/>
        <w:rPr>
          <w:sz w:val="20"/>
          <w:szCs w:val="20"/>
          <w:color w:val="auto"/>
        </w:rPr>
      </w:pPr>
    </w:p>
    <w:p>
      <w:pPr>
        <w:ind w:left="440" w:hanging="432"/>
        <w:spacing w:after="0"/>
        <w:tabs>
          <w:tab w:leader="none" w:pos="440" w:val="left"/>
        </w:tabs>
        <w:numPr>
          <w:ilvl w:val="0"/>
          <w:numId w:val="2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 Plans.</w:t>
      </w:r>
    </w:p>
    <w:p>
      <w:pPr>
        <w:spacing w:after="0" w:line="21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 xml:space="preserve">If you are currently participating in the Company’s group health insurance plans, your participation as an employee will end on [the Separation Date]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688465" cy="514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4">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31" w:lineRule="exact"/>
        <w:rPr>
          <w:sz w:val="20"/>
          <w:szCs w:val="20"/>
          <w:color w:val="auto"/>
        </w:rPr>
      </w:pPr>
    </w:p>
    <w:p>
      <w:pPr>
        <w:ind w:right="680" w:firstLine="457"/>
        <w:spacing w:after="0" w:line="223" w:lineRule="auto"/>
        <w:tabs>
          <w:tab w:leader="none" w:pos="554" w:val="left"/>
        </w:tabs>
        <w:numPr>
          <w:ilvl w:val="0"/>
          <w:numId w:val="2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 be revised by the Company to include provisions that are necessary based on the jurisdiction in which the employee works or resides or necessary updates to applicable law.</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color w:val="auto"/>
        </w:rPr>
        <w:t>you may be able to convert to an individual policy through the provider of the Company’s health insurance, if you wish.</w:t>
      </w:r>
    </w:p>
    <w:p>
      <w:pPr>
        <w:spacing w:after="0" w:line="206"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Deductions for the 401(k) Plan will end with your last regular paycheck. You will receive information by mail concerning 401(k) plan rollover procedures should you be a participant in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be eligible for unemployment insurance benefits after the Separation Date.</w:t>
      </w:r>
    </w:p>
    <w:p>
      <w:pPr>
        <w:spacing w:after="0" w:line="202" w:lineRule="exact"/>
        <w:rPr>
          <w:sz w:val="20"/>
          <w:szCs w:val="20"/>
          <w:color w:val="auto"/>
        </w:rPr>
      </w:pPr>
    </w:p>
    <w:p>
      <w:pPr>
        <w:jc w:val="both"/>
        <w:ind w:firstLine="8"/>
        <w:spacing w:after="0" w:line="241" w:lineRule="auto"/>
        <w:tabs>
          <w:tab w:leader="none" w:pos="432"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 Options. </w:t>
      </w:r>
      <w:r>
        <w:rPr>
          <w:rFonts w:ascii="Times New Roman" w:cs="Times New Roman" w:eastAsia="Times New Roman" w:hAnsi="Times New Roman"/>
          <w:sz w:val="22"/>
          <w:szCs w:val="22"/>
          <w:color w:val="auto"/>
        </w:rPr>
        <w:t>You were granted options to purchase shares of the Company’s common stock, pursuant to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2021 Equity Incentive Plan (the “Plan”). Under the terms of the Plan and your stock option grant, vesting will cease as of the Separation Date, all of your then vested options will remain outstanding for ninety (90) days after the date of such termination and all of your then unvested options will terminate and be forfeited as of the date of such termination.</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432"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Compensation or Benefits. </w:t>
      </w:r>
      <w:r>
        <w:rPr>
          <w:rFonts w:ascii="Times New Roman" w:cs="Times New Roman" w:eastAsia="Times New Roman" w:hAnsi="Times New Roman"/>
          <w:sz w:val="22"/>
          <w:szCs w:val="22"/>
          <w:color w:val="auto"/>
        </w:rPr>
        <w:t>You acknowledge that, except as expressly provided in this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432"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w:t>
      </w:r>
      <w:r>
        <w:rPr>
          <w:rFonts w:ascii="Times New Roman" w:cs="Times New Roman" w:eastAsia="Times New Roman" w:hAnsi="Times New Roman"/>
          <w:sz w:val="22"/>
          <w:szCs w:val="22"/>
          <w:color w:val="auto"/>
        </w:rPr>
        <w:t>You agree that, within ten (10) days of the Separation Date, you will submit your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432"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By the Separation Date, you agree to return to the Company all Company documents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If you are subject to a Company-issued litigation hold and information preservation obligation, and any such information (e.g., telephone text messages) cannot be returned to the Company at this time, you must abide by those legal obligations and not destroy, discard, alter or erase any such information. Please coordinate return of Company property with [name/title]. </w:t>
      </w:r>
      <w:r>
        <w:rPr>
          <w:rFonts w:ascii="Times New Roman" w:cs="Times New Roman" w:eastAsia="Times New Roman" w:hAnsi="Times New Roman"/>
          <w:sz w:val="22"/>
          <w:szCs w:val="22"/>
          <w:b w:val="1"/>
          <w:bCs w:val="1"/>
          <w:color w:val="auto"/>
        </w:rPr>
        <w:t>Receipt of the severance benefits described in Section 3 of this Agreement is expressly conditioned upon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return of all Company Property.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4" w:name="page245"/>
    <w:bookmarkEnd w:id="244"/>
    <w:p>
      <w:pPr>
        <w:jc w:val="both"/>
        <w:ind w:firstLine="8"/>
        <w:spacing w:after="0" w:line="233" w:lineRule="auto"/>
        <w:tabs>
          <w:tab w:leader="none" w:pos="432"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 Information; Reaffirmation of Post-Termination Obligations. </w:t>
      </w:r>
      <w:r>
        <w:rPr>
          <w:rFonts w:ascii="Times New Roman" w:cs="Times New Roman" w:eastAsia="Times New Roman" w:hAnsi="Times New Roman"/>
          <w:sz w:val="22"/>
          <w:szCs w:val="22"/>
          <w:color w:val="auto"/>
        </w:rPr>
        <w:t>Both during and after your employment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your continuing obligations under your Employee Proprietary Information and Inventions Assignment Agreement that you entered into as part of your employment (“Restrictive Covenants Agreement”) not to use or disclose any confidential or proprietary information of the Company and to refrain from certain solicitation and competition activities. By signing this Agreement, except as modified herein, you hereby reaffirm your continuing obligations under the Restrictive Covenants Agreement to the Company, which may include, but are not limited to, non-competition and non-solicitation provisions. If you have any doubts as to the scope of the restrictions in your Restrictive Covenants Agreement, you should contact Jill Andersen, Chief Legal Officer immediately to assess your compliance. As you know, the Company will enforce its contract rights. Please familiarize yourself with the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77"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432"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Non-Compete. </w:t>
      </w:r>
      <w:r>
        <w:rPr>
          <w:rFonts w:ascii="Times New Roman" w:cs="Times New Roman" w:eastAsia="Times New Roman" w:hAnsi="Times New Roman"/>
          <w:sz w:val="22"/>
          <w:szCs w:val="22"/>
          <w:color w:val="auto"/>
        </w:rPr>
        <w:t>In exchange for the payments and other consideration under this Agreement, to which you would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83"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208" w:val="left"/>
        </w:tabs>
        <w:numPr>
          <w:ilvl w:val="1"/>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181" w:val="left"/>
        </w:tabs>
        <w:numPr>
          <w:ilvl w:val="1"/>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5" w:name="page246"/>
    <w:bookmarkEnd w:id="245"/>
    <w:p>
      <w:pPr>
        <w:jc w:val="both"/>
        <w:ind w:firstLine="8"/>
        <w:spacing w:after="0" w:line="243" w:lineRule="auto"/>
        <w:tabs>
          <w:tab w:leader="none" w:pos="432"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provisions of this Agreement will be held in strictest confidence by you and will not be publicized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to your immediate family;</w:t>
      </w:r>
    </w:p>
    <w:p>
      <w:pPr>
        <w:spacing w:after="0" w:line="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(b) you may disclose this Agreement in confidence to your attorney, accountant, auditor, tax preparer, and financial advisor; and</w:t>
      </w:r>
    </w:p>
    <w:p>
      <w:pPr>
        <w:spacing w:after="0" w:line="1" w:lineRule="exact"/>
        <w:rPr>
          <w:rFonts w:ascii="Times New Roman" w:cs="Times New Roman" w:eastAsia="Times New Roman" w:hAnsi="Times New Roman"/>
          <w:sz w:val="22"/>
          <w:szCs w:val="22"/>
          <w:b w:val="1"/>
          <w:bCs w:val="1"/>
          <w:color w:val="auto"/>
        </w:rPr>
      </w:pPr>
    </w:p>
    <w:p>
      <w:pPr>
        <w:jc w:val="both"/>
        <w:spacing w:after="0" w:line="23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432"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You agree not to disparage the Company, and the Company’s attorneys, directors, managers,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about or relating to the Company, including, but not limited to, comments in online forums or on websites (including, but not limited to, Facebook, Glassdoor, Yelp, and LinkedIn), if applicable.</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432"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after Termination. </w:t>
      </w:r>
      <w:r>
        <w:rPr>
          <w:rFonts w:ascii="Times New Roman" w:cs="Times New Roman" w:eastAsia="Times New Roman" w:hAnsi="Times New Roman"/>
          <w:sz w:val="22"/>
          <w:szCs w:val="22"/>
          <w:color w:val="auto"/>
        </w:rPr>
        <w:t>You agree to cooperate fully with the Company in all matters relating to the transition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33" w:lineRule="auto"/>
        <w:tabs>
          <w:tab w:leader="none" w:pos="432"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w:t>
      </w:r>
      <w:r>
        <w:rPr>
          <w:rFonts w:ascii="Times New Roman" w:cs="Times New Roman" w:eastAsia="Times New Roman" w:hAnsi="Times New Roman"/>
          <w:sz w:val="22"/>
          <w:szCs w:val="22"/>
          <w:color w:val="auto"/>
        </w:rPr>
        <w:t>In exchange for the payments and other consideration under this Agreement, to which you would not otherwise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2"/>
          <w:szCs w:val="22"/>
          <w:color w:val="auto"/>
        </w:rPr>
        <w:t>collectively “Claims”). The Claims you are releasing and waiving in this Agreement include, but are not limited to, any and 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Claims that any of the Company Parties:</w:t>
      </w:r>
    </w:p>
    <w:p>
      <w:pPr>
        <w:spacing w:after="0" w:line="182" w:lineRule="exact"/>
        <w:rPr>
          <w:sz w:val="20"/>
          <w:szCs w:val="20"/>
          <w:color w:val="auto"/>
        </w:rPr>
      </w:pPr>
    </w:p>
    <w:p>
      <w:pPr>
        <w:ind w:left="1500" w:hanging="743"/>
        <w:spacing w:after="0" w:line="258" w:lineRule="auto"/>
        <w:tabs>
          <w:tab w:leader="none" w:pos="15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its personnel policies, handbooks, contracts of employment, or covenants of good faith and fair dealing;</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32" w:lineRule="auto"/>
        <w:tabs>
          <w:tab w:leader="none" w:pos="15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Connecticut Whistleblower Law, the Connecticut Fair Employment Practices Act; all as amended, and any and all other federal, state or local laws, rules, regulations, constitutions, ordinances or public policies, whether known or unknown, prohibiting employment discrimination;</w:t>
      </w:r>
    </w:p>
    <w:p>
      <w:pPr>
        <w:spacing w:after="0" w:line="191" w:lineRule="exact"/>
        <w:rPr>
          <w:rFonts w:ascii="Times New Roman" w:cs="Times New Roman" w:eastAsia="Times New Roman" w:hAnsi="Times New Roman"/>
          <w:sz w:val="22"/>
          <w:szCs w:val="22"/>
          <w:color w:val="auto"/>
        </w:rPr>
      </w:pPr>
    </w:p>
    <w:p>
      <w:pPr>
        <w:jc w:val="both"/>
        <w:ind w:left="1500" w:hanging="743"/>
        <w:spacing w:after="0" w:line="233" w:lineRule="auto"/>
        <w:tabs>
          <w:tab w:leader="none" w:pos="15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Connecticut Family and Medical Leave Act, the Connecticut Free Speech Law, the Connecticut minimum wage and wage payment laws, all as amended, and any and all other federal, state or local laws, rules, regulations, constitutions, ordinances or public policies, whether known or unknown relating to employment laws, such as veterans’ reemployment rights laws;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7" w:name="page248"/>
    <w:bookmarkEnd w:id="247"/>
    <w:p>
      <w:pPr>
        <w:spacing w:after="0" w:line="185" w:lineRule="exact"/>
        <w:rPr>
          <w:sz w:val="20"/>
          <w:szCs w:val="20"/>
          <w:color w:val="auto"/>
        </w:rPr>
      </w:pPr>
    </w:p>
    <w:p>
      <w:pPr>
        <w:jc w:val="both"/>
        <w:ind w:left="1500" w:hanging="743"/>
        <w:spacing w:after="0" w:line="234" w:lineRule="auto"/>
        <w:tabs>
          <w:tab w:leader="none" w:pos="150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81" w:lineRule="exact"/>
        <w:rPr>
          <w:sz w:val="20"/>
          <w:szCs w:val="20"/>
          <w:color w:val="auto"/>
        </w:rPr>
      </w:pPr>
    </w:p>
    <w:p>
      <w:pPr>
        <w:jc w:val="both"/>
        <w:ind w:firstLine="8"/>
        <w:spacing w:after="0" w:line="250" w:lineRule="auto"/>
        <w:tabs>
          <w:tab w:leader="none" w:pos="432" w:val="left"/>
        </w:tabs>
        <w:numPr>
          <w:ilvl w:val="0"/>
          <w:numId w:val="2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Your Acknowledgments and Affirmations/ Effective Date of Agreement. </w:t>
      </w:r>
      <w:r>
        <w:rPr>
          <w:rFonts w:ascii="Times New Roman" w:cs="Times New Roman" w:eastAsia="Times New Roman" w:hAnsi="Times New Roman"/>
          <w:sz w:val="21"/>
          <w:szCs w:val="21"/>
          <w:color w:val="auto"/>
        </w:rPr>
        <w:t>You acknowledge that you are knowingly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jc w:val="both"/>
        <w:spacing w:after="0" w:line="232" w:lineRule="auto"/>
        <w:rPr>
          <w:sz w:val="20"/>
          <w:szCs w:val="20"/>
          <w:color w:val="auto"/>
        </w:rPr>
      </w:pPr>
      <w:r>
        <w:rPr>
          <w:rFonts w:ascii="Times New Roman" w:cs="Times New Roman" w:eastAsia="Times New Roman" w:hAnsi="Times New Roman"/>
          <w:sz w:val="22"/>
          <w:szCs w:val="22"/>
          <w:color w:val="auto"/>
        </w:rPr>
        <w:t>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(21)/forty-five (45)</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days to consider this Agreement (although you may choose to voluntarily execute this Agreement earlier and if you do you will sign the Consideration Period waiver below); (d) you have seven (7) business days following your execution of this Agreement to revoke this Agreement by providing written notice of your decision to revoke the Agreement to the Company, Attention: [Jill Andersen, Chief Legal Officer, 1601 Trapelo Road, Suite 178, Waltham, MA 02451],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 day after this Agreement is executed by you[ and (f) you acknowledge that with your receipt of this Agreement, you also received an “Age Discrimination in Employment Act Disclosure,” attached as Exhibit A]</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w:t>
      </w:r>
    </w:p>
    <w:p>
      <w:pPr>
        <w:spacing w:after="0" w:line="78" w:lineRule="exact"/>
        <w:rPr>
          <w:sz w:val="20"/>
          <w:szCs w:val="20"/>
          <w:color w:val="auto"/>
        </w:rPr>
      </w:pPr>
    </w:p>
    <w:p>
      <w:pPr>
        <w:jc w:val="both"/>
        <w:ind w:firstLine="8"/>
        <w:spacing w:after="0" w:line="246" w:lineRule="auto"/>
        <w:tabs>
          <w:tab w:leader="none" w:pos="432"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This Agreement does not constitute an admission by the Company of any wrongful action or violation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federal, state, or local statute, or common law rights, including those relating to the provisions of any law or statute concerning employment actions, or of any other possible or claimed violation of law or rights.</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432"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Breach. </w:t>
      </w:r>
      <w:r>
        <w:rPr>
          <w:rFonts w:ascii="Times New Roman" w:cs="Times New Roman" w:eastAsia="Times New Roman" w:hAnsi="Times New Roman"/>
          <w:sz w:val="22"/>
          <w:szCs w:val="22"/>
          <w:color w:val="auto"/>
        </w:rPr>
        <w:t>You agree that upon any breach of this Agreement you will forfeit all amounts paid or owing to you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1688465" cy="508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87" w:lineRule="exact"/>
        <w:rPr>
          <w:sz w:val="20"/>
          <w:szCs w:val="20"/>
          <w:color w:val="auto"/>
        </w:rPr>
      </w:pPr>
    </w:p>
    <w:p>
      <w:pPr>
        <w:ind w:left="560" w:hanging="103"/>
        <w:spacing w:after="0"/>
        <w:tabs>
          <w:tab w:leader="none" w:pos="560" w:val="left"/>
        </w:tabs>
        <w:numPr>
          <w:ilvl w:val="0"/>
          <w:numId w:val="2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Applicable only in event of group layoff.</w:t>
      </w:r>
    </w:p>
    <w:p>
      <w:pPr>
        <w:spacing w:after="0" w:line="62" w:lineRule="exact"/>
        <w:rPr>
          <w:sz w:val="20"/>
          <w:szCs w:val="20"/>
          <w:color w:val="auto"/>
        </w:rPr>
      </w:pPr>
    </w:p>
    <w:p>
      <w:pPr>
        <w:ind w:left="560" w:hanging="103"/>
        <w:spacing w:after="0"/>
        <w:tabs>
          <w:tab w:leader="none" w:pos="560" w:val="left"/>
        </w:tabs>
        <w:numPr>
          <w:ilvl w:val="0"/>
          <w:numId w:val="2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Applicable only in event of group layoff.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9" w:name="page250"/>
    <w:bookmarkEnd w:id="249"/>
    <w:p>
      <w:pPr>
        <w:jc w:val="both"/>
        <w:ind w:firstLine="8"/>
        <w:spacing w:after="0" w:line="244" w:lineRule="auto"/>
        <w:tabs>
          <w:tab w:leader="none" w:pos="432" w:val="left"/>
        </w:tabs>
        <w:numPr>
          <w:ilvl w:val="0"/>
          <w:numId w:val="2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Miscellaneous. </w:t>
      </w:r>
      <w:r>
        <w:rPr>
          <w:rFonts w:ascii="Times New Roman" w:cs="Times New Roman" w:eastAsia="Times New Roman" w:hAnsi="Times New Roman"/>
          <w:sz w:val="21"/>
          <w:szCs w:val="21"/>
          <w:color w:val="auto"/>
        </w:rPr>
        <w:t>Except as set forth herein, this Agreement, including any exhibits, constitutes the complete, final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w:t>
      </w:r>
    </w:p>
    <w:p>
      <w:pPr>
        <w:spacing w:after="0" w:line="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accordance with the laws of the State of [ ] as applied to contracts made and to be performed entirely within [ ]. To the fullest extent allowable by law, any dispute concerning this Agreement shall be resolved in the United States District Court with jurisdiction over Waltham, Massachusetts, and you and the Company hereby consent to the personal and exclusive jurisdiction of such court and hereby waive any objection(s) that any such party may have to personal jurisdiction, the laying of venue of any such proceedings and any claim or defense of inconvenient forum.</w:t>
      </w:r>
    </w:p>
    <w:p>
      <w:pPr>
        <w:spacing w:after="0" w:line="179"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wish you good luck in your future endeavors.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Invivyd,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Julie Green</w:t>
      </w:r>
    </w:p>
    <w:p>
      <w:pPr>
        <w:spacing w:after="0" w:line="200" w:lineRule="exact"/>
        <w:rPr>
          <w:sz w:val="20"/>
          <w:szCs w:val="20"/>
          <w:color w:val="auto"/>
        </w:rPr>
      </w:pP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Timothy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0" w:name="page251"/>
    <w:bookmarkEnd w:id="250"/>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CONSIDERATION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____________________, understand that I have the right to take at least [21][45] days to consider whether to sign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which I received on ___________ __, 20__. If I elect to sign this Agreement before [21][45] days have passed, I</w:t>
      </w:r>
    </w:p>
    <w:p>
      <w:pPr>
        <w:spacing w:after="0" w:line="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understand I am to sign and date below this paragraph to confirm that I knowingly and voluntarily agree to waive the 21-day consideration period.</w:t>
      </w: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5661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566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04" w:right="739" w:bottom="1440" w:gutter="0" w:footer="0" w:header="0"/>
        </w:sectPr>
      </w:pPr>
    </w:p>
    <w:bookmarkStart w:id="251" w:name="page252"/>
    <w:bookmarkEnd w:id="251"/>
    <w:p>
      <w:pPr>
        <w:ind w:left="3940"/>
        <w:spacing w:after="0"/>
        <w:rPr>
          <w:sz w:val="20"/>
          <w:szCs w:val="20"/>
          <w:color w:val="auto"/>
        </w:rPr>
      </w:pPr>
      <w:r>
        <w:rPr>
          <w:rFonts w:ascii="Times New Roman" w:cs="Times New Roman" w:eastAsia="Times New Roman" w:hAnsi="Times New Roman"/>
          <w:sz w:val="21"/>
          <w:szCs w:val="21"/>
          <w:b w:val="1"/>
          <w:bCs w:val="1"/>
          <w:color w:val="auto"/>
        </w:rPr>
        <w:t>Appendix C</w:t>
      </w:r>
    </w:p>
    <w:p>
      <w:pPr>
        <w:spacing w:after="0" w:line="2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PIIA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52" w:name="page253"/>
    <w:bookmarkEnd w:id="252"/>
    <w:p>
      <w:pPr>
        <w:jc w:val="right"/>
        <w:spacing w:after="0"/>
        <w:rPr>
          <w:sz w:val="20"/>
          <w:szCs w:val="20"/>
          <w:color w:val="auto"/>
        </w:rPr>
      </w:pPr>
      <w:r>
        <w:rPr>
          <w:rFonts w:ascii="Calibri" w:cs="Calibri" w:eastAsia="Calibri" w:hAnsi="Calibri"/>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114935</wp:posOffset>
            </wp:positionV>
            <wp:extent cx="1337310" cy="1968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8">
                      <a:extLst>
                        <a:ext uri="{28A0092B-C50C-407E-A947-70E740481C1C}"/>
                      </a:extLst>
                    </a:blip>
                    <a:srcRect/>
                    <a:stretch>
                      <a:fillRect/>
                    </a:stretch>
                  </pic:blipFill>
                  <pic:spPr bwMode="auto">
                    <a:xfrm>
                      <a:off x="0" y="0"/>
                      <a:ext cx="1337310" cy="19685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INSIDER TRADING PREVENTION POLICY</w:t>
      </w:r>
    </w:p>
    <w:p>
      <w:pPr>
        <w:spacing w:after="0" w:line="97"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1.0</w:t>
      </w:r>
      <w:r>
        <w:rPr>
          <w:sz w:val="20"/>
          <w:szCs w:val="20"/>
          <w:color w:val="auto"/>
        </w:rPr>
        <w:tab/>
      </w:r>
      <w:r>
        <w:rPr>
          <w:rFonts w:ascii="Calibri" w:cs="Calibri" w:eastAsia="Calibri" w:hAnsi="Calibri"/>
          <w:sz w:val="20"/>
          <w:szCs w:val="20"/>
          <w:b w:val="1"/>
          <w:bCs w:val="1"/>
          <w:color w:val="auto"/>
        </w:rPr>
        <w:t>POLICY</w:t>
      </w:r>
    </w:p>
    <w:p>
      <w:pPr>
        <w:spacing w:after="0" w:line="61" w:lineRule="exact"/>
        <w:rPr>
          <w:sz w:val="20"/>
          <w:szCs w:val="20"/>
          <w:color w:val="auto"/>
        </w:rPr>
      </w:pPr>
    </w:p>
    <w:p>
      <w:pPr>
        <w:ind w:left="680" w:right="40"/>
        <w:spacing w:after="0" w:line="238" w:lineRule="auto"/>
        <w:rPr>
          <w:sz w:val="20"/>
          <w:szCs w:val="20"/>
          <w:color w:val="auto"/>
        </w:rPr>
      </w:pPr>
      <w:r>
        <w:rPr>
          <w:rFonts w:ascii="Calibri" w:cs="Calibri" w:eastAsia="Calibri" w:hAnsi="Calibri"/>
          <w:sz w:val="20"/>
          <w:szCs w:val="20"/>
          <w:color w:val="auto"/>
        </w:rPr>
        <w:t>It is the policy of Invivyd, Inc. and its subsidiaries (“</w:t>
      </w:r>
      <w:r>
        <w:rPr>
          <w:rFonts w:ascii="Calibri" w:cs="Calibri" w:eastAsia="Calibri" w:hAnsi="Calibri"/>
          <w:sz w:val="20"/>
          <w:szCs w:val="20"/>
          <w:b w:val="1"/>
          <w:bCs w:val="1"/>
          <w:i w:val="1"/>
          <w:iCs w:val="1"/>
          <w:color w:val="auto"/>
        </w:rPr>
        <w:t>Invivyd</w:t>
      </w:r>
      <w:r>
        <w:rPr>
          <w:rFonts w:ascii="Calibri" w:cs="Calibri" w:eastAsia="Calibri" w:hAnsi="Calibri"/>
          <w:sz w:val="20"/>
          <w:szCs w:val="20"/>
          <w:color w:val="auto"/>
        </w:rPr>
        <w:t>”) to prohibit insider trading, i.e., the purchase or sale of a company’s securites by anyone who is aware of Material Non-Public Informaton (as defned below) about that company. Taking advantage of this privileged informaton is considered a breach of the individual’s fduciary duty to Invivyd, and accordingly Invivyd adopts this Insider Trading Preventon Policy (this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 to provide guidance to Invivyd employees, ofcers, directors, and contractors and consultants who are advised that they are subject to this policy (“</w:t>
      </w:r>
      <w:r>
        <w:rPr>
          <w:rFonts w:ascii="Calibri" w:cs="Calibri" w:eastAsia="Calibri" w:hAnsi="Calibri"/>
          <w:sz w:val="20"/>
          <w:szCs w:val="20"/>
          <w:b w:val="1"/>
          <w:bCs w:val="1"/>
          <w:i w:val="1"/>
          <w:iCs w:val="1"/>
          <w:color w:val="auto"/>
        </w:rPr>
        <w:t>Invivyd Representatves</w:t>
      </w:r>
      <w:r>
        <w:rPr>
          <w:rFonts w:ascii="Calibri" w:cs="Calibri" w:eastAsia="Calibri" w:hAnsi="Calibri"/>
          <w:sz w:val="20"/>
          <w:szCs w:val="20"/>
          <w:color w:val="auto"/>
        </w:rPr>
        <w:t>”) regarding transactons in both Invivyd securites and the securites of publicly traded companies with whom Invivyd has a business relatonship. Federal and state securites laws prohibit the purchase or sale of a company’s securites by anyone who is aware of Material Non-Public Informaton about that company. These laws also prohibit anyone who is aware of Material Non-Public Informaton from disclosing this informaton to others who may trade. Companies may also be subject to liability if they fail to take reasonable steps to prevent insider trading by their personnel.</w:t>
      </w:r>
    </w:p>
    <w:p>
      <w:pPr>
        <w:spacing w:after="0" w:line="252" w:lineRule="exact"/>
        <w:rPr>
          <w:sz w:val="20"/>
          <w:szCs w:val="20"/>
          <w:color w:val="auto"/>
        </w:rPr>
      </w:pPr>
    </w:p>
    <w:p>
      <w:pPr>
        <w:ind w:left="680" w:right="20"/>
        <w:spacing w:after="0" w:line="237" w:lineRule="auto"/>
        <w:rPr>
          <w:sz w:val="20"/>
          <w:szCs w:val="20"/>
          <w:color w:val="auto"/>
        </w:rPr>
      </w:pPr>
      <w:r>
        <w:rPr>
          <w:rFonts w:ascii="Calibri" w:cs="Calibri" w:eastAsia="Calibri" w:hAnsi="Calibri"/>
          <w:sz w:val="20"/>
          <w:szCs w:val="20"/>
          <w:color w:val="auto"/>
        </w:rPr>
        <w:t>This Policy is designed to prevent insider trading by Invivyd Representatves or even the allegatons of insider trading, and to assist Invivyd Representatves in complying with their obligatons under federal and state securites laws. Your strict adherence to this Policy can help safeguard Invivyd’s reputaton and further ensure that Invivyd conducts its business with the highest level of integrity and in accordance with the highest ethical standards. Each Invivyd Representatve is responsible for the consequences of his or her actons, and for understanding and complying with this Policy. Any violaton of this Policy can result in disciplinary acton up to and including terminaton of employment or other working relatonship with Invivyd.</w:t>
      </w:r>
    </w:p>
    <w:p>
      <w:pPr>
        <w:spacing w:after="0" w:line="100"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2.0</w:t>
      </w:r>
      <w:r>
        <w:rPr>
          <w:sz w:val="20"/>
          <w:szCs w:val="20"/>
          <w:color w:val="auto"/>
        </w:rPr>
        <w:tab/>
      </w:r>
      <w:r>
        <w:rPr>
          <w:rFonts w:ascii="Calibri" w:cs="Calibri" w:eastAsia="Calibri" w:hAnsi="Calibri"/>
          <w:sz w:val="20"/>
          <w:szCs w:val="20"/>
          <w:b w:val="1"/>
          <w:bCs w:val="1"/>
          <w:color w:val="auto"/>
        </w:rPr>
        <w:t>SCOPE</w:t>
      </w:r>
    </w:p>
    <w:p>
      <w:pPr>
        <w:spacing w:after="0" w:line="61" w:lineRule="exact"/>
        <w:rPr>
          <w:sz w:val="20"/>
          <w:szCs w:val="20"/>
          <w:color w:val="auto"/>
        </w:rPr>
      </w:pPr>
    </w:p>
    <w:p>
      <w:pPr>
        <w:ind w:left="680"/>
        <w:spacing w:after="0"/>
        <w:rPr>
          <w:sz w:val="20"/>
          <w:szCs w:val="20"/>
          <w:color w:val="auto"/>
        </w:rPr>
      </w:pPr>
      <w:r>
        <w:rPr>
          <w:rFonts w:ascii="Calibri" w:cs="Calibri" w:eastAsia="Calibri" w:hAnsi="Calibri"/>
          <w:sz w:val="20"/>
          <w:szCs w:val="20"/>
          <w:color w:val="auto"/>
        </w:rPr>
        <w:t>This Policy applies to all Invivyd Representatves and to their Family Members (defned as members of their immediate families who reside with them or anyone else who lives in their household or who live elsewhere but whose transactons in Invivyd securites are directed by such Invivyd Representatves or subject to their infuence and/or control (including, e.g., parents or children who consult with you before they trade in Invivyd securites)) and controlled enttes (defned as any corporaton, limited liability company, partnership, trust, or any venture or other investment fund, if you infuence, direct or control transactons by such entty). However, this Policy does not apply to any entty that invests in securites in the ordinary course of its business (e.g., a venture or other investment fund) if (and only if) such entty has certfed to Invivyd that it has established its own insider trading controls and procedures in compliance with applicable securites laws (an “</w:t>
      </w:r>
      <w:r>
        <w:rPr>
          <w:rFonts w:ascii="Calibri" w:cs="Calibri" w:eastAsia="Calibri" w:hAnsi="Calibri"/>
          <w:sz w:val="20"/>
          <w:szCs w:val="20"/>
          <w:b w:val="1"/>
          <w:bCs w:val="1"/>
          <w:i w:val="1"/>
          <w:iCs w:val="1"/>
          <w:color w:val="auto"/>
        </w:rPr>
        <w:t>Excluded Entty</w:t>
      </w:r>
      <w:r>
        <w:rPr>
          <w:rFonts w:ascii="Calibri" w:cs="Calibri" w:eastAsia="Calibri" w:hAnsi="Calibri"/>
          <w:sz w:val="20"/>
          <w:szCs w:val="20"/>
          <w:color w:val="auto"/>
        </w:rPr>
        <w:t>”), and this Policy shall not prohibit disclosure by a director to an Excluded Entty of informaton learned during the course of his or her 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53" w:name="page254"/>
    <w:bookmarkEnd w:id="253"/>
    <w:p>
      <w:pPr>
        <w:ind w:left="680" w:right="160"/>
        <w:spacing w:after="0" w:line="236" w:lineRule="auto"/>
        <w:rPr>
          <w:sz w:val="20"/>
          <w:szCs w:val="20"/>
          <w:color w:val="auto"/>
        </w:rPr>
      </w:pPr>
      <w:r>
        <w:rPr>
          <w:rFonts w:ascii="Calibri" w:cs="Calibri" w:eastAsia="Calibri" w:hAnsi="Calibri"/>
          <w:sz w:val="20"/>
          <w:szCs w:val="20"/>
          <w:color w:val="auto"/>
        </w:rPr>
        <w:t>This Policy also applies to all transactons in Invivyd securites, including common stock, restricted stock, restricted stock units, optons and warrants to purchase common stock and any other debt or equity securites Invivyd may issue from tme to tme, such as bonds, preferred stock and convertble debentures, as well as to derivatve securites relatng to Invivyd’s securites, whether or not issued by Invivyd, such as exchange-traded optons.</w:t>
      </w:r>
    </w:p>
    <w:p>
      <w:pPr>
        <w:spacing w:after="0" w:line="100"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3.0</w:t>
      </w:r>
      <w:r>
        <w:rPr>
          <w:sz w:val="20"/>
          <w:szCs w:val="20"/>
          <w:color w:val="auto"/>
        </w:rPr>
        <w:tab/>
      </w:r>
      <w:r>
        <w:rPr>
          <w:rFonts w:ascii="Calibri" w:cs="Calibri" w:eastAsia="Calibri" w:hAnsi="Calibri"/>
          <w:sz w:val="20"/>
          <w:szCs w:val="20"/>
          <w:b w:val="1"/>
          <w:bCs w:val="1"/>
          <w:color w:val="auto"/>
        </w:rPr>
        <w:t>DEFINITION, EXAMPLES, AND CONFIDENTIALITY OF MATERIAL NON-PUBLIC INFORMATION</w:t>
      </w:r>
    </w:p>
    <w:p>
      <w:pPr>
        <w:spacing w:after="0" w:line="61" w:lineRule="exact"/>
        <w:rPr>
          <w:sz w:val="20"/>
          <w:szCs w:val="20"/>
          <w:color w:val="auto"/>
        </w:rPr>
      </w:pPr>
    </w:p>
    <w:p>
      <w:pPr>
        <w:ind w:left="68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Material Non-Public Informaton</w:t>
      </w:r>
      <w:r>
        <w:rPr>
          <w:rFonts w:ascii="Calibri" w:cs="Calibri" w:eastAsia="Calibri" w:hAnsi="Calibri"/>
          <w:sz w:val="20"/>
          <w:szCs w:val="20"/>
          <w:color w:val="auto"/>
        </w:rPr>
        <w:t>” is any material informaton about Invivyd that has not been previously disclosed to the general public through a press release or securites flings and is otherwise not available to the general public. Informaton may stll be non-public even though it is widely known within Invivyd. Informaton can be deemed “material” if a reasonable investor would likely consider it important in making a decision to buy, hold or sell securites. Any informaton that could reasonably be expected to afect the price of the security is material. The informaton may be positve or negatve. Financial informaton is frequently material, even if it covers only part of a fscal period or less than all of Invivyd’s operatons, since either of these might convey enough informaton about Invivyd’s results to be considered material informaton. Please note that trading that becomes subject to government or other scrutny will be evaluated afer the fact of the trade with the beneft of hindsight, so if you are unsure whether any partcular informaton is Material Non-Public Informaton, you should frst consult with the Invivyd Legal Department or alternatvely resolve the queston in favor of deeming the informaton material and therefore avoid the trade.</w:t>
      </w:r>
    </w:p>
    <w:p>
      <w:pPr>
        <w:spacing w:after="0" w:line="200" w:lineRule="exact"/>
        <w:rPr>
          <w:sz w:val="20"/>
          <w:szCs w:val="20"/>
          <w:color w:val="auto"/>
        </w:rPr>
      </w:pPr>
    </w:p>
    <w:p>
      <w:pPr>
        <w:spacing w:after="0" w:line="275" w:lineRule="exact"/>
        <w:rPr>
          <w:sz w:val="20"/>
          <w:szCs w:val="20"/>
          <w:color w:val="auto"/>
        </w:rPr>
      </w:pPr>
    </w:p>
    <w:p>
      <w:pPr>
        <w:ind w:left="680" w:right="200"/>
        <w:spacing w:after="0" w:line="236" w:lineRule="auto"/>
        <w:rPr>
          <w:sz w:val="20"/>
          <w:szCs w:val="20"/>
          <w:color w:val="auto"/>
        </w:rPr>
      </w:pPr>
      <w:r>
        <w:rPr>
          <w:rFonts w:ascii="Calibri" w:cs="Calibri" w:eastAsia="Calibri" w:hAnsi="Calibri"/>
          <w:sz w:val="20"/>
          <w:szCs w:val="20"/>
          <w:color w:val="auto"/>
        </w:rPr>
        <w:t>It is not possible to list or defne all categories of material informaton. However, there are various categories of informaton that are partcularly sensitve and, as a general rule, should always be considered material. Examples of such informaton may include:</w:t>
      </w:r>
    </w:p>
    <w:p>
      <w:pPr>
        <w:spacing w:after="0" w:line="256" w:lineRule="exact"/>
        <w:rPr>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Clinical trial results;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Actons of FDA or other regulatory agencies;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research strategies;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business strategies;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Financial results;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Gain or loss of a signifcant customer or supplier;</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product price or reimbursement changes;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Public or private debt or equity oferings;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Stock splits, dividends, and stock repurchase programs;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News of a pending or proposed acquisiton or dispositon of signifcant assets;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News of a pending or proposed merger, acquisiton, tender ofer or dispositon;</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Informaton regarding sales, revenues or earnings (including projectons);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Financial forecasts of any kind, including earnings estmates or changes in previously announced earnings estmates;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254" w:name="page255"/>
    <w:bookmarkEnd w:id="254"/>
    <w:p>
      <w:pPr>
        <w:ind w:left="1440" w:hanging="384"/>
        <w:spacing w:after="0"/>
        <w:tabs>
          <w:tab w:leader="none" w:pos="1440" w:val="left"/>
        </w:tabs>
        <w:numPr>
          <w:ilvl w:val="0"/>
          <w:numId w:val="22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Impending bankruptcy or fnancial liquidity problems;</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9"/>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litgaton exposure due to actual or threatened litgaton;</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9"/>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Developments in signifcant litgaton or government investgatons; and</w:t>
      </w:r>
    </w:p>
    <w:p>
      <w:pPr>
        <w:spacing w:after="0" w:line="12" w:lineRule="exact"/>
        <w:rPr>
          <w:rFonts w:ascii="Times New Roman" w:cs="Times New Roman" w:eastAsia="Times New Roman" w:hAnsi="Times New Roman"/>
          <w:sz w:val="20"/>
          <w:szCs w:val="20"/>
          <w:color w:val="auto"/>
        </w:rPr>
      </w:pPr>
    </w:p>
    <w:p>
      <w:pPr>
        <w:ind w:left="1440" w:hanging="384"/>
        <w:spacing w:after="0"/>
        <w:tabs>
          <w:tab w:leader="none" w:pos="1440" w:val="left"/>
        </w:tabs>
        <w:numPr>
          <w:ilvl w:val="0"/>
          <w:numId w:val="229"/>
        </w:numPr>
        <w:rPr>
          <w:rFonts w:ascii="Times New Roman" w:cs="Times New Roman" w:eastAsia="Times New Roman" w:hAnsi="Times New Roman"/>
          <w:sz w:val="20"/>
          <w:szCs w:val="20"/>
          <w:color w:val="auto"/>
        </w:rPr>
      </w:pPr>
      <w:r>
        <w:rPr>
          <w:rFonts w:ascii="Calibri" w:cs="Calibri" w:eastAsia="Calibri" w:hAnsi="Calibri"/>
          <w:sz w:val="20"/>
          <w:szCs w:val="20"/>
          <w:color w:val="auto"/>
        </w:rPr>
        <w:t>Executon or terminaton of signifcant contracts.</w:t>
      </w:r>
    </w:p>
    <w:p>
      <w:pPr>
        <w:spacing w:after="0" w:line="252" w:lineRule="exact"/>
        <w:rPr>
          <w:sz w:val="20"/>
          <w:szCs w:val="20"/>
          <w:color w:val="auto"/>
        </w:rPr>
      </w:pPr>
    </w:p>
    <w:p>
      <w:pPr>
        <w:ind w:left="680" w:right="100"/>
        <w:spacing w:after="0" w:line="234" w:lineRule="auto"/>
        <w:rPr>
          <w:sz w:val="20"/>
          <w:szCs w:val="20"/>
          <w:color w:val="auto"/>
        </w:rPr>
      </w:pPr>
      <w:r>
        <w:rPr>
          <w:rFonts w:ascii="Calibri" w:cs="Calibri" w:eastAsia="Calibri" w:hAnsi="Calibri"/>
          <w:sz w:val="20"/>
          <w:szCs w:val="20"/>
          <w:color w:val="auto"/>
        </w:rPr>
        <w:t>Material Non-Public Informaton about Invivyd is confdental and is the property of Invivyd, and unauthorized disclosure or use of that informaton is prohibited.</w:t>
      </w:r>
    </w:p>
    <w:p>
      <w:pPr>
        <w:spacing w:after="0" w:line="9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4.0</w:t>
      </w:r>
      <w:r>
        <w:rPr>
          <w:sz w:val="20"/>
          <w:szCs w:val="20"/>
          <w:color w:val="auto"/>
        </w:rPr>
        <w:tab/>
      </w:r>
      <w:r>
        <w:rPr>
          <w:rFonts w:ascii="Calibri" w:cs="Calibri" w:eastAsia="Calibri" w:hAnsi="Calibri"/>
          <w:sz w:val="20"/>
          <w:szCs w:val="20"/>
          <w:b w:val="1"/>
          <w:bCs w:val="1"/>
          <w:color w:val="auto"/>
        </w:rPr>
        <w:t>INSIDER TRADING PROHIBITED</w:t>
      </w:r>
    </w:p>
    <w:p>
      <w:pPr>
        <w:spacing w:after="0" w:line="61" w:lineRule="exact"/>
        <w:rPr>
          <w:sz w:val="20"/>
          <w:szCs w:val="20"/>
          <w:color w:val="auto"/>
        </w:rPr>
      </w:pPr>
    </w:p>
    <w:p>
      <w:pPr>
        <w:ind w:left="680" w:right="80"/>
        <w:spacing w:after="0"/>
        <w:rPr>
          <w:sz w:val="20"/>
          <w:szCs w:val="20"/>
          <w:color w:val="auto"/>
        </w:rPr>
      </w:pPr>
      <w:r>
        <w:rPr>
          <w:rFonts w:ascii="Calibri" w:cs="Calibri" w:eastAsia="Calibri" w:hAnsi="Calibri"/>
          <w:sz w:val="20"/>
          <w:szCs w:val="20"/>
          <w:color w:val="auto"/>
        </w:rPr>
        <w:t>No Invivyd Representatve shall engage in any transacton involving a purchase or sale of Invivyd’s securites, including any ofer to purchase or ofer to sell, during any period commencing on the date that he or she comes into possession of Material Non-Public Informaton concerning Invivyd and ending at the close of business on the second trading day (as defned below) following the date of public disclosure of that informaton, or at such tme as such Material Non-Public Informaton is no longer material. For purposes of this Policy, the term “</w:t>
      </w:r>
      <w:r>
        <w:rPr>
          <w:rFonts w:ascii="Calibri" w:cs="Calibri" w:eastAsia="Calibri" w:hAnsi="Calibri"/>
          <w:sz w:val="20"/>
          <w:szCs w:val="20"/>
          <w:b w:val="1"/>
          <w:bCs w:val="1"/>
          <w:i w:val="1"/>
          <w:iCs w:val="1"/>
          <w:color w:val="auto"/>
        </w:rPr>
        <w:t>trading day</w:t>
      </w:r>
      <w:r>
        <w:rPr>
          <w:rFonts w:ascii="Calibri" w:cs="Calibri" w:eastAsia="Calibri" w:hAnsi="Calibri"/>
          <w:sz w:val="20"/>
          <w:szCs w:val="20"/>
          <w:color w:val="auto"/>
        </w:rPr>
        <w:t>” shall mean a day on which natonal stock exchanges are open for trading.</w:t>
      </w:r>
    </w:p>
    <w:p>
      <w:pPr>
        <w:spacing w:after="0" w:line="200" w:lineRule="exact"/>
        <w:rPr>
          <w:sz w:val="20"/>
          <w:szCs w:val="20"/>
          <w:color w:val="auto"/>
        </w:rPr>
      </w:pPr>
    </w:p>
    <w:p>
      <w:pPr>
        <w:spacing w:after="0" w:line="280" w:lineRule="exact"/>
        <w:rPr>
          <w:sz w:val="20"/>
          <w:szCs w:val="20"/>
          <w:color w:val="auto"/>
        </w:rPr>
      </w:pPr>
    </w:p>
    <w:p>
      <w:pPr>
        <w:ind w:left="680" w:right="120"/>
        <w:spacing w:after="0" w:line="236" w:lineRule="auto"/>
        <w:rPr>
          <w:sz w:val="20"/>
          <w:szCs w:val="20"/>
          <w:color w:val="auto"/>
        </w:rPr>
      </w:pPr>
      <w:r>
        <w:rPr>
          <w:rFonts w:ascii="Calibri" w:cs="Calibri" w:eastAsia="Calibri" w:hAnsi="Calibri"/>
          <w:sz w:val="20"/>
          <w:szCs w:val="20"/>
          <w:color w:val="auto"/>
        </w:rPr>
        <w:t>Invivyd may engage in business transactons with companies whose securites are publicly traded. Informaton learned in connecton with these transactons or relatonships may consttute Material Non-Public Informaton about the other company. You are prohibited from trading in the securites of these companies while aware of Material Non-Public Informaton about the companies and from communicatng that informaton to any other person for such use.</w:t>
      </w:r>
    </w:p>
    <w:p>
      <w:pPr>
        <w:spacing w:after="0" w:line="100"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5.0</w:t>
      </w:r>
      <w:r>
        <w:rPr>
          <w:sz w:val="20"/>
          <w:szCs w:val="20"/>
          <w:color w:val="auto"/>
        </w:rPr>
        <w:tab/>
      </w:r>
      <w:r>
        <w:rPr>
          <w:rFonts w:ascii="Calibri" w:cs="Calibri" w:eastAsia="Calibri" w:hAnsi="Calibri"/>
          <w:sz w:val="20"/>
          <w:szCs w:val="20"/>
          <w:b w:val="1"/>
          <w:bCs w:val="1"/>
          <w:color w:val="auto"/>
        </w:rPr>
        <w:t>PENALTIES FOR INSIDER TRADING</w:t>
      </w:r>
    </w:p>
    <w:p>
      <w:pPr>
        <w:spacing w:after="0" w:line="51" w:lineRule="exact"/>
        <w:rPr>
          <w:sz w:val="20"/>
          <w:szCs w:val="20"/>
          <w:color w:val="auto"/>
        </w:rPr>
      </w:pPr>
    </w:p>
    <w:p>
      <w:pPr>
        <w:ind w:left="680"/>
        <w:spacing w:after="0"/>
        <w:rPr>
          <w:sz w:val="20"/>
          <w:szCs w:val="20"/>
          <w:color w:val="auto"/>
        </w:rPr>
      </w:pPr>
      <w:r>
        <w:rPr>
          <w:rFonts w:ascii="Calibri" w:cs="Calibri" w:eastAsia="Calibri" w:hAnsi="Calibri"/>
          <w:sz w:val="20"/>
          <w:szCs w:val="20"/>
          <w:color w:val="auto"/>
        </w:rPr>
        <w:t>Any Invivyd Representatve who engages in insider trading may be subject to penaltes and sanctons, including:</w:t>
      </w:r>
    </w:p>
    <w:p>
      <w:pPr>
        <w:ind w:left="1440" w:hanging="384"/>
        <w:spacing w:after="0" w:line="238" w:lineRule="auto"/>
        <w:tabs>
          <w:tab w:leader="none" w:pos="1440" w:val="left"/>
        </w:tabs>
        <w:numPr>
          <w:ilvl w:val="0"/>
          <w:numId w:val="230"/>
        </w:numPr>
        <w:rPr>
          <w:rFonts w:ascii="Calibri" w:cs="Calibri" w:eastAsia="Calibri" w:hAnsi="Calibri"/>
          <w:sz w:val="20"/>
          <w:szCs w:val="20"/>
          <w:color w:val="auto"/>
        </w:rPr>
      </w:pPr>
      <w:r>
        <w:rPr>
          <w:rFonts w:ascii="Calibri" w:cs="Calibri" w:eastAsia="Calibri" w:hAnsi="Calibri"/>
          <w:sz w:val="20"/>
          <w:szCs w:val="20"/>
          <w:color w:val="auto"/>
        </w:rPr>
        <w:t>Prison for up to 20 years;</w:t>
      </w:r>
    </w:p>
    <w:p>
      <w:pPr>
        <w:ind w:left="1440" w:hanging="384"/>
        <w:spacing w:after="0" w:line="238" w:lineRule="auto"/>
        <w:tabs>
          <w:tab w:leader="none" w:pos="1440" w:val="left"/>
        </w:tabs>
        <w:numPr>
          <w:ilvl w:val="0"/>
          <w:numId w:val="230"/>
        </w:numPr>
        <w:rPr>
          <w:rFonts w:ascii="Calibri" w:cs="Calibri" w:eastAsia="Calibri" w:hAnsi="Calibri"/>
          <w:sz w:val="20"/>
          <w:szCs w:val="20"/>
          <w:color w:val="auto"/>
        </w:rPr>
      </w:pPr>
      <w:r>
        <w:rPr>
          <w:rFonts w:ascii="Calibri" w:cs="Calibri" w:eastAsia="Calibri" w:hAnsi="Calibri"/>
          <w:sz w:val="20"/>
          <w:szCs w:val="20"/>
          <w:color w:val="auto"/>
        </w:rPr>
        <w:t>A criminal fne of up to $5 million;</w:t>
      </w:r>
    </w:p>
    <w:p>
      <w:pPr>
        <w:ind w:left="1440" w:hanging="384"/>
        <w:spacing w:after="0" w:line="238" w:lineRule="auto"/>
        <w:tabs>
          <w:tab w:leader="none" w:pos="1440" w:val="left"/>
        </w:tabs>
        <w:numPr>
          <w:ilvl w:val="0"/>
          <w:numId w:val="230"/>
        </w:numPr>
        <w:rPr>
          <w:rFonts w:ascii="Calibri" w:cs="Calibri" w:eastAsia="Calibri" w:hAnsi="Calibri"/>
          <w:sz w:val="20"/>
          <w:szCs w:val="20"/>
          <w:color w:val="auto"/>
        </w:rPr>
      </w:pPr>
      <w:r>
        <w:rPr>
          <w:rFonts w:ascii="Calibri" w:cs="Calibri" w:eastAsia="Calibri" w:hAnsi="Calibri"/>
          <w:sz w:val="20"/>
          <w:szCs w:val="20"/>
          <w:color w:val="auto"/>
        </w:rPr>
        <w:t>A civil penalty of up to $1 million or, if greater, 3 tmes the proft gained or loss avoided;</w:t>
      </w:r>
    </w:p>
    <w:p>
      <w:pPr>
        <w:ind w:left="1440" w:hanging="384"/>
        <w:spacing w:after="0" w:line="238" w:lineRule="auto"/>
        <w:tabs>
          <w:tab w:leader="none" w:pos="1440" w:val="left"/>
        </w:tabs>
        <w:numPr>
          <w:ilvl w:val="0"/>
          <w:numId w:val="230"/>
        </w:numPr>
        <w:rPr>
          <w:rFonts w:ascii="Calibri" w:cs="Calibri" w:eastAsia="Calibri" w:hAnsi="Calibri"/>
          <w:sz w:val="20"/>
          <w:szCs w:val="20"/>
          <w:color w:val="auto"/>
        </w:rPr>
      </w:pPr>
      <w:r>
        <w:rPr>
          <w:rFonts w:ascii="Calibri" w:cs="Calibri" w:eastAsia="Calibri" w:hAnsi="Calibri"/>
          <w:sz w:val="20"/>
          <w:szCs w:val="20"/>
          <w:color w:val="auto"/>
        </w:rPr>
        <w:t>SEC civil enforcement injunctons; and</w:t>
      </w:r>
    </w:p>
    <w:p>
      <w:pPr>
        <w:spacing w:after="0" w:line="9" w:lineRule="exact"/>
        <w:rPr>
          <w:rFonts w:ascii="Calibri" w:cs="Calibri" w:eastAsia="Calibri" w:hAnsi="Calibri"/>
          <w:sz w:val="20"/>
          <w:szCs w:val="20"/>
          <w:color w:val="auto"/>
        </w:rPr>
      </w:pPr>
    </w:p>
    <w:p>
      <w:pPr>
        <w:ind w:left="1440" w:hanging="384"/>
        <w:spacing w:after="0" w:line="234" w:lineRule="auto"/>
        <w:tabs>
          <w:tab w:leader="none" w:pos="1440" w:val="left"/>
        </w:tabs>
        <w:numPr>
          <w:ilvl w:val="0"/>
          <w:numId w:val="230"/>
        </w:numPr>
        <w:rPr>
          <w:rFonts w:ascii="Calibri" w:cs="Calibri" w:eastAsia="Calibri" w:hAnsi="Calibri"/>
          <w:sz w:val="20"/>
          <w:szCs w:val="20"/>
          <w:color w:val="auto"/>
        </w:rPr>
      </w:pPr>
      <w:r>
        <w:rPr>
          <w:rFonts w:ascii="Calibri" w:cs="Calibri" w:eastAsia="Calibri" w:hAnsi="Calibri"/>
          <w:sz w:val="20"/>
          <w:szCs w:val="20"/>
          <w:color w:val="auto"/>
        </w:rPr>
        <w:t>Disciplinary acton up to and including terminaton of employment or other working relatonship with Invivyd for violaton of this Policy.</w:t>
      </w:r>
    </w:p>
    <w:p>
      <w:pPr>
        <w:spacing w:after="0" w:line="9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6.0</w:t>
      </w:r>
      <w:r>
        <w:rPr>
          <w:sz w:val="20"/>
          <w:szCs w:val="20"/>
          <w:color w:val="auto"/>
        </w:rPr>
        <w:tab/>
      </w:r>
      <w:r>
        <w:rPr>
          <w:rFonts w:ascii="Calibri" w:cs="Calibri" w:eastAsia="Calibri" w:hAnsi="Calibri"/>
          <w:sz w:val="20"/>
          <w:szCs w:val="20"/>
          <w:b w:val="1"/>
          <w:bCs w:val="1"/>
          <w:color w:val="auto"/>
        </w:rPr>
        <w:t>TIPPING PROHIBITED</w:t>
      </w:r>
    </w:p>
    <w:p>
      <w:pPr>
        <w:spacing w:after="0" w:line="61" w:lineRule="exact"/>
        <w:rPr>
          <w:sz w:val="20"/>
          <w:szCs w:val="20"/>
          <w:color w:val="auto"/>
        </w:rPr>
      </w:pPr>
    </w:p>
    <w:p>
      <w:pPr>
        <w:ind w:left="680" w:right="80"/>
        <w:spacing w:after="0" w:line="237" w:lineRule="auto"/>
        <w:rPr>
          <w:sz w:val="20"/>
          <w:szCs w:val="20"/>
          <w:color w:val="auto"/>
        </w:rPr>
      </w:pPr>
      <w:r>
        <w:rPr>
          <w:rFonts w:ascii="Calibri" w:cs="Calibri" w:eastAsia="Calibri" w:hAnsi="Calibri"/>
          <w:sz w:val="20"/>
          <w:szCs w:val="20"/>
          <w:color w:val="auto"/>
        </w:rPr>
        <w:t>Tipping is the disclosing or passing on of Material Non-Public Informaton about Invivyd or any other publicly traded company on to others, including Family Members or friends, or otherwise making unauthorized disclosure or use of this informaton, regardless of whether you proft or intend to proft by the tpping, disclosure, or use. Tipping is a violaton of securites laws and can result in the same civil and criminal penaltes that apply to insider trading, even though you as the tpper did not trade and did not gain any beneft from another's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55" w:name="page256"/>
    <w:bookmarkEnd w:id="255"/>
    <w:p>
      <w:pPr>
        <w:ind w:left="680"/>
        <w:spacing w:after="0" w:line="237" w:lineRule="auto"/>
        <w:rPr>
          <w:sz w:val="20"/>
          <w:szCs w:val="20"/>
          <w:color w:val="auto"/>
        </w:rPr>
      </w:pPr>
      <w:r>
        <w:rPr>
          <w:rFonts w:ascii="Calibri" w:cs="Calibri" w:eastAsia="Calibri" w:hAnsi="Calibri"/>
          <w:sz w:val="20"/>
          <w:szCs w:val="20"/>
          <w:color w:val="auto"/>
        </w:rPr>
        <w:t>Any Invivyd Representatve who tps is called a “tpper” and the third party who receives the tp is called a “tppee.” Tippers may be liable for improper transactons by tppees to whom they have tpped Material Non-Public Informaton regarding Invivyd or any other publicly traded company, or to whom they have made recommendatons or expressed opinions on the basis of such informaton as to trading in Invivyd securites or the securites of another publicly traded company. Tippers and tppees may be subject to the same penaltes set forth in Secton V even if the tpper or tppee did not proft from the trading.</w:t>
      </w:r>
    </w:p>
    <w:p>
      <w:pPr>
        <w:spacing w:after="0" w:line="9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7.0</w:t>
      </w:r>
      <w:r>
        <w:rPr>
          <w:sz w:val="20"/>
          <w:szCs w:val="20"/>
          <w:color w:val="auto"/>
        </w:rPr>
        <w:tab/>
      </w:r>
      <w:r>
        <w:rPr>
          <w:rFonts w:ascii="Calibri" w:cs="Calibri" w:eastAsia="Calibri" w:hAnsi="Calibri"/>
          <w:sz w:val="20"/>
          <w:szCs w:val="20"/>
          <w:b w:val="1"/>
          <w:bCs w:val="1"/>
          <w:color w:val="auto"/>
        </w:rPr>
        <w:t>TRADING BLACKOUT PERIODS</w:t>
      </w:r>
    </w:p>
    <w:p>
      <w:pPr>
        <w:spacing w:after="0" w:line="61" w:lineRule="exact"/>
        <w:rPr>
          <w:sz w:val="20"/>
          <w:szCs w:val="20"/>
          <w:color w:val="auto"/>
        </w:rPr>
      </w:pPr>
    </w:p>
    <w:p>
      <w:pPr>
        <w:ind w:left="680" w:right="60"/>
        <w:spacing w:after="0"/>
        <w:rPr>
          <w:sz w:val="20"/>
          <w:szCs w:val="20"/>
          <w:color w:val="auto"/>
        </w:rPr>
      </w:pPr>
      <w:r>
        <w:rPr>
          <w:rFonts w:ascii="Calibri" w:cs="Calibri" w:eastAsia="Calibri" w:hAnsi="Calibri"/>
          <w:sz w:val="20"/>
          <w:szCs w:val="20"/>
          <w:color w:val="auto"/>
        </w:rPr>
        <w:t>In an efort to ensure compliance with this Policy and applicable federal securites laws, and to avoid even the appearance of trading on the basis of Material Non-Public Informaton, Invivyd requires that all Invivyd ofcers, directors and employees and their Family Members, and others as may be identfed by Invivyd’s Chief Financial Ofcer and/or Chief Legal Ofcer (collectvely, “</w:t>
      </w:r>
      <w:r>
        <w:rPr>
          <w:rFonts w:ascii="Calibri" w:cs="Calibri" w:eastAsia="Calibri" w:hAnsi="Calibri"/>
          <w:sz w:val="20"/>
          <w:szCs w:val="20"/>
          <w:b w:val="1"/>
          <w:bCs w:val="1"/>
          <w:i w:val="1"/>
          <w:iCs w:val="1"/>
          <w:color w:val="auto"/>
        </w:rPr>
        <w:t>Restricted Persons</w:t>
      </w:r>
      <w:r>
        <w:rPr>
          <w:rFonts w:ascii="Calibri" w:cs="Calibri" w:eastAsia="Calibri" w:hAnsi="Calibri"/>
          <w:sz w:val="20"/>
          <w:szCs w:val="20"/>
          <w:color w:val="auto"/>
        </w:rPr>
        <w:t>”), are to be subject to periodic blocks of tme called “</w:t>
      </w:r>
      <w:r>
        <w:rPr>
          <w:rFonts w:ascii="Calibri" w:cs="Calibri" w:eastAsia="Calibri" w:hAnsi="Calibri"/>
          <w:sz w:val="20"/>
          <w:szCs w:val="20"/>
          <w:b w:val="1"/>
          <w:bCs w:val="1"/>
          <w:i w:val="1"/>
          <w:iCs w:val="1"/>
          <w:color w:val="auto"/>
        </w:rPr>
        <w:t>Blackout Periods</w:t>
      </w:r>
      <w:r>
        <w:rPr>
          <w:rFonts w:ascii="Calibri" w:cs="Calibri" w:eastAsia="Calibri" w:hAnsi="Calibri"/>
          <w:sz w:val="20"/>
          <w:szCs w:val="20"/>
          <w:color w:val="auto"/>
        </w:rPr>
        <w:t>” during which they must refrain from conductng transactons involving the purchase or sale of Invivyd’s securites. No Restricted Person may trade in Invivyd securites during a specifed Blackout Period, regardless of whether they are then actually aware of Material Non-Public Informaton.</w:t>
      </w:r>
    </w:p>
    <w:p>
      <w:pPr>
        <w:spacing w:after="0" w:line="200" w:lineRule="exact"/>
        <w:rPr>
          <w:sz w:val="20"/>
          <w:szCs w:val="20"/>
          <w:color w:val="auto"/>
        </w:rPr>
      </w:pPr>
    </w:p>
    <w:p>
      <w:pPr>
        <w:spacing w:after="0" w:line="279" w:lineRule="exact"/>
        <w:rPr>
          <w:sz w:val="20"/>
          <w:szCs w:val="20"/>
          <w:color w:val="auto"/>
        </w:rPr>
      </w:pPr>
    </w:p>
    <w:p>
      <w:pPr>
        <w:ind w:left="680" w:right="40"/>
        <w:spacing w:after="0" w:line="238" w:lineRule="auto"/>
        <w:rPr>
          <w:sz w:val="20"/>
          <w:szCs w:val="20"/>
          <w:color w:val="auto"/>
        </w:rPr>
      </w:pPr>
      <w:r>
        <w:rPr>
          <w:rFonts w:ascii="Calibri" w:cs="Calibri" w:eastAsia="Calibri" w:hAnsi="Calibri"/>
          <w:sz w:val="20"/>
          <w:szCs w:val="20"/>
          <w:color w:val="auto"/>
        </w:rPr>
        <w:t>Invivyd has established quarterly Blackout Periods, which, unless otherwise communicated by the Approving Person (as defned below), will begin upon completon of the trading day (if applicable) on the fnal day of each fscal quarter and end afer two full trading days have elapsed since the public disseminaton of Invivyd’s fnancial results for such quarter, during which Restricted Persons must refrain from conductng transactons involving the purchase or sale of Invivyd’s securites. The quarterly Blackout Period may commence early, late, or may be extended upon a determinaton by the Chief Financial Ofcer and the Chief Legal Ofcer that such Blackout Period would be appropriate based on the facts and circumstances, including the existence of undisclosed informaton that would make trades by Restricted Persons inappropriate. It is important to note that the fact that the quarterly Blackout Period has commenced early or has been extended should be considered Material Non-Public Informaton that should not be communicated to any other person. Any exceptons to the quarterly Blackout Period must be approved by an Approving Person.</w:t>
      </w:r>
    </w:p>
    <w:p>
      <w:pPr>
        <w:spacing w:after="0" w:line="252" w:lineRule="exact"/>
        <w:rPr>
          <w:sz w:val="20"/>
          <w:szCs w:val="20"/>
          <w:color w:val="auto"/>
        </w:rPr>
      </w:pPr>
    </w:p>
    <w:p>
      <w:pPr>
        <w:ind w:left="680" w:right="40"/>
        <w:spacing w:after="0" w:line="237" w:lineRule="auto"/>
        <w:rPr>
          <w:sz w:val="20"/>
          <w:szCs w:val="20"/>
          <w:color w:val="auto"/>
        </w:rPr>
      </w:pPr>
      <w:r>
        <w:rPr>
          <w:rFonts w:ascii="Calibri" w:cs="Calibri" w:eastAsia="Calibri" w:hAnsi="Calibri"/>
          <w:sz w:val="20"/>
          <w:szCs w:val="20"/>
          <w:color w:val="auto"/>
        </w:rPr>
        <w:t>From tme to tme, an event (a “</w:t>
      </w:r>
      <w:r>
        <w:rPr>
          <w:rFonts w:ascii="Calibri" w:cs="Calibri" w:eastAsia="Calibri" w:hAnsi="Calibri"/>
          <w:sz w:val="20"/>
          <w:szCs w:val="20"/>
          <w:b w:val="1"/>
          <w:bCs w:val="1"/>
          <w:i w:val="1"/>
          <w:iCs w:val="1"/>
          <w:color w:val="auto"/>
        </w:rPr>
        <w:t>Special Event</w:t>
      </w:r>
      <w:r>
        <w:rPr>
          <w:rFonts w:ascii="Calibri" w:cs="Calibri" w:eastAsia="Calibri" w:hAnsi="Calibri"/>
          <w:sz w:val="20"/>
          <w:szCs w:val="20"/>
          <w:color w:val="auto"/>
        </w:rPr>
        <w:t>”) may occur that is material to Invivyd and is known by only a few directors, ofcers and/or employees (collectvely, “</w:t>
      </w:r>
      <w:r>
        <w:rPr>
          <w:rFonts w:ascii="Calibri" w:cs="Calibri" w:eastAsia="Calibri" w:hAnsi="Calibri"/>
          <w:sz w:val="20"/>
          <w:szCs w:val="20"/>
          <w:b w:val="1"/>
          <w:bCs w:val="1"/>
          <w:i w:val="1"/>
          <w:iCs w:val="1"/>
          <w:color w:val="auto"/>
        </w:rPr>
        <w:t>Designated Restricted Persons</w:t>
      </w:r>
      <w:r>
        <w:rPr>
          <w:rFonts w:ascii="Calibri" w:cs="Calibri" w:eastAsia="Calibri" w:hAnsi="Calibri"/>
          <w:sz w:val="20"/>
          <w:szCs w:val="20"/>
          <w:color w:val="auto"/>
        </w:rPr>
        <w:t>”). So long as the Special Event remains material and non-public, Designated Restricted Persons must refrain from conductng transactons involving the purchase or sale of Invivyd’s securites. In that situaton, the Approving Person will notfy the Designated Restricted Persons that they may not trade in Invivyd’s securites. The existence of a Special Event Blackout Period should also be considered Material Non-Public Informaton and should not be communicated to any other person, including any other Designated Restricted Person. Even if you have not been identfed as a Designated Restricted Person who should not trade due to a Special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56" w:name="page257"/>
    <w:bookmarkEnd w:id="256"/>
    <w:p>
      <w:pPr>
        <w:ind w:left="680" w:right="180"/>
        <w:spacing w:after="0" w:line="234" w:lineRule="auto"/>
        <w:rPr>
          <w:sz w:val="20"/>
          <w:szCs w:val="20"/>
          <w:color w:val="auto"/>
        </w:rPr>
      </w:pPr>
      <w:r>
        <w:rPr>
          <w:rFonts w:ascii="Calibri" w:cs="Calibri" w:eastAsia="Calibri" w:hAnsi="Calibri"/>
          <w:sz w:val="20"/>
          <w:szCs w:val="20"/>
          <w:color w:val="auto"/>
        </w:rPr>
        <w:t>Blackout Period, you should not trade while aware of Material Non-Public Informaton. Exceptons will not be granted during a Special Event Blackout Period.</w:t>
      </w:r>
    </w:p>
    <w:p>
      <w:pPr>
        <w:spacing w:after="0" w:line="243" w:lineRule="exact"/>
        <w:rPr>
          <w:sz w:val="20"/>
          <w:szCs w:val="20"/>
          <w:color w:val="auto"/>
        </w:rPr>
      </w:pPr>
    </w:p>
    <w:p>
      <w:pPr>
        <w:ind w:left="680"/>
        <w:spacing w:after="0"/>
        <w:rPr>
          <w:sz w:val="20"/>
          <w:szCs w:val="20"/>
          <w:color w:val="auto"/>
        </w:rPr>
      </w:pPr>
      <w:r>
        <w:rPr>
          <w:rFonts w:ascii="Calibri" w:cs="Calibri" w:eastAsia="Calibri" w:hAnsi="Calibri"/>
          <w:sz w:val="20"/>
          <w:szCs w:val="20"/>
          <w:color w:val="auto"/>
        </w:rPr>
        <w:t>The foregoing does not apply to the following transactons:</w:t>
      </w:r>
    </w:p>
    <w:p>
      <w:pPr>
        <w:spacing w:after="0" w:line="252" w:lineRule="exact"/>
        <w:rPr>
          <w:sz w:val="20"/>
          <w:szCs w:val="20"/>
          <w:color w:val="auto"/>
        </w:rPr>
      </w:pPr>
    </w:p>
    <w:p>
      <w:pPr>
        <w:ind w:left="1140" w:right="20" w:hanging="473"/>
        <w:spacing w:after="0" w:line="234" w:lineRule="auto"/>
        <w:tabs>
          <w:tab w:leader="none" w:pos="1140" w:val="left"/>
        </w:tabs>
        <w:numPr>
          <w:ilvl w:val="0"/>
          <w:numId w:val="231"/>
        </w:numPr>
        <w:rPr>
          <w:rFonts w:ascii="Calibri" w:cs="Calibri" w:eastAsia="Calibri" w:hAnsi="Calibri"/>
          <w:sz w:val="20"/>
          <w:szCs w:val="20"/>
          <w:color w:val="auto"/>
        </w:rPr>
      </w:pPr>
      <w:r>
        <w:rPr>
          <w:rFonts w:ascii="Calibri" w:cs="Calibri" w:eastAsia="Calibri" w:hAnsi="Calibri"/>
          <w:sz w:val="20"/>
          <w:szCs w:val="20"/>
          <w:color w:val="auto"/>
        </w:rPr>
        <w:t>Trades made pursuant to a trading plan that complies with Rule 10b5-1 (as defned below) and that has been pre-cleared by Invivyd’s Legal Department.</w:t>
      </w:r>
    </w:p>
    <w:p>
      <w:pPr>
        <w:spacing w:after="0" w:line="9" w:lineRule="exact"/>
        <w:rPr>
          <w:rFonts w:ascii="Calibri" w:cs="Calibri" w:eastAsia="Calibri" w:hAnsi="Calibri"/>
          <w:sz w:val="20"/>
          <w:szCs w:val="20"/>
          <w:color w:val="auto"/>
        </w:rPr>
      </w:pPr>
    </w:p>
    <w:p>
      <w:pPr>
        <w:jc w:val="both"/>
        <w:ind w:left="1140" w:right="20" w:hanging="473"/>
        <w:spacing w:after="0" w:line="236" w:lineRule="auto"/>
        <w:tabs>
          <w:tab w:leader="none" w:pos="1140" w:val="left"/>
        </w:tabs>
        <w:numPr>
          <w:ilvl w:val="0"/>
          <w:numId w:val="231"/>
        </w:numPr>
        <w:rPr>
          <w:rFonts w:ascii="Calibri" w:cs="Calibri" w:eastAsia="Calibri" w:hAnsi="Calibri"/>
          <w:sz w:val="20"/>
          <w:szCs w:val="20"/>
          <w:color w:val="auto"/>
        </w:rPr>
      </w:pPr>
      <w:r>
        <w:rPr>
          <w:rFonts w:ascii="Calibri" w:cs="Calibri" w:eastAsia="Calibri" w:hAnsi="Calibri"/>
          <w:sz w:val="20"/>
          <w:szCs w:val="20"/>
          <w:color w:val="auto"/>
        </w:rPr>
        <w:t>The surrender of shares to Invivyd in satsfacton of any tax withholding obligaton in a manner permited by the applicable equity award agreement upon the vestng of an equity-based award. The prohibiton does apply, however, to any open market sale of vested shares, including to satsfy tax liabilites.</w:t>
      </w:r>
    </w:p>
    <w:p>
      <w:pPr>
        <w:spacing w:after="0" w:line="8" w:lineRule="exact"/>
        <w:rPr>
          <w:rFonts w:ascii="Calibri" w:cs="Calibri" w:eastAsia="Calibri" w:hAnsi="Calibri"/>
          <w:sz w:val="20"/>
          <w:szCs w:val="20"/>
          <w:color w:val="auto"/>
        </w:rPr>
      </w:pPr>
    </w:p>
    <w:p>
      <w:pPr>
        <w:jc w:val="both"/>
        <w:ind w:left="1140" w:hanging="473"/>
        <w:spacing w:after="0" w:line="236" w:lineRule="auto"/>
        <w:tabs>
          <w:tab w:leader="none" w:pos="1140" w:val="left"/>
        </w:tabs>
        <w:numPr>
          <w:ilvl w:val="0"/>
          <w:numId w:val="231"/>
        </w:numPr>
        <w:rPr>
          <w:rFonts w:ascii="Calibri" w:cs="Calibri" w:eastAsia="Calibri" w:hAnsi="Calibri"/>
          <w:sz w:val="20"/>
          <w:szCs w:val="20"/>
          <w:color w:val="auto"/>
        </w:rPr>
      </w:pPr>
      <w:r>
        <w:rPr>
          <w:rFonts w:ascii="Calibri" w:cs="Calibri" w:eastAsia="Calibri" w:hAnsi="Calibri"/>
          <w:sz w:val="20"/>
          <w:szCs w:val="20"/>
          <w:color w:val="auto"/>
        </w:rPr>
        <w:t>The exercise of stock optons under Invivyd’s stock opton plans (but not the sale of the underlying stock). This Policy does apply to any sale of stock as part of a broker-assisted “cashless” exercise of an opton, or any market sale for the purpose of generatng the cash needed to pay the exercise price of an opton.</w:t>
      </w:r>
    </w:p>
    <w:p>
      <w:pPr>
        <w:spacing w:after="0" w:line="8" w:lineRule="exact"/>
        <w:rPr>
          <w:rFonts w:ascii="Calibri" w:cs="Calibri" w:eastAsia="Calibri" w:hAnsi="Calibri"/>
          <w:sz w:val="20"/>
          <w:szCs w:val="20"/>
          <w:color w:val="auto"/>
        </w:rPr>
      </w:pPr>
    </w:p>
    <w:p>
      <w:pPr>
        <w:jc w:val="both"/>
        <w:ind w:left="1140" w:hanging="473"/>
        <w:spacing w:after="0" w:line="237" w:lineRule="auto"/>
        <w:tabs>
          <w:tab w:leader="none" w:pos="1140" w:val="left"/>
        </w:tabs>
        <w:numPr>
          <w:ilvl w:val="0"/>
          <w:numId w:val="231"/>
        </w:numPr>
        <w:rPr>
          <w:rFonts w:ascii="Calibri" w:cs="Calibri" w:eastAsia="Calibri" w:hAnsi="Calibri"/>
          <w:sz w:val="20"/>
          <w:szCs w:val="20"/>
          <w:color w:val="auto"/>
        </w:rPr>
      </w:pPr>
      <w:r>
        <w:rPr>
          <w:rFonts w:ascii="Calibri" w:cs="Calibri" w:eastAsia="Calibri" w:hAnsi="Calibri"/>
          <w:sz w:val="20"/>
          <w:szCs w:val="20"/>
          <w:color w:val="auto"/>
        </w:rPr>
        <w:t>Purchases of Invivyd stock in the Invivyd 401(k) plan resultng from periodic contributons of money to the plan pursuant to payroll deducton electons. This Policy does apply to certain electons that may be made under the 401(k) plan, including (a) an electon to increase or decrease the percentage of periodic contributons that will be allocated to the Invivyd stock fund, if any; (b) an electon to make an intra-plan transfer of an existng account balance into or out of the Invivyd stock fund; (c) an electon to borrow money against a 401(k) plan account if the loan will result in a liquidaton of some or all of a partcipant’s Invivyd stock fund balance and (d) an electon to pre-pay a plan loan if the pre-payment will result in allocaton of loan proceeds to the Invivyd stock fund.</w:t>
      </w:r>
    </w:p>
    <w:p>
      <w:pPr>
        <w:spacing w:after="0" w:line="13" w:lineRule="exact"/>
        <w:rPr>
          <w:rFonts w:ascii="Calibri" w:cs="Calibri" w:eastAsia="Calibri" w:hAnsi="Calibri"/>
          <w:sz w:val="20"/>
          <w:szCs w:val="20"/>
          <w:color w:val="auto"/>
        </w:rPr>
      </w:pPr>
    </w:p>
    <w:p>
      <w:pPr>
        <w:jc w:val="both"/>
        <w:ind w:left="1140" w:hanging="473"/>
        <w:spacing w:after="0" w:line="237" w:lineRule="auto"/>
        <w:tabs>
          <w:tab w:leader="none" w:pos="1140" w:val="left"/>
        </w:tabs>
        <w:numPr>
          <w:ilvl w:val="0"/>
          <w:numId w:val="231"/>
        </w:numPr>
        <w:rPr>
          <w:rFonts w:ascii="Calibri" w:cs="Calibri" w:eastAsia="Calibri" w:hAnsi="Calibri"/>
          <w:sz w:val="20"/>
          <w:szCs w:val="20"/>
          <w:color w:val="auto"/>
        </w:rPr>
      </w:pPr>
      <w:r>
        <w:rPr>
          <w:rFonts w:ascii="Calibri" w:cs="Calibri" w:eastAsia="Calibri" w:hAnsi="Calibri"/>
          <w:sz w:val="20"/>
          <w:szCs w:val="20"/>
          <w:color w:val="auto"/>
        </w:rPr>
        <w:t>Purchases of Invivyd stock in the Invivyd Employee Stock Purchase Plan, if any, resultng from periodic contributons of money to the plan pursuant to the electons made at the tme of enrollment in the plan. This Policy also does not apply to purchases of Invivyd stock resultng from lump sum contributons to the plan, provided that the partcipant elected to partcipate by lump-sum payment at the beginning of the applicable enrollment period. This Policy does apply to a partcipant’s electon to partcipate in or increase his or her partcipaton in the plan, and to a partcipant’s sales of Invivyd stock purchased pursuant to the plan.</w:t>
      </w:r>
    </w:p>
    <w:p>
      <w:pPr>
        <w:spacing w:after="0" w:line="100"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8.0</w:t>
      </w:r>
      <w:r>
        <w:rPr>
          <w:sz w:val="20"/>
          <w:szCs w:val="20"/>
          <w:color w:val="auto"/>
        </w:rPr>
        <w:tab/>
      </w:r>
      <w:r>
        <w:rPr>
          <w:rFonts w:ascii="Calibri" w:cs="Calibri" w:eastAsia="Calibri" w:hAnsi="Calibri"/>
          <w:sz w:val="20"/>
          <w:szCs w:val="20"/>
          <w:b w:val="1"/>
          <w:bCs w:val="1"/>
          <w:color w:val="auto"/>
        </w:rPr>
        <w:t>GIFTS</w:t>
      </w:r>
    </w:p>
    <w:p>
      <w:pPr>
        <w:spacing w:after="0" w:line="61" w:lineRule="exact"/>
        <w:rPr>
          <w:sz w:val="20"/>
          <w:szCs w:val="20"/>
          <w:color w:val="auto"/>
        </w:rPr>
      </w:pPr>
    </w:p>
    <w:p>
      <w:pPr>
        <w:ind w:left="760" w:right="100"/>
        <w:spacing w:after="0" w:line="237" w:lineRule="auto"/>
        <w:rPr>
          <w:sz w:val="20"/>
          <w:szCs w:val="20"/>
          <w:color w:val="auto"/>
        </w:rPr>
      </w:pPr>
      <w:r>
        <w:rPr>
          <w:rFonts w:ascii="Calibri" w:cs="Calibri" w:eastAsia="Calibri" w:hAnsi="Calibri"/>
          <w:sz w:val="20"/>
          <w:szCs w:val="20"/>
          <w:color w:val="auto"/>
        </w:rPr>
        <w:t>Bona fde gifs of securites of Invivyd (including transfers of securites of Invivyd made to trusts for estate planning purposes, as well as charitable contributons) are not transactons restricted by this Policy, unless the person making the gif has reason to believe that the recipient intends to sell such securites while the person making the gif is aware of Material Non-Public Informaton, or unless the person making the gif is a Restricted Person and a sale of such securites by the recipient is likely to occur during a Blackout Period, provided that all gif transactons are subject to the pre-clearance requirements specifed in Secton 9.0 below.</w:t>
      </w:r>
    </w:p>
    <w:p>
      <w:pPr>
        <w:spacing w:after="0" w:line="167"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9.0</w:t>
      </w:r>
      <w:r>
        <w:rPr>
          <w:sz w:val="20"/>
          <w:szCs w:val="20"/>
          <w:color w:val="auto"/>
        </w:rPr>
        <w:tab/>
      </w:r>
      <w:r>
        <w:rPr>
          <w:rFonts w:ascii="Calibri" w:cs="Calibri" w:eastAsia="Calibri" w:hAnsi="Calibri"/>
          <w:sz w:val="20"/>
          <w:szCs w:val="20"/>
          <w:b w:val="1"/>
          <w:bCs w:val="1"/>
          <w:color w:val="auto"/>
        </w:rPr>
        <w:t>TRADING PRE-CLEARANCE</w:t>
      </w:r>
    </w:p>
    <w:p>
      <w:pPr>
        <w:spacing w:after="0" w:line="61" w:lineRule="exact"/>
        <w:rPr>
          <w:sz w:val="20"/>
          <w:szCs w:val="20"/>
          <w:color w:val="auto"/>
        </w:rPr>
      </w:pPr>
    </w:p>
    <w:p>
      <w:pPr>
        <w:ind w:left="680" w:right="380"/>
        <w:spacing w:after="0" w:line="234" w:lineRule="auto"/>
        <w:rPr>
          <w:sz w:val="20"/>
          <w:szCs w:val="20"/>
          <w:color w:val="auto"/>
        </w:rPr>
      </w:pPr>
      <w:r>
        <w:rPr>
          <w:rFonts w:ascii="Calibri" w:cs="Calibri" w:eastAsia="Calibri" w:hAnsi="Calibri"/>
          <w:sz w:val="20"/>
          <w:szCs w:val="20"/>
          <w:color w:val="auto"/>
        </w:rPr>
        <w:t>All Invivyd ofcers, directors and employees and others as may be identfed by Invivyd’s Chief Financial Ofcer and/or Chief Legal Ofcer (a “</w:t>
      </w:r>
      <w:r>
        <w:rPr>
          <w:rFonts w:ascii="Calibri" w:cs="Calibri" w:eastAsia="Calibri" w:hAnsi="Calibri"/>
          <w:sz w:val="20"/>
          <w:szCs w:val="20"/>
          <w:b w:val="1"/>
          <w:bCs w:val="1"/>
          <w:i w:val="1"/>
          <w:iCs w:val="1"/>
          <w:color w:val="auto"/>
        </w:rPr>
        <w:t>Pre-Clearance Designee</w:t>
      </w:r>
      <w:r>
        <w:rPr>
          <w:rFonts w:ascii="Calibri" w:cs="Calibri" w:eastAsia="Calibri" w:hAnsi="Calibri"/>
          <w:sz w:val="20"/>
          <w:szCs w:val="20"/>
          <w:color w:val="auto"/>
        </w:rPr>
        <w:t>”) must obtain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57" w:name="page258"/>
    <w:bookmarkEnd w:id="257"/>
    <w:p>
      <w:pPr>
        <w:ind w:left="680" w:right="20"/>
        <w:spacing w:after="0" w:line="237" w:lineRule="auto"/>
        <w:rPr>
          <w:sz w:val="20"/>
          <w:szCs w:val="20"/>
          <w:color w:val="auto"/>
        </w:rPr>
      </w:pPr>
      <w:r>
        <w:rPr>
          <w:rFonts w:ascii="Calibri" w:cs="Calibri" w:eastAsia="Calibri" w:hAnsi="Calibri"/>
          <w:sz w:val="20"/>
          <w:szCs w:val="20"/>
          <w:color w:val="auto"/>
        </w:rPr>
        <w:t>pre-clearance by the Chief Financial Ofcer and/or Invivyd’s Chief Legal Ofcer (each an “</w:t>
      </w:r>
      <w:r>
        <w:rPr>
          <w:rFonts w:ascii="Calibri" w:cs="Calibri" w:eastAsia="Calibri" w:hAnsi="Calibri"/>
          <w:sz w:val="20"/>
          <w:szCs w:val="20"/>
          <w:b w:val="1"/>
          <w:bCs w:val="1"/>
          <w:i w:val="1"/>
          <w:iCs w:val="1"/>
          <w:color w:val="auto"/>
        </w:rPr>
        <w:t>Approving Person</w:t>
      </w:r>
      <w:r>
        <w:rPr>
          <w:rFonts w:ascii="Calibri" w:cs="Calibri" w:eastAsia="Calibri" w:hAnsi="Calibri"/>
          <w:sz w:val="20"/>
          <w:szCs w:val="20"/>
          <w:color w:val="auto"/>
        </w:rPr>
        <w:t>”) before engaging in any transacton involving Invivyd securites, including, but not limited to, purchases, sales, and gifs. Pre-Clearance Designees will be notfed from tme to tme by the Chief Financial Ofcer and/or the Chief Legal Ofcer of the applicable pre-clearance or other procedures applicable to them. Neither Approving Person may engage in a transacton in Invivyd securites unless the other Approving Person has pre-cleared the transacton.</w:t>
      </w:r>
    </w:p>
    <w:p>
      <w:pPr>
        <w:spacing w:after="0" w:line="253" w:lineRule="exact"/>
        <w:rPr>
          <w:sz w:val="20"/>
          <w:szCs w:val="20"/>
          <w:color w:val="auto"/>
        </w:rPr>
      </w:pPr>
    </w:p>
    <w:p>
      <w:pPr>
        <w:ind w:left="680" w:right="40"/>
        <w:spacing w:after="0" w:line="237" w:lineRule="auto"/>
        <w:rPr>
          <w:sz w:val="20"/>
          <w:szCs w:val="20"/>
          <w:color w:val="auto"/>
        </w:rPr>
      </w:pPr>
      <w:r>
        <w:rPr>
          <w:rFonts w:ascii="Calibri" w:cs="Calibri" w:eastAsia="Calibri" w:hAnsi="Calibri"/>
          <w:sz w:val="20"/>
          <w:szCs w:val="20"/>
          <w:color w:val="auto"/>
        </w:rPr>
        <w:t>The Approving Persons are under no obligaton to approve a transacton submited for pre-clearance and may determine not to permit a transacton, even if it would not violate the federal securites laws or a specifc provision of this Policy. If a request for pre-clearance is approved, the Pre-Clearance Designee has two business days from the date of approval to efect the transacton (or, if sooner, before commencement of a Blackout Period). Under no circumstance may a Pre-Clearance Designee engage in any transacton involving Invivyd securites while aware of Material Non-Public Informaton, even if pre-cleared. Thus, if a Pre-Clearance Designee becomes aware of Material Non-Public Informaton afer receiving pre-clearance, but before the trade has been executed, the Pre-Clearance Designee must not proceed with the pre-cleared transacton.</w:t>
      </w:r>
    </w:p>
    <w:p>
      <w:pPr>
        <w:spacing w:after="0" w:line="256" w:lineRule="exact"/>
        <w:rPr>
          <w:sz w:val="20"/>
          <w:szCs w:val="20"/>
          <w:color w:val="auto"/>
        </w:rPr>
      </w:pPr>
    </w:p>
    <w:p>
      <w:pPr>
        <w:ind w:left="680" w:right="20"/>
        <w:spacing w:after="0" w:line="236" w:lineRule="auto"/>
        <w:rPr>
          <w:sz w:val="20"/>
          <w:szCs w:val="20"/>
          <w:color w:val="auto"/>
        </w:rPr>
      </w:pPr>
      <w:r>
        <w:rPr>
          <w:rFonts w:ascii="Calibri" w:cs="Calibri" w:eastAsia="Calibri" w:hAnsi="Calibri"/>
          <w:sz w:val="20"/>
          <w:szCs w:val="20"/>
          <w:color w:val="auto"/>
        </w:rPr>
        <w:t>Pre-clearance of any partcular transacton does not insulate any Pre-Clearance Designee from liability under the securites laws. The ultmate responsibility for determining whether an individual is aware of Material Non-Public Informaton about Invivyd rests with that individual in all cases.</w:t>
      </w:r>
    </w:p>
    <w:p>
      <w:pPr>
        <w:spacing w:after="0" w:line="252" w:lineRule="exact"/>
        <w:rPr>
          <w:sz w:val="20"/>
          <w:szCs w:val="20"/>
          <w:color w:val="auto"/>
        </w:rPr>
      </w:pPr>
    </w:p>
    <w:p>
      <w:pPr>
        <w:ind w:left="680" w:right="260"/>
        <w:spacing w:after="0" w:line="236" w:lineRule="auto"/>
        <w:rPr>
          <w:sz w:val="20"/>
          <w:szCs w:val="20"/>
          <w:color w:val="auto"/>
        </w:rPr>
      </w:pPr>
      <w:r>
        <w:rPr>
          <w:rFonts w:ascii="Calibri" w:cs="Calibri" w:eastAsia="Calibri" w:hAnsi="Calibri"/>
          <w:sz w:val="20"/>
          <w:szCs w:val="20"/>
          <w:color w:val="auto"/>
        </w:rPr>
        <w:t>Regardless of the other provisions under this Policy, including whether pre-clearance is obtained, all Pre-Clearance Designees must promptly report any purchases or sales or gifs of Invivyd’s securites to the Chief Legal Ofcer to permit tmely preparaton of any necessary flings with the Securites and Exchange Commission.</w:t>
      </w:r>
    </w:p>
    <w:p>
      <w:pPr>
        <w:spacing w:after="0" w:line="97"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10.0</w:t>
      </w:r>
      <w:r>
        <w:rPr>
          <w:sz w:val="20"/>
          <w:szCs w:val="20"/>
          <w:color w:val="auto"/>
        </w:rPr>
        <w:tab/>
      </w:r>
      <w:r>
        <w:rPr>
          <w:rFonts w:ascii="Calibri" w:cs="Calibri" w:eastAsia="Calibri" w:hAnsi="Calibri"/>
          <w:sz w:val="20"/>
          <w:szCs w:val="20"/>
          <w:b w:val="1"/>
          <w:bCs w:val="1"/>
          <w:color w:val="auto"/>
        </w:rPr>
        <w:t>RULE 10B5-1 TRADING PLANS</w:t>
      </w:r>
    </w:p>
    <w:p>
      <w:pPr>
        <w:spacing w:after="0" w:line="61" w:lineRule="exact"/>
        <w:rPr>
          <w:sz w:val="20"/>
          <w:szCs w:val="20"/>
          <w:color w:val="auto"/>
        </w:rPr>
      </w:pPr>
    </w:p>
    <w:p>
      <w:pPr>
        <w:jc w:val="both"/>
        <w:ind w:left="680" w:right="160"/>
        <w:spacing w:after="0" w:line="236" w:lineRule="auto"/>
        <w:rPr>
          <w:sz w:val="20"/>
          <w:szCs w:val="20"/>
          <w:color w:val="auto"/>
        </w:rPr>
      </w:pPr>
      <w:r>
        <w:rPr>
          <w:rFonts w:ascii="Calibri" w:cs="Calibri" w:eastAsia="Calibri" w:hAnsi="Calibri"/>
          <w:sz w:val="20"/>
          <w:szCs w:val="20"/>
          <w:color w:val="auto"/>
        </w:rPr>
        <w:t>This secton sets forth guidelines for any trading plan (a “</w:t>
      </w:r>
      <w:r>
        <w:rPr>
          <w:rFonts w:ascii="Calibri" w:cs="Calibri" w:eastAsia="Calibri" w:hAnsi="Calibri"/>
          <w:sz w:val="20"/>
          <w:szCs w:val="20"/>
          <w:b w:val="1"/>
          <w:bCs w:val="1"/>
          <w:i w:val="1"/>
          <w:iCs w:val="1"/>
          <w:color w:val="auto"/>
        </w:rPr>
        <w:t>10b5-1 trading plan</w:t>
      </w:r>
      <w:r>
        <w:rPr>
          <w:rFonts w:ascii="Calibri" w:cs="Calibri" w:eastAsia="Calibri" w:hAnsi="Calibri"/>
          <w:sz w:val="20"/>
          <w:szCs w:val="20"/>
          <w:color w:val="auto"/>
        </w:rPr>
        <w:t>”) adopted under Rule 10b5-1 (“</w:t>
      </w:r>
      <w:r>
        <w:rPr>
          <w:rFonts w:ascii="Calibri" w:cs="Calibri" w:eastAsia="Calibri" w:hAnsi="Calibri"/>
          <w:sz w:val="20"/>
          <w:szCs w:val="20"/>
          <w:b w:val="1"/>
          <w:bCs w:val="1"/>
          <w:i w:val="1"/>
          <w:iCs w:val="1"/>
          <w:color w:val="auto"/>
        </w:rPr>
        <w:t>Rule 10b5-1</w:t>
      </w:r>
      <w:r>
        <w:rPr>
          <w:rFonts w:ascii="Calibri" w:cs="Calibri" w:eastAsia="Calibri" w:hAnsi="Calibri"/>
          <w:sz w:val="20"/>
          <w:szCs w:val="20"/>
          <w:color w:val="auto"/>
        </w:rPr>
        <w:t>”) of the Securites Exchange Act of 1934, as amended (the “</w:t>
      </w:r>
      <w:r>
        <w:rPr>
          <w:rFonts w:ascii="Calibri" w:cs="Calibri" w:eastAsia="Calibri" w:hAnsi="Calibri"/>
          <w:sz w:val="20"/>
          <w:szCs w:val="20"/>
          <w:b w:val="1"/>
          <w:bCs w:val="1"/>
          <w:i w:val="1"/>
          <w:iCs w:val="1"/>
          <w:color w:val="auto"/>
        </w:rPr>
        <w:t>Exchange Act</w:t>
      </w:r>
      <w:r>
        <w:rPr>
          <w:rFonts w:ascii="Calibri" w:cs="Calibri" w:eastAsia="Calibri" w:hAnsi="Calibri"/>
          <w:sz w:val="20"/>
          <w:szCs w:val="20"/>
          <w:color w:val="auto"/>
        </w:rPr>
        <w:t>”), covering publicly traded stock of Invivyd. In additon to honoring these guidelines, all 10b5-1 trading plans, along with any amendments or modifcatons to those plans, must comply with Rule 10b5-1.</w:t>
      </w:r>
    </w:p>
    <w:p>
      <w:pPr>
        <w:spacing w:after="0" w:line="12" w:lineRule="exact"/>
        <w:rPr>
          <w:sz w:val="20"/>
          <w:szCs w:val="20"/>
          <w:color w:val="auto"/>
        </w:rPr>
      </w:pPr>
    </w:p>
    <w:p>
      <w:pPr>
        <w:jc w:val="both"/>
        <w:ind w:left="1440" w:hanging="384"/>
        <w:spacing w:after="0" w:line="226" w:lineRule="auto"/>
        <w:tabs>
          <w:tab w:leader="none" w:pos="1440" w:val="left"/>
        </w:tabs>
        <w:numPr>
          <w:ilvl w:val="0"/>
          <w:numId w:val="23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Partcipants. </w:t>
      </w:r>
      <w:r>
        <w:rPr>
          <w:rFonts w:ascii="Calibri" w:cs="Calibri" w:eastAsia="Calibri" w:hAnsi="Calibri"/>
          <w:sz w:val="20"/>
          <w:szCs w:val="20"/>
          <w:color w:val="auto"/>
        </w:rPr>
        <w:t>Invivyd’s directors, executve ofcers and other employees at the vice president level and above are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strongly encouraged to adopt a 10b5-1 trading plan to govern all trades they make involving Invivyd’s securites.</w:t>
      </w:r>
      <w:r>
        <w:rPr>
          <w:rFonts w:ascii="Calibri" w:cs="Calibri" w:eastAsia="Calibri" w:hAnsi="Calibri"/>
          <w:sz w:val="26"/>
          <w:szCs w:val="26"/>
          <w:color w:val="auto"/>
          <w:vertAlign w:val="superscript"/>
        </w:rPr>
        <w:t>1</w:t>
      </w:r>
      <w:r>
        <w:rPr>
          <w:rFonts w:ascii="Calibri" w:cs="Calibri" w:eastAsia="Calibri" w:hAnsi="Calibri"/>
          <w:sz w:val="20"/>
          <w:szCs w:val="20"/>
          <w:color w:val="auto"/>
        </w:rPr>
        <w:t xml:space="preserve"> For purposes of these guidelines, Invivyd’s directors and executve ofcers are collectvely referred to as “directors and ofcers.” The Chief Legal Ofcer has the power to allow additonal Invivyd employees to adopt a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1688465" cy="508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98" w:lineRule="exact"/>
        <w:rPr>
          <w:sz w:val="20"/>
          <w:szCs w:val="20"/>
          <w:color w:val="auto"/>
        </w:rPr>
      </w:pPr>
    </w:p>
    <w:p>
      <w:pPr>
        <w:ind w:left="100" w:hanging="92"/>
        <w:spacing w:after="0"/>
        <w:tabs>
          <w:tab w:leader="none" w:pos="100" w:val="left"/>
        </w:tabs>
        <w:numPr>
          <w:ilvl w:val="0"/>
          <w:numId w:val="233"/>
        </w:numPr>
        <w:rPr>
          <w:rFonts w:ascii="Calibri" w:cs="Calibri" w:eastAsia="Calibri" w:hAnsi="Calibri"/>
          <w:sz w:val="24"/>
          <w:szCs w:val="24"/>
          <w:color w:val="auto"/>
          <w:vertAlign w:val="superscript"/>
        </w:rPr>
      </w:pPr>
      <w:r>
        <w:rPr>
          <w:rFonts w:ascii="Calibri" w:cs="Calibri" w:eastAsia="Calibri" w:hAnsi="Calibri"/>
          <w:sz w:val="18"/>
          <w:szCs w:val="18"/>
          <w:color w:val="auto"/>
        </w:rPr>
        <w:t>Investment funds afliated with directors of Invivyd are not subject to these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58" w:name="page259"/>
    <w:bookmarkEnd w:id="258"/>
    <w:p>
      <w:pPr>
        <w:jc w:val="both"/>
        <w:ind w:left="364" w:right="100" w:hanging="364"/>
        <w:spacing w:after="0" w:line="236" w:lineRule="auto"/>
        <w:tabs>
          <w:tab w:leader="none" w:pos="364" w:val="left"/>
        </w:tabs>
        <w:numPr>
          <w:ilvl w:val="0"/>
          <w:numId w:val="23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Plan and Approval. </w:t>
      </w:r>
      <w:r>
        <w:rPr>
          <w:rFonts w:ascii="Calibri" w:cs="Calibri" w:eastAsia="Calibri" w:hAnsi="Calibri"/>
          <w:sz w:val="20"/>
          <w:szCs w:val="20"/>
          <w:color w:val="auto"/>
        </w:rPr>
        <w:t>The 10b5-1 trading plan must be submited to the Chief Legal Ofcer for review and approval 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least fve business days prior to its adopton, modifcaton, or terminaton (or such shorter period of tme as determined by the Chief Legal Ofcer in his or her sole discreton). The 10b5-1 trading plan must be in writng and signed by the partcipant establishing the plan. Invivyd will keep a copy of each 10b5-1 trading plan.</w:t>
      </w:r>
    </w:p>
    <w:p>
      <w:pPr>
        <w:spacing w:after="0" w:line="11" w:lineRule="exact"/>
        <w:rPr>
          <w:rFonts w:ascii="Calibri" w:cs="Calibri" w:eastAsia="Calibri" w:hAnsi="Calibri"/>
          <w:sz w:val="20"/>
          <w:szCs w:val="20"/>
          <w:color w:val="auto"/>
        </w:rPr>
      </w:pPr>
    </w:p>
    <w:p>
      <w:pPr>
        <w:ind w:left="384" w:right="40" w:hanging="384"/>
        <w:spacing w:after="0" w:line="238" w:lineRule="auto"/>
        <w:tabs>
          <w:tab w:leader="none" w:pos="384" w:val="left"/>
        </w:tabs>
        <w:numPr>
          <w:ilvl w:val="0"/>
          <w:numId w:val="23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Timing and Term of a Plan. </w:t>
      </w:r>
      <w:r>
        <w:rPr>
          <w:rFonts w:ascii="Calibri" w:cs="Calibri" w:eastAsia="Calibri" w:hAnsi="Calibri"/>
          <w:sz w:val="20"/>
          <w:szCs w:val="20"/>
          <w:color w:val="auto"/>
        </w:rPr>
        <w:t>There are limits on when a 10b5-1 trading plan can be adopted, so plan ahead. In short,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there are two conditons that must exist when a partcipant sets up a plan: the trading window under this Policy is open and the partcipant does not possess Material Non-Public Informaton about Invivyd. Partcipants must enter into a plan in good faith and not as part of a plan or scheme to evade the prohibitons of Rule 10b5-1 under the Exchange Act. All 10b5-1 trading plans adopted by directors and ofcers of the company must include a certfcaton that, at the tme of adopton or modifcaton, as applicable, such individual (i) does not possess any Material Non-Public Informaton about Invivyd or its securites and (ii) is adoptng the 10b5-1 trading plan in good faith and not as part of a plan or scheme to evade insider trading prohibitons of Rule 10b-5 under the Exchange Act. No 10b5-1 trading plan may have a term longer than 24 months. However, 10b5-1 trading plans can provide for early terminaton in certain circumstances, such as if a partcipant’s employment or directorship ends, as approved by the Chief Legal Ofcer.</w:t>
      </w:r>
    </w:p>
    <w:p>
      <w:pPr>
        <w:spacing w:after="0" w:line="184" w:lineRule="exact"/>
        <w:rPr>
          <w:rFonts w:ascii="Calibri" w:cs="Calibri" w:eastAsia="Calibri" w:hAnsi="Calibri"/>
          <w:sz w:val="20"/>
          <w:szCs w:val="20"/>
          <w:color w:val="auto"/>
        </w:rPr>
      </w:pPr>
    </w:p>
    <w:p>
      <w:pPr>
        <w:ind w:left="384" w:hanging="384"/>
        <w:spacing w:after="0"/>
        <w:tabs>
          <w:tab w:leader="none" w:pos="384" w:val="left"/>
        </w:tabs>
        <w:numPr>
          <w:ilvl w:val="0"/>
          <w:numId w:val="23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Timing of a Plan Amendment or Modifcaton. </w:t>
      </w:r>
      <w:r>
        <w:rPr>
          <w:rFonts w:ascii="Calibri" w:cs="Calibri" w:eastAsia="Calibri" w:hAnsi="Calibri"/>
          <w:sz w:val="20"/>
          <w:szCs w:val="20"/>
          <w:color w:val="auto"/>
        </w:rPr>
        <w:t>If the term of the 10b5-1 trading plan is at least 12 months (an “</w:t>
      </w:r>
      <w:r>
        <w:rPr>
          <w:rFonts w:ascii="Calibri" w:cs="Calibri" w:eastAsia="Calibri" w:hAnsi="Calibri"/>
          <w:sz w:val="20"/>
          <w:szCs w:val="20"/>
          <w:b w:val="1"/>
          <w:bCs w:val="1"/>
          <w:i w:val="1"/>
          <w:iCs w:val="1"/>
          <w:color w:val="auto"/>
        </w:rPr>
        <w:t>Eligible</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Plan</w:t>
      </w:r>
      <w:r>
        <w:rPr>
          <w:rFonts w:ascii="Calibri" w:cs="Calibri" w:eastAsia="Calibri" w:hAnsi="Calibri"/>
          <w:sz w:val="20"/>
          <w:szCs w:val="20"/>
          <w:color w:val="auto"/>
        </w:rPr>
        <w:t>”), such Eligible Plan may be amended or modifed but only during an open trading window and when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partcipant does not possess Material Non-Public Informaton about Invivyd. The amendment or modifcaton to such Eligible Plan must include a certfcaton to that efect. Each Eligible Plan shall be limited to a total of one modifcaton. The modifed trading plan must have a minimum duraton of six (6) months from the tme when trades may frst occur under the modifed plan in accordance with these requirements. See “</w:t>
      </w:r>
      <w:r>
        <w:rPr>
          <w:rFonts w:ascii="Calibri" w:cs="Calibri" w:eastAsia="Calibri" w:hAnsi="Calibri"/>
          <w:sz w:val="20"/>
          <w:szCs w:val="20"/>
          <w:i w:val="1"/>
          <w:iCs w:val="1"/>
          <w:color w:val="auto"/>
        </w:rPr>
        <w:t>Cooling-Of Period Upon Certain Amendments or</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Modifcatons to an Existng 10b5-1 Trading Plan</w:t>
      </w:r>
      <w:r>
        <w:rPr>
          <w:rFonts w:ascii="Calibri" w:cs="Calibri" w:eastAsia="Calibri" w:hAnsi="Calibri"/>
          <w:sz w:val="20"/>
          <w:szCs w:val="20"/>
          <w:color w:val="auto"/>
        </w:rPr>
        <w:t>” below for details regarding cooling-of periods applicable to modifed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trading plans.</w:t>
      </w:r>
    </w:p>
    <w:p>
      <w:pPr>
        <w:spacing w:after="0" w:line="200" w:lineRule="exact"/>
        <w:rPr>
          <w:rFonts w:ascii="Calibri" w:cs="Calibri" w:eastAsia="Calibri" w:hAnsi="Calibri"/>
          <w:sz w:val="20"/>
          <w:szCs w:val="20"/>
          <w:color w:val="auto"/>
        </w:rPr>
      </w:pPr>
    </w:p>
    <w:p>
      <w:pPr>
        <w:spacing w:after="0" w:line="224" w:lineRule="exact"/>
        <w:rPr>
          <w:rFonts w:ascii="Calibri" w:cs="Calibri" w:eastAsia="Calibri" w:hAnsi="Calibri"/>
          <w:sz w:val="20"/>
          <w:szCs w:val="20"/>
          <w:color w:val="auto"/>
        </w:rPr>
      </w:pPr>
    </w:p>
    <w:p>
      <w:pPr>
        <w:ind w:left="384" w:hanging="384"/>
        <w:spacing w:after="0" w:line="236" w:lineRule="auto"/>
        <w:tabs>
          <w:tab w:leader="none" w:pos="384" w:val="left"/>
        </w:tabs>
        <w:numPr>
          <w:ilvl w:val="0"/>
          <w:numId w:val="23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Terminaton. </w:t>
      </w:r>
      <w:r>
        <w:rPr>
          <w:rFonts w:ascii="Calibri" w:cs="Calibri" w:eastAsia="Calibri" w:hAnsi="Calibri"/>
          <w:sz w:val="20"/>
          <w:szCs w:val="20"/>
          <w:color w:val="auto"/>
        </w:rPr>
        <w:t>Voluntary terminaton of a 10b5-1 trading plan may only take place during an open trading window when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partcipant is not in possession of Material Non-Public Informaton, and with the approval of the Chief Legal Ofcer. If a partcipant terminates their 10b5-1 trading plan early, they may not trade outside of a 10b5-1 plan for a period of at least 30 days, and may not enter into a new 10b5-1 trading plan untl the later of:</w:t>
      </w:r>
    </w:p>
    <w:p>
      <w:pPr>
        <w:spacing w:after="0" w:line="191" w:lineRule="exact"/>
        <w:rPr>
          <w:sz w:val="20"/>
          <w:szCs w:val="20"/>
          <w:color w:val="auto"/>
        </w:rPr>
      </w:pPr>
    </w:p>
    <w:p>
      <w:pPr>
        <w:ind w:left="1124" w:hanging="375"/>
        <w:spacing w:after="0"/>
        <w:tabs>
          <w:tab w:leader="none" w:pos="1124" w:val="left"/>
        </w:tabs>
        <w:numPr>
          <w:ilvl w:val="0"/>
          <w:numId w:val="235"/>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six-month anniversary of the date the terminated 10b5-1 trading plan was adopted; and</w:t>
      </w:r>
    </w:p>
    <w:p>
      <w:pPr>
        <w:spacing w:after="0" w:line="187" w:lineRule="exact"/>
        <w:rPr>
          <w:rFonts w:ascii="Times New Roman" w:cs="Times New Roman" w:eastAsia="Times New Roman" w:hAnsi="Times New Roman"/>
          <w:sz w:val="20"/>
          <w:szCs w:val="20"/>
          <w:color w:val="auto"/>
        </w:rPr>
      </w:pPr>
    </w:p>
    <w:p>
      <w:pPr>
        <w:ind w:left="1124" w:hanging="375"/>
        <w:spacing w:after="0"/>
        <w:tabs>
          <w:tab w:leader="none" w:pos="1124" w:val="left"/>
        </w:tabs>
        <w:numPr>
          <w:ilvl w:val="0"/>
          <w:numId w:val="235"/>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conclusion of the next quarterly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1019810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4"/>
          </w:cols>
          <w:pgMar w:left="1376" w:top="1411" w:right="359" w:bottom="1440" w:gutter="0" w:footer="0" w:header="0"/>
        </w:sectPr>
      </w:pPr>
    </w:p>
    <w:bookmarkStart w:id="259" w:name="page260"/>
    <w:bookmarkEnd w:id="259"/>
    <w:p>
      <w:pPr>
        <w:ind w:left="384" w:hanging="384"/>
        <w:spacing w:after="0" w:line="237" w:lineRule="auto"/>
        <w:tabs>
          <w:tab w:leader="none" w:pos="384" w:val="left"/>
        </w:tabs>
        <w:numPr>
          <w:ilvl w:val="0"/>
          <w:numId w:val="23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Delayed Efectveness of Adopton (“Cooling-Of Period”). </w:t>
      </w:r>
      <w:r>
        <w:rPr>
          <w:rFonts w:ascii="Calibri" w:cs="Calibri" w:eastAsia="Calibri" w:hAnsi="Calibri"/>
          <w:sz w:val="20"/>
          <w:szCs w:val="20"/>
          <w:color w:val="auto"/>
        </w:rPr>
        <w:t>All 10b5-1 trading plans shall be subject to a “cooling-of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period” between the date of the establishment of the 10b5-1 trading plan and the frst trade efected pursuant to such plan. For directors and ofcers, the frst trade under a 10b5-1 trading plan cannot occur untl afer the later of (i) 90 days following the date of establishment of such plan and (ii) two business days following the fling of the Form 10-Q or Form 10-K for the fscal quarter in which the plan was adopted, but, in any event, the maximum required cooling-of period is 120 days. For those who are not a director or ofcer, the frst trade under a 10b5-1 trading plan cannot occur untl afer at least 30 days following the date of establishment of such plan.</w:t>
      </w:r>
    </w:p>
    <w:p>
      <w:pPr>
        <w:spacing w:after="0" w:line="188" w:lineRule="exact"/>
        <w:rPr>
          <w:rFonts w:ascii="Calibri" w:cs="Calibri" w:eastAsia="Calibri" w:hAnsi="Calibri"/>
          <w:sz w:val="20"/>
          <w:szCs w:val="20"/>
          <w:color w:val="auto"/>
        </w:rPr>
      </w:pPr>
    </w:p>
    <w:p>
      <w:pPr>
        <w:ind w:left="384" w:right="300" w:hanging="384"/>
        <w:spacing w:after="0" w:line="237" w:lineRule="auto"/>
        <w:tabs>
          <w:tab w:leader="none" w:pos="384" w:val="left"/>
        </w:tabs>
        <w:numPr>
          <w:ilvl w:val="0"/>
          <w:numId w:val="23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Cooling-Of Period and Other Requirements Upon Certain Amendments or Modifcatons to an Existng 10b5-1 Trading Plan. </w:t>
      </w:r>
      <w:r>
        <w:rPr>
          <w:rFonts w:ascii="Calibri" w:cs="Calibri" w:eastAsia="Calibri" w:hAnsi="Calibri"/>
          <w:sz w:val="20"/>
          <w:szCs w:val="20"/>
          <w:color w:val="auto"/>
        </w:rPr>
        <w:t>If a 10b5-1 trading plan is modifed to change price, amount, or tming of the purchase or sale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securites underlying the trading plan (or a modifcaton or change to a writen formula or algorithm, or computer program that afects the amount, price or tming of the purchase or sale of the securites), such modifcaton will be subject to all of the requirements of this Policy applicable to the adopton of a new trading plan.</w:t>
      </w:r>
    </w:p>
    <w:p>
      <w:pPr>
        <w:spacing w:after="0" w:line="198" w:lineRule="exact"/>
        <w:rPr>
          <w:rFonts w:ascii="Calibri" w:cs="Calibri" w:eastAsia="Calibri" w:hAnsi="Calibri"/>
          <w:sz w:val="20"/>
          <w:szCs w:val="20"/>
          <w:color w:val="auto"/>
        </w:rPr>
      </w:pPr>
    </w:p>
    <w:p>
      <w:pPr>
        <w:ind w:left="384" w:right="400" w:hanging="384"/>
        <w:spacing w:after="0" w:line="237" w:lineRule="auto"/>
        <w:tabs>
          <w:tab w:leader="none" w:pos="384" w:val="left"/>
        </w:tabs>
        <w:numPr>
          <w:ilvl w:val="0"/>
          <w:numId w:val="23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Relatonships with Plan Broker; No Subsequent Infuence. </w:t>
      </w:r>
      <w:r>
        <w:rPr>
          <w:rFonts w:ascii="Calibri" w:cs="Calibri" w:eastAsia="Calibri" w:hAnsi="Calibri"/>
          <w:sz w:val="20"/>
          <w:szCs w:val="20"/>
          <w:color w:val="auto"/>
        </w:rPr>
        <w:t>If the 10b5-1 trading plan allows a broker discreton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regarding the details of trading (e.g., tming, share amounts), the partcipant cannot communicate with the broker regarding Invivyd or its securites, or atempt to infuence how the broker exercises its discreton. In additon, any individual who executes the partcipant’s 10b5-1 trading plan must be a diferent individual from the person who executes trades for the partcipant in other securites.</w:t>
      </w:r>
    </w:p>
    <w:p>
      <w:pPr>
        <w:spacing w:after="0" w:line="185" w:lineRule="exact"/>
        <w:rPr>
          <w:rFonts w:ascii="Calibri" w:cs="Calibri" w:eastAsia="Calibri" w:hAnsi="Calibri"/>
          <w:sz w:val="20"/>
          <w:szCs w:val="20"/>
          <w:color w:val="auto"/>
        </w:rPr>
      </w:pPr>
    </w:p>
    <w:p>
      <w:pPr>
        <w:ind w:left="384" w:right="100" w:hanging="384"/>
        <w:spacing w:after="0" w:line="236" w:lineRule="auto"/>
        <w:tabs>
          <w:tab w:leader="none" w:pos="384" w:val="left"/>
        </w:tabs>
        <w:numPr>
          <w:ilvl w:val="0"/>
          <w:numId w:val="23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Plan Specifcatons; Discreton Regarding Trades. </w:t>
      </w:r>
      <w:r>
        <w:rPr>
          <w:rFonts w:ascii="Calibri" w:cs="Calibri" w:eastAsia="Calibri" w:hAnsi="Calibri"/>
          <w:sz w:val="20"/>
          <w:szCs w:val="20"/>
          <w:color w:val="auto"/>
        </w:rPr>
        <w:t>The 10b5-1 trading plan must specify the amount of stock to be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purchased or sold, or specify or set an objectve formula for determining the amount of stock to be purchased or sold. Transacton types such as market, limit, and VWAP orders are allowed. Each 10b5-1 trading plan should specify the tming of trading or allow for the broker to exercise its discreton regarding the tming of trading.</w:t>
      </w:r>
    </w:p>
    <w:p>
      <w:pPr>
        <w:spacing w:after="0" w:line="187" w:lineRule="exact"/>
        <w:rPr>
          <w:rFonts w:ascii="Calibri" w:cs="Calibri" w:eastAsia="Calibri" w:hAnsi="Calibri"/>
          <w:sz w:val="20"/>
          <w:szCs w:val="20"/>
          <w:color w:val="auto"/>
        </w:rPr>
      </w:pPr>
    </w:p>
    <w:p>
      <w:pPr>
        <w:ind w:left="384" w:hanging="384"/>
        <w:spacing w:after="0" w:line="236" w:lineRule="auto"/>
        <w:tabs>
          <w:tab w:leader="none" w:pos="384" w:val="left"/>
        </w:tabs>
        <w:numPr>
          <w:ilvl w:val="0"/>
          <w:numId w:val="23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Other Trades. </w:t>
      </w:r>
      <w:r>
        <w:rPr>
          <w:rFonts w:ascii="Calibri" w:cs="Calibri" w:eastAsia="Calibri" w:hAnsi="Calibri"/>
          <w:sz w:val="20"/>
          <w:szCs w:val="20"/>
          <w:color w:val="auto"/>
        </w:rPr>
        <w:t>Trading Invivyd’s securites outside of a partcipant’s 10b5-1 trading plan could, in certain circumstances,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jeopardize the validity of a partcipant’s plan. Therefore, except as may be approved in advance by the Chief Legal Ofcer, no partcipant entering into a 10b5-1 trading plan may make open-market purchases or sales of Invivyd’s securites while a 10b5-1 trading plan is in efect.</w:t>
      </w:r>
    </w:p>
    <w:p>
      <w:pPr>
        <w:spacing w:after="0" w:line="200" w:lineRule="exact"/>
        <w:rPr>
          <w:rFonts w:ascii="Calibri" w:cs="Calibri" w:eastAsia="Calibri" w:hAnsi="Calibri"/>
          <w:sz w:val="20"/>
          <w:szCs w:val="20"/>
          <w:color w:val="auto"/>
        </w:rPr>
      </w:pPr>
    </w:p>
    <w:p>
      <w:pPr>
        <w:ind w:left="384" w:right="40" w:hanging="384"/>
        <w:spacing w:after="0" w:line="236" w:lineRule="auto"/>
        <w:tabs>
          <w:tab w:leader="none" w:pos="384" w:val="left"/>
        </w:tabs>
        <w:numPr>
          <w:ilvl w:val="0"/>
          <w:numId w:val="23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Only One Actve Plan at Any Time. </w:t>
      </w:r>
      <w:r>
        <w:rPr>
          <w:rFonts w:ascii="Calibri" w:cs="Calibri" w:eastAsia="Calibri" w:hAnsi="Calibri"/>
          <w:sz w:val="20"/>
          <w:szCs w:val="20"/>
          <w:color w:val="auto"/>
        </w:rPr>
        <w:t>A partcipant may have only one 10b5-1 trading plan in efect at any tme,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excepton of: (i) plans that cover only “eligible sell-to-cover” transactons related to the sale of only such securites as are necessary to satsfy tax withholding obligatons arising exclusively from the vestng of a compensatory award, such as restricted stock or stock appreciaton rights (note, optons are not included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1013460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4"/>
          </w:cols>
          <w:pgMar w:left="1376" w:top="1411" w:right="359" w:bottom="1440" w:gutter="0" w:footer="0" w:header="0"/>
        </w:sectPr>
      </w:pPr>
    </w:p>
    <w:bookmarkStart w:id="260" w:name="page261"/>
    <w:bookmarkEnd w:id="260"/>
    <w:p>
      <w:pPr>
        <w:ind w:left="384" w:right="60"/>
        <w:spacing w:after="0" w:line="237" w:lineRule="auto"/>
        <w:rPr>
          <w:sz w:val="20"/>
          <w:szCs w:val="20"/>
          <w:color w:val="auto"/>
        </w:rPr>
      </w:pPr>
      <w:r>
        <w:rPr>
          <w:rFonts w:ascii="Calibri" w:cs="Calibri" w:eastAsia="Calibri" w:hAnsi="Calibri"/>
          <w:sz w:val="20"/>
          <w:szCs w:val="20"/>
          <w:color w:val="auto"/>
        </w:rPr>
        <w:t>excepton), and the partcipant does not otherwise exercise control over the tming of the sales; (ii) substtuton of a new broker to execute an existng plan with identcal sales instructons; and (iii) executng a sequenced plan where trading in the later-efectve plan does not commence untl afer all trades under the earlier-commencing plan are completed or expired without executon (however, if the earlier-commencing plan is terminated early, the frst trade under the later-commencing plan must not be scheduled to occur untl afer the applicable cooling-of period set forth above, as measured from such terminaton date of the earlier-efectve plan). For clarity with respect to (iii) in the preceding sentence, if the earlier-commencing plan is not terminated early, the cooling-of period for the later-commencing plan is measured from the date of adopton of such later-commencing plan.</w:t>
      </w:r>
    </w:p>
    <w:p>
      <w:pPr>
        <w:spacing w:after="0" w:line="191" w:lineRule="exact"/>
        <w:rPr>
          <w:sz w:val="20"/>
          <w:szCs w:val="20"/>
          <w:color w:val="auto"/>
        </w:rPr>
      </w:pPr>
    </w:p>
    <w:p>
      <w:pPr>
        <w:ind w:left="384" w:hanging="384"/>
        <w:spacing w:after="0" w:line="236" w:lineRule="auto"/>
        <w:tabs>
          <w:tab w:leader="none" w:pos="384" w:val="left"/>
        </w:tabs>
        <w:numPr>
          <w:ilvl w:val="0"/>
          <w:numId w:val="237"/>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Limitaton on Single-Trade Plans. </w:t>
      </w:r>
      <w:r>
        <w:rPr>
          <w:rFonts w:ascii="Calibri" w:cs="Calibri" w:eastAsia="Calibri" w:hAnsi="Calibri"/>
          <w:sz w:val="20"/>
          <w:szCs w:val="20"/>
          <w:color w:val="auto"/>
        </w:rPr>
        <w:t>Individuals subject to this Policy may only adopt one single-trade 10b5-1 trading plan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during any consecutve twelve-month period, with the excepton of “eligible sell-to-cover” transactons described in Rule 10b5-1. A single-trade plan for these purposes means a 10b5-1 trading plan that provides for the purchase or sale of all of the securites under the plan to occur in a single transacton.</w:t>
      </w:r>
    </w:p>
    <w:p>
      <w:pPr>
        <w:spacing w:after="0" w:line="200" w:lineRule="exact"/>
        <w:rPr>
          <w:rFonts w:ascii="Calibri" w:cs="Calibri" w:eastAsia="Calibri" w:hAnsi="Calibri"/>
          <w:sz w:val="20"/>
          <w:szCs w:val="20"/>
          <w:color w:val="auto"/>
        </w:rPr>
      </w:pPr>
    </w:p>
    <w:p>
      <w:pPr>
        <w:ind w:left="384" w:right="120" w:hanging="384"/>
        <w:spacing w:after="0" w:line="237" w:lineRule="auto"/>
        <w:tabs>
          <w:tab w:leader="none" w:pos="384" w:val="left"/>
        </w:tabs>
        <w:numPr>
          <w:ilvl w:val="0"/>
          <w:numId w:val="237"/>
        </w:numPr>
        <w:rPr>
          <w:rFonts w:ascii="Calibri" w:cs="Calibri" w:eastAsia="Calibri" w:hAnsi="Calibri"/>
          <w:sz w:val="20"/>
          <w:szCs w:val="20"/>
          <w:color w:val="auto"/>
        </w:rPr>
      </w:pPr>
      <w:r>
        <w:rPr>
          <w:rFonts w:ascii="Calibri" w:cs="Calibri" w:eastAsia="Calibri" w:hAnsi="Calibri"/>
          <w:sz w:val="20"/>
          <w:szCs w:val="20"/>
          <w:b w:val="1"/>
          <w:bCs w:val="1"/>
          <w:color w:val="auto"/>
        </w:rPr>
        <w:t>No Hedging</w:t>
      </w:r>
      <w:r>
        <w:rPr>
          <w:rFonts w:ascii="Calibri" w:cs="Calibri" w:eastAsia="Calibri" w:hAnsi="Calibri"/>
          <w:sz w:val="20"/>
          <w:szCs w:val="20"/>
          <w:color w:val="auto"/>
        </w:rPr>
        <w:t>. Individuals subject to this Policy are prohibited from engaging in any hedging or similar transactons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designed to decrease the risks associated with holding Invivyd’s securites. Likewise, before adoptng a 10b5-1 trading plan, the partcipant may not have entered into a transacton or positon that has yet to setle with respect to the securites subject to the 10b5-1 trading plan. The partcipant must also agree not to enter into any such transacton while the 10b5-1 trading plan is in efect.</w:t>
      </w:r>
    </w:p>
    <w:p>
      <w:pPr>
        <w:spacing w:after="0" w:line="185" w:lineRule="exact"/>
        <w:rPr>
          <w:rFonts w:ascii="Calibri" w:cs="Calibri" w:eastAsia="Calibri" w:hAnsi="Calibri"/>
          <w:sz w:val="20"/>
          <w:szCs w:val="20"/>
          <w:color w:val="auto"/>
        </w:rPr>
      </w:pPr>
    </w:p>
    <w:p>
      <w:pPr>
        <w:ind w:left="384" w:right="60" w:hanging="384"/>
        <w:spacing w:after="0" w:line="237" w:lineRule="auto"/>
        <w:tabs>
          <w:tab w:leader="none" w:pos="384" w:val="left"/>
        </w:tabs>
        <w:numPr>
          <w:ilvl w:val="0"/>
          <w:numId w:val="237"/>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Mandatory Suspension. </w:t>
      </w:r>
      <w:r>
        <w:rPr>
          <w:rFonts w:ascii="Calibri" w:cs="Calibri" w:eastAsia="Calibri" w:hAnsi="Calibri"/>
          <w:sz w:val="20"/>
          <w:szCs w:val="20"/>
          <w:color w:val="auto"/>
        </w:rPr>
        <w:t>Each 10b5-1 trading plan must suspend trades or terminate if legal, regulatory, or contractual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restrictons are imposed on the partcipant, or other events occur that would prohibit sales under such a plan. For example, trading would need to be suspended or the plan terminated if this Policy were amended to preclude that partcular sort of trade. Likewise, trading would need to be suspended or the plan terminated if it could create a material adverse consequence for Invivyd.</w:t>
      </w:r>
    </w:p>
    <w:p>
      <w:pPr>
        <w:spacing w:after="0" w:line="185" w:lineRule="exact"/>
        <w:rPr>
          <w:rFonts w:ascii="Calibri" w:cs="Calibri" w:eastAsia="Calibri" w:hAnsi="Calibri"/>
          <w:sz w:val="20"/>
          <w:szCs w:val="20"/>
          <w:color w:val="auto"/>
        </w:rPr>
      </w:pPr>
    </w:p>
    <w:p>
      <w:pPr>
        <w:jc w:val="both"/>
        <w:ind w:left="384" w:right="340" w:hanging="384"/>
        <w:spacing w:after="0" w:line="236" w:lineRule="auto"/>
        <w:tabs>
          <w:tab w:leader="none" w:pos="384" w:val="left"/>
        </w:tabs>
        <w:numPr>
          <w:ilvl w:val="0"/>
          <w:numId w:val="237"/>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Rule 144. </w:t>
      </w:r>
      <w:r>
        <w:rPr>
          <w:rFonts w:ascii="Calibri" w:cs="Calibri" w:eastAsia="Calibri" w:hAnsi="Calibri"/>
          <w:sz w:val="20"/>
          <w:szCs w:val="20"/>
          <w:color w:val="auto"/>
        </w:rPr>
        <w:t>Each 10b5-1 trading plan must provide for specifc procedures to comply with Rule 144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Rule 144</w:t>
      </w:r>
      <w:r>
        <w:rPr>
          <w:rFonts w:ascii="Calibri" w:cs="Calibri" w:eastAsia="Calibri" w:hAnsi="Calibri"/>
          <w:sz w:val="20"/>
          <w:szCs w:val="20"/>
          <w:color w:val="auto"/>
        </w:rPr>
        <w:t>”) under the Securites Act of 1933, as amended, including the fling of any Form 144, if applicable. If you need additonal informaton on Rule 144 and Form 144, please contact the Chief Legal Ofcer.</w:t>
      </w:r>
    </w:p>
    <w:p>
      <w:pPr>
        <w:spacing w:after="0" w:line="197" w:lineRule="exact"/>
        <w:rPr>
          <w:rFonts w:ascii="Calibri" w:cs="Calibri" w:eastAsia="Calibri" w:hAnsi="Calibri"/>
          <w:sz w:val="20"/>
          <w:szCs w:val="20"/>
          <w:color w:val="auto"/>
        </w:rPr>
      </w:pPr>
    </w:p>
    <w:p>
      <w:pPr>
        <w:ind w:left="384" w:right="20" w:hanging="384"/>
        <w:spacing w:after="0" w:line="236" w:lineRule="auto"/>
        <w:tabs>
          <w:tab w:leader="none" w:pos="384" w:val="left"/>
        </w:tabs>
        <w:numPr>
          <w:ilvl w:val="0"/>
          <w:numId w:val="237"/>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Broker Obligaton to Provide Notce of Trades. </w:t>
      </w:r>
      <w:r>
        <w:rPr>
          <w:rFonts w:ascii="Calibri" w:cs="Calibri" w:eastAsia="Calibri" w:hAnsi="Calibri"/>
          <w:sz w:val="20"/>
          <w:szCs w:val="20"/>
          <w:color w:val="auto"/>
        </w:rPr>
        <w:t>Each 10b5-1 trading plan must provide that the broker will promptly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notfy the partcipant and Invivyd of any trades under the plan so that the partcipant can make tmely flings under the Exchange Act.</w:t>
      </w:r>
    </w:p>
    <w:p>
      <w:pPr>
        <w:spacing w:after="0" w:line="184" w:lineRule="exact"/>
        <w:rPr>
          <w:rFonts w:ascii="Calibri" w:cs="Calibri" w:eastAsia="Calibri" w:hAnsi="Calibri"/>
          <w:sz w:val="20"/>
          <w:szCs w:val="20"/>
          <w:color w:val="auto"/>
        </w:rPr>
      </w:pPr>
    </w:p>
    <w:p>
      <w:pPr>
        <w:ind w:left="384" w:right="1320" w:hanging="384"/>
        <w:spacing w:after="0" w:line="234" w:lineRule="auto"/>
        <w:tabs>
          <w:tab w:leader="none" w:pos="384" w:val="left"/>
        </w:tabs>
        <w:numPr>
          <w:ilvl w:val="0"/>
          <w:numId w:val="237"/>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Partcipant Obligaton to Make Exchange Act Filings. </w:t>
      </w:r>
      <w:r>
        <w:rPr>
          <w:rFonts w:ascii="Calibri" w:cs="Calibri" w:eastAsia="Calibri" w:hAnsi="Calibri"/>
          <w:sz w:val="20"/>
          <w:szCs w:val="20"/>
          <w:color w:val="auto"/>
        </w:rPr>
        <w:t>Each 10b5-1 trading plan must contain an explicit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acknowledgement by the partcipant that all flings required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1012190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4"/>
          </w:cols>
          <w:pgMar w:left="1376" w:top="1411" w:right="359" w:bottom="1440" w:gutter="0" w:footer="0" w:header="0"/>
        </w:sectPr>
      </w:pPr>
    </w:p>
    <w:bookmarkStart w:id="261" w:name="page262"/>
    <w:bookmarkEnd w:id="261"/>
    <w:p>
      <w:pPr>
        <w:ind w:left="1440" w:right="160"/>
        <w:spacing w:after="0" w:line="234" w:lineRule="auto"/>
        <w:rPr>
          <w:sz w:val="20"/>
          <w:szCs w:val="20"/>
          <w:color w:val="auto"/>
        </w:rPr>
      </w:pPr>
      <w:r>
        <w:rPr>
          <w:rFonts w:ascii="Calibri" w:cs="Calibri" w:eastAsia="Calibri" w:hAnsi="Calibri"/>
          <w:sz w:val="20"/>
          <w:szCs w:val="20"/>
          <w:color w:val="auto"/>
        </w:rPr>
        <w:t>Exchange Act, as a result of or in connecton with trades under the plan, are the sole obligaton of the partcipant and not Invivyd.</w:t>
      </w:r>
    </w:p>
    <w:p>
      <w:pPr>
        <w:spacing w:after="0" w:line="185" w:lineRule="exact"/>
        <w:rPr>
          <w:sz w:val="20"/>
          <w:szCs w:val="20"/>
          <w:color w:val="auto"/>
        </w:rPr>
      </w:pPr>
    </w:p>
    <w:p>
      <w:pPr>
        <w:ind w:left="1440" w:right="240" w:hanging="384"/>
        <w:spacing w:after="0" w:line="234" w:lineRule="auto"/>
        <w:tabs>
          <w:tab w:leader="none" w:pos="1440" w:val="left"/>
        </w:tabs>
        <w:numPr>
          <w:ilvl w:val="0"/>
          <w:numId w:val="238"/>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Required Footnote Disclosure. </w:t>
      </w:r>
      <w:r>
        <w:rPr>
          <w:rFonts w:ascii="Calibri" w:cs="Calibri" w:eastAsia="Calibri" w:hAnsi="Calibri"/>
          <w:sz w:val="20"/>
          <w:szCs w:val="20"/>
          <w:color w:val="auto"/>
        </w:rPr>
        <w:t>Partcipants must footnote trades disclosed on Form 4 and Form 144 to indicate that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trades were made pursuant to a 10b5-1 trading plan.</w:t>
      </w:r>
    </w:p>
    <w:p>
      <w:pPr>
        <w:spacing w:after="0" w:line="189" w:lineRule="exact"/>
        <w:rPr>
          <w:rFonts w:ascii="Calibri" w:cs="Calibri" w:eastAsia="Calibri" w:hAnsi="Calibri"/>
          <w:sz w:val="20"/>
          <w:szCs w:val="20"/>
          <w:color w:val="auto"/>
        </w:rPr>
      </w:pPr>
    </w:p>
    <w:p>
      <w:pPr>
        <w:ind w:left="1440" w:hanging="384"/>
        <w:spacing w:after="0"/>
        <w:tabs>
          <w:tab w:leader="none" w:pos="1440" w:val="left"/>
        </w:tabs>
        <w:numPr>
          <w:ilvl w:val="0"/>
          <w:numId w:val="238"/>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Designated Brokers. </w:t>
      </w:r>
      <w:r>
        <w:rPr>
          <w:rFonts w:ascii="Calibri" w:cs="Calibri" w:eastAsia="Calibri" w:hAnsi="Calibri"/>
          <w:sz w:val="20"/>
          <w:szCs w:val="20"/>
          <w:color w:val="auto"/>
        </w:rPr>
        <w:t>All 10b5-1 trading plans must be established using a broker designated and approved by Invivyd.</w:t>
      </w:r>
    </w:p>
    <w:p>
      <w:pPr>
        <w:spacing w:after="0" w:line="116" w:lineRule="exact"/>
        <w:rPr>
          <w:rFonts w:ascii="Calibri" w:cs="Calibri" w:eastAsia="Calibri" w:hAnsi="Calibri"/>
          <w:sz w:val="20"/>
          <w:szCs w:val="20"/>
          <w:color w:val="auto"/>
        </w:rPr>
      </w:pPr>
    </w:p>
    <w:p>
      <w:pPr>
        <w:ind w:left="1440" w:right="520" w:hanging="384"/>
        <w:spacing w:after="0" w:line="234" w:lineRule="auto"/>
        <w:tabs>
          <w:tab w:leader="none" w:pos="1440" w:val="left"/>
        </w:tabs>
        <w:numPr>
          <w:ilvl w:val="0"/>
          <w:numId w:val="238"/>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Other Requirements. </w:t>
      </w:r>
      <w:r>
        <w:rPr>
          <w:rFonts w:ascii="Calibri" w:cs="Calibri" w:eastAsia="Calibri" w:hAnsi="Calibri"/>
          <w:sz w:val="20"/>
          <w:szCs w:val="20"/>
          <w:color w:val="auto"/>
        </w:rPr>
        <w:t>All 10b5-1 trading plans must meet such other requirements as the Chief Legal Ofcer may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determine from tme to tme.</w:t>
      </w:r>
    </w:p>
    <w:p>
      <w:pPr>
        <w:spacing w:after="0" w:line="9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11.0</w:t>
      </w:r>
      <w:r>
        <w:rPr>
          <w:sz w:val="20"/>
          <w:szCs w:val="20"/>
          <w:color w:val="auto"/>
        </w:rPr>
        <w:tab/>
      </w:r>
      <w:r>
        <w:rPr>
          <w:rFonts w:ascii="Calibri" w:cs="Calibri" w:eastAsia="Calibri" w:hAnsi="Calibri"/>
          <w:sz w:val="20"/>
          <w:szCs w:val="20"/>
          <w:b w:val="1"/>
          <w:bCs w:val="1"/>
          <w:color w:val="auto"/>
        </w:rPr>
        <w:t>OTHER PROHIBITED ACTIVITIES</w:t>
      </w:r>
    </w:p>
    <w:p>
      <w:pPr>
        <w:spacing w:after="0" w:line="61" w:lineRule="exact"/>
        <w:rPr>
          <w:sz w:val="20"/>
          <w:szCs w:val="20"/>
          <w:color w:val="auto"/>
        </w:rPr>
      </w:pPr>
    </w:p>
    <w:p>
      <w:pPr>
        <w:ind w:left="1060" w:right="60" w:hanging="378"/>
        <w:spacing w:after="0" w:line="234" w:lineRule="auto"/>
        <w:tabs>
          <w:tab w:leader="none" w:pos="1060" w:val="left"/>
        </w:tabs>
        <w:numPr>
          <w:ilvl w:val="0"/>
          <w:numId w:val="23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Short Sales of Invivyd Securites. </w:t>
      </w:r>
      <w:r>
        <w:rPr>
          <w:rFonts w:ascii="Calibri" w:cs="Calibri" w:eastAsia="Calibri" w:hAnsi="Calibri"/>
          <w:sz w:val="20"/>
          <w:szCs w:val="20"/>
          <w:color w:val="auto"/>
        </w:rPr>
        <w:t>Short sales are transactons whereby a person seeks to beneft from a decline in the price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the securites. No Invivyd Representatve is permited to engage in these transactons with respect to Invivyd securites.</w:t>
      </w:r>
    </w:p>
    <w:p>
      <w:pPr>
        <w:spacing w:after="0" w:line="9" w:lineRule="exact"/>
        <w:rPr>
          <w:rFonts w:ascii="Calibri" w:cs="Calibri" w:eastAsia="Calibri" w:hAnsi="Calibri"/>
          <w:sz w:val="20"/>
          <w:szCs w:val="20"/>
          <w:color w:val="auto"/>
        </w:rPr>
      </w:pPr>
    </w:p>
    <w:p>
      <w:pPr>
        <w:ind w:left="1060" w:right="360" w:hanging="378"/>
        <w:spacing w:after="0" w:line="234" w:lineRule="auto"/>
        <w:tabs>
          <w:tab w:leader="none" w:pos="1060" w:val="left"/>
        </w:tabs>
        <w:numPr>
          <w:ilvl w:val="0"/>
          <w:numId w:val="23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Trading in Derivatves of Invivyd Securites. </w:t>
      </w:r>
      <w:r>
        <w:rPr>
          <w:rFonts w:ascii="Calibri" w:cs="Calibri" w:eastAsia="Calibri" w:hAnsi="Calibri"/>
          <w:sz w:val="20"/>
          <w:szCs w:val="20"/>
          <w:color w:val="auto"/>
        </w:rPr>
        <w:t>No Invivyd Representatve is permited to trade in derivatves of an Invivyd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security, such as exchange-traded put or call optons and forward transactons.</w:t>
      </w:r>
    </w:p>
    <w:p>
      <w:pPr>
        <w:spacing w:after="0" w:line="9" w:lineRule="exact"/>
        <w:rPr>
          <w:rFonts w:ascii="Calibri" w:cs="Calibri" w:eastAsia="Calibri" w:hAnsi="Calibri"/>
          <w:sz w:val="20"/>
          <w:szCs w:val="20"/>
          <w:color w:val="auto"/>
        </w:rPr>
      </w:pPr>
    </w:p>
    <w:p>
      <w:pPr>
        <w:ind w:left="1060" w:right="20" w:hanging="378"/>
        <w:spacing w:after="0" w:line="237" w:lineRule="auto"/>
        <w:tabs>
          <w:tab w:leader="none" w:pos="1060" w:val="left"/>
        </w:tabs>
        <w:numPr>
          <w:ilvl w:val="0"/>
          <w:numId w:val="23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Hedging or Monetzaton Transactons. </w:t>
      </w:r>
      <w:r>
        <w:rPr>
          <w:rFonts w:ascii="Calibri" w:cs="Calibri" w:eastAsia="Calibri" w:hAnsi="Calibri"/>
          <w:sz w:val="20"/>
          <w:szCs w:val="20"/>
          <w:color w:val="auto"/>
        </w:rPr>
        <w:t>Certain forms of hedging or monetzaton transactons, such as zero-cost collars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forward sale contracts, allow one to lock in much of the value of stock holdings, ofen in exchange for all or part of the potental for upside appreciaton in the stock. These transactons would allow one to contnue to own the covered securites, but without the full risks and rewards of ownership. When that occurs, their interests and the interests of Invivyd and its shareholders may be misaligned and may signal a message to the trading market that may not be in the best interests of Invivyd and its shareholders at the tme it is conveyed. Accordingly, no Invivyd Representatve may engage in hedging transactons or any other form of monetzaton transactons in Invivyd securites.</w:t>
      </w:r>
    </w:p>
    <w:p>
      <w:pPr>
        <w:spacing w:after="0" w:line="13" w:lineRule="exact"/>
        <w:rPr>
          <w:rFonts w:ascii="Calibri" w:cs="Calibri" w:eastAsia="Calibri" w:hAnsi="Calibri"/>
          <w:sz w:val="20"/>
          <w:szCs w:val="20"/>
          <w:color w:val="auto"/>
        </w:rPr>
      </w:pPr>
    </w:p>
    <w:p>
      <w:pPr>
        <w:ind w:left="1060" w:right="180" w:hanging="378"/>
        <w:spacing w:after="0" w:line="237" w:lineRule="auto"/>
        <w:tabs>
          <w:tab w:leader="none" w:pos="1060" w:val="left"/>
        </w:tabs>
        <w:numPr>
          <w:ilvl w:val="0"/>
          <w:numId w:val="23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Publicly Traded Optons. </w:t>
      </w:r>
      <w:r>
        <w:rPr>
          <w:rFonts w:ascii="Calibri" w:cs="Calibri" w:eastAsia="Calibri" w:hAnsi="Calibri"/>
          <w:sz w:val="20"/>
          <w:szCs w:val="20"/>
          <w:color w:val="auto"/>
        </w:rPr>
        <w:t>A transacton in optons is essentally a bet on the short-term movement of Invivyd stock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therefore creates the appearance that the Invivyd Representatve is trading based on Material Non-Public Informaton. Transactons in optons also may focus the trader’s atenton on short-term performance at the expense of Invivyd’s long-term objectves. Accordingly, Invivyd Representatves are prohibited from engaging in transactons in puts, calls or other derivatve securites, on an exchange or in any other organized market, pertaining to Invivyd securites.</w:t>
      </w:r>
    </w:p>
    <w:p>
      <w:pPr>
        <w:spacing w:after="0" w:line="9" w:lineRule="exact"/>
        <w:rPr>
          <w:rFonts w:ascii="Calibri" w:cs="Calibri" w:eastAsia="Calibri" w:hAnsi="Calibri"/>
          <w:sz w:val="20"/>
          <w:szCs w:val="20"/>
          <w:color w:val="auto"/>
        </w:rPr>
      </w:pPr>
    </w:p>
    <w:p>
      <w:pPr>
        <w:ind w:left="1060" w:hanging="378"/>
        <w:spacing w:after="0" w:line="237" w:lineRule="auto"/>
        <w:tabs>
          <w:tab w:leader="none" w:pos="1060" w:val="left"/>
        </w:tabs>
        <w:numPr>
          <w:ilvl w:val="0"/>
          <w:numId w:val="23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Margin Accounts or Pledges. </w:t>
      </w:r>
      <w:r>
        <w:rPr>
          <w:rFonts w:ascii="Calibri" w:cs="Calibri" w:eastAsia="Calibri" w:hAnsi="Calibri"/>
          <w:sz w:val="20"/>
          <w:szCs w:val="20"/>
          <w:color w:val="auto"/>
        </w:rPr>
        <w:t>Securites held in a margin account may be sold by the broker without the customer’s consent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if the customer fails to meet a margin call. Similarly, securites pledged as collateral for a loan may be sold in foreclosure if the borrower defaults on the loan. A margin sale or foreclosure sale may occur at a tme when the pledgor is aware of Material Non-Public Informaton or otherwise is not permited to trade in Invivyd securites pursuant to Blackout Period restrictons. Thus, Invivyd Representatves are prohibited from pledging Invivyd securites as collateral for a loan, and shares of Invivyd stock may not be held in a margin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62" w:name="page263"/>
    <w:bookmarkEnd w:id="262"/>
    <w:p>
      <w:pPr>
        <w:spacing w:after="0" w:line="60"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12.0</w:t>
      </w:r>
      <w:r>
        <w:rPr>
          <w:sz w:val="20"/>
          <w:szCs w:val="20"/>
          <w:color w:val="auto"/>
        </w:rPr>
        <w:tab/>
      </w:r>
      <w:r>
        <w:rPr>
          <w:rFonts w:ascii="Calibri" w:cs="Calibri" w:eastAsia="Calibri" w:hAnsi="Calibri"/>
          <w:sz w:val="20"/>
          <w:szCs w:val="20"/>
          <w:b w:val="1"/>
          <w:bCs w:val="1"/>
          <w:color w:val="auto"/>
        </w:rPr>
        <w:t>POST-EMPLOYMENT TRANSACTIONS</w:t>
      </w:r>
    </w:p>
    <w:p>
      <w:pPr>
        <w:spacing w:after="0" w:line="61" w:lineRule="exact"/>
        <w:rPr>
          <w:sz w:val="20"/>
          <w:szCs w:val="20"/>
          <w:color w:val="auto"/>
        </w:rPr>
      </w:pPr>
    </w:p>
    <w:p>
      <w:pPr>
        <w:ind w:left="680" w:right="220"/>
        <w:spacing w:after="0" w:line="236" w:lineRule="auto"/>
        <w:rPr>
          <w:sz w:val="20"/>
          <w:szCs w:val="20"/>
          <w:color w:val="auto"/>
        </w:rPr>
      </w:pPr>
      <w:r>
        <w:rPr>
          <w:rFonts w:ascii="Calibri" w:cs="Calibri" w:eastAsia="Calibri" w:hAnsi="Calibri"/>
          <w:sz w:val="20"/>
          <w:szCs w:val="20"/>
          <w:color w:val="auto"/>
        </w:rPr>
        <w:t>This Policy contnues to apply to transactons in Invivyd securites even afer an Invivyd Representatve resigns or otherwise separates from Invivyd. If an Invivyd Representatve who resigns or separates from Invivyd is in possession of Material Non-Public Informaton at that tme, he or she may not trade in Invivyd securites untl that informaton has become public or is no longer material.</w:t>
      </w:r>
    </w:p>
    <w:p>
      <w:pPr>
        <w:spacing w:after="0" w:line="100"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13.0</w:t>
      </w:r>
      <w:r>
        <w:rPr>
          <w:sz w:val="20"/>
          <w:szCs w:val="20"/>
          <w:color w:val="auto"/>
        </w:rPr>
        <w:tab/>
      </w:r>
      <w:r>
        <w:rPr>
          <w:rFonts w:ascii="Calibri" w:cs="Calibri" w:eastAsia="Calibri" w:hAnsi="Calibri"/>
          <w:sz w:val="20"/>
          <w:szCs w:val="20"/>
          <w:b w:val="1"/>
          <w:bCs w:val="1"/>
          <w:color w:val="auto"/>
        </w:rPr>
        <w:t>COMMUNICATIONS WITH THE PUBLIC</w:t>
      </w:r>
    </w:p>
    <w:p>
      <w:pPr>
        <w:spacing w:after="0" w:line="61" w:lineRule="exact"/>
        <w:rPr>
          <w:sz w:val="20"/>
          <w:szCs w:val="20"/>
          <w:color w:val="auto"/>
        </w:rPr>
      </w:pPr>
    </w:p>
    <w:p>
      <w:pPr>
        <w:ind w:left="680"/>
        <w:spacing w:after="0"/>
        <w:rPr>
          <w:sz w:val="20"/>
          <w:szCs w:val="20"/>
          <w:color w:val="auto"/>
        </w:rPr>
      </w:pPr>
      <w:r>
        <w:rPr>
          <w:rFonts w:ascii="Calibri" w:cs="Calibri" w:eastAsia="Calibri" w:hAnsi="Calibri"/>
          <w:sz w:val="20"/>
          <w:szCs w:val="20"/>
          <w:color w:val="auto"/>
        </w:rPr>
        <w:t>Invivyd is subject to the SEC’s Regulaton FD and must avoid selectve disclosure of Material Non-Public Informaton. Invivyd will release such informaton in a manner that is designed to achieve broad public disseminaton of that informaton immediately upon its release. Accordingly, only the Invivyd executve ofcers who have been authorized to engage in communicatons with the public may disclose informaton to the public regarding Invivyd, its business actvites and fnancial afairs. The public includes, without limitaton, research analysts, portolio managers, fnancial and business reporters, news media and investors. Because of the risks associated with the exchange of informaton through such communicatons media, Invivyd Representatves are strictly prohibited from postng or responding to messages containing informaton regarding Invivyd on Internet “social media,” Internet “bulletn boards,” Internet “chat rooms” or in similar online forums. Invivyd Representatves who inadvertently disclose any Material Non-Public Informaton must immediately advise the Chief Legal Ofcer so that Invivyd can assess its obligatons under Regulaton FD and other applicable securites laws. Please review Invivyd’s Corporate Disclosure Policy for additonal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jc w:val="both"/>
        <w:ind w:right="320" w:hanging="9"/>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333-267643 and 333-276986) and Form S-8 (Nos. 333-259008, 333-264920, and 333-279268) of Invivyd, Inc. of our report dated March 20, 2025, relating to the financial statements, which appears in this Form 10-K.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756285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Invivyd,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Invivyd, Inc. (the “Company”) on Form 10-K for the period ended December 31,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6" w:name="page267"/>
    <w:bookmarkEnd w:id="2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DD15094"/>
    <w:multiLevelType w:val="hybridMultilevel"/>
    <w:lvl w:ilvl="0">
      <w:lvlJc w:val="left"/>
      <w:lvlText w:val="☒"/>
      <w:numFmt w:val="bullet"/>
      <w:start w:val="1"/>
    </w:lvl>
  </w:abstractNum>
  <w:abstractNum w:abstractNumId="1">
    <w:nsid w:val="3DB012B3"/>
    <w:multiLevelType w:val="hybridMultilevel"/>
    <w:lvl w:ilvl="0">
      <w:lvlJc w:val="left"/>
      <w:lvlText w:val="☐"/>
      <w:numFmt w:val="bullet"/>
      <w:start w:val="1"/>
    </w:lvl>
  </w:abstractNum>
  <w:abstractNum w:abstractNumId="2">
    <w:nsid w:val="2708C9AF"/>
    <w:multiLevelType w:val="hybridMultilevel"/>
    <w:lvl w:ilvl="0">
      <w:lvlJc w:val="left"/>
      <w:lvlText w:val="•"/>
      <w:numFmt w:val="bullet"/>
      <w:start w:val="1"/>
    </w:lvl>
  </w:abstractNum>
  <w:abstractNum w:abstractNumId="3">
    <w:nsid w:val="5B25ACE2"/>
    <w:multiLevelType w:val="hybridMultilevel"/>
    <w:lvl w:ilvl="0">
      <w:lvlJc w:val="left"/>
      <w:lvlText w:val="•"/>
      <w:numFmt w:val="bullet"/>
      <w:start w:val="1"/>
    </w:lvl>
  </w:abstractNum>
  <w:abstractNum w:abstractNumId="4">
    <w:nsid w:val="175DFCF0"/>
    <w:multiLevelType w:val="hybridMultilevel"/>
    <w:lvl w:ilvl="0">
      <w:lvlJc w:val="left"/>
      <w:lvlText w:val="•"/>
      <w:numFmt w:val="bullet"/>
      <w:start w:val="1"/>
    </w:lvl>
  </w:abstractNum>
  <w:abstractNum w:abstractNumId="5">
    <w:nsid w:val="4F97E3E4"/>
    <w:multiLevelType w:val="hybridMultilevel"/>
    <w:lvl w:ilvl="0">
      <w:lvlJc w:val="left"/>
      <w:lvlText w:val="•"/>
      <w:numFmt w:val="bullet"/>
      <w:start w:val="1"/>
    </w:lvl>
  </w:abstractNum>
  <w:abstractNum w:abstractNumId="6">
    <w:nsid w:val="53B0A9E"/>
    <w:multiLevelType w:val="hybridMultilevel"/>
    <w:lvl w:ilvl="0">
      <w:lvlJc w:val="left"/>
      <w:lvlText w:val="•"/>
      <w:numFmt w:val="bullet"/>
      <w:start w:val="1"/>
    </w:lvl>
  </w:abstractNum>
  <w:abstractNum w:abstractNumId="7">
    <w:nsid w:val="34FD6B4F"/>
    <w:multiLevelType w:val="hybridMultilevel"/>
    <w:lvl w:ilvl="0">
      <w:lvlJc w:val="left"/>
      <w:lvlText w:val="•"/>
      <w:numFmt w:val="bullet"/>
      <w:start w:val="1"/>
    </w:lvl>
  </w:abstractNum>
  <w:abstractNum w:abstractNumId="8">
    <w:nsid w:val="5915FF32"/>
    <w:multiLevelType w:val="hybridMultilevel"/>
    <w:lvl w:ilvl="0">
      <w:lvlJc w:val="left"/>
      <w:lvlText w:val="•"/>
      <w:numFmt w:val="bullet"/>
      <w:start w:val="1"/>
    </w:lvl>
  </w:abstractNum>
  <w:abstractNum w:abstractNumId="9">
    <w:nsid w:val="56438D15"/>
    <w:multiLevelType w:val="hybridMultilevel"/>
    <w:lvl w:ilvl="0">
      <w:lvlJc w:val="left"/>
      <w:lvlText w:val="•"/>
      <w:numFmt w:val="bullet"/>
      <w:start w:val="1"/>
    </w:lvl>
  </w:abstractNum>
  <w:abstractNum w:abstractNumId="10">
    <w:nsid w:val="519E3149"/>
    <w:multiLevelType w:val="hybridMultilevel"/>
    <w:lvl w:ilvl="0">
      <w:lvlJc w:val="left"/>
      <w:lvlText w:val="•"/>
      <w:numFmt w:val="bullet"/>
      <w:start w:val="1"/>
    </w:lvl>
  </w:abstractNum>
  <w:abstractNum w:abstractNumId="11">
    <w:nsid w:val="2C6E4AFD"/>
    <w:multiLevelType w:val="hybridMultilevel"/>
    <w:lvl w:ilvl="0">
      <w:lvlJc w:val="left"/>
      <w:lvlText w:val="•"/>
      <w:numFmt w:val="bullet"/>
      <w:start w:val="1"/>
    </w:lvl>
  </w:abstractNum>
  <w:abstractNum w:abstractNumId="12">
    <w:nsid w:val="17A1B582"/>
    <w:multiLevelType w:val="hybridMultilevel"/>
    <w:lvl w:ilvl="0">
      <w:lvlJc w:val="left"/>
      <w:lvlText w:val="•"/>
      <w:numFmt w:val="bullet"/>
      <w:start w:val="1"/>
    </w:lvl>
  </w:abstractNum>
  <w:abstractNum w:abstractNumId="13">
    <w:nsid w:val="4DF72E4E"/>
    <w:multiLevelType w:val="hybridMultilevel"/>
    <w:lvl w:ilvl="0">
      <w:lvlJc w:val="left"/>
      <w:lvlText w:val="•"/>
      <w:numFmt w:val="bullet"/>
      <w:start w:val="1"/>
    </w:lvl>
  </w:abstractNum>
  <w:abstractNum w:abstractNumId="14">
    <w:nsid w:val="5046B5A9"/>
    <w:multiLevelType w:val="hybridMultilevel"/>
    <w:lvl w:ilvl="0">
      <w:lvlJc w:val="left"/>
      <w:lvlText w:val="•"/>
      <w:numFmt w:val="bullet"/>
      <w:start w:val="1"/>
    </w:lvl>
  </w:abstractNum>
  <w:abstractNum w:abstractNumId="15">
    <w:nsid w:val="5D888A08"/>
    <w:multiLevelType w:val="hybridMultilevel"/>
    <w:lvl w:ilvl="0">
      <w:lvlJc w:val="left"/>
      <w:lvlText w:val="•"/>
      <w:numFmt w:val="bullet"/>
      <w:start w:val="1"/>
    </w:lvl>
  </w:abstractNum>
  <w:abstractNum w:abstractNumId="16">
    <w:nsid w:val="2A082C70"/>
    <w:multiLevelType w:val="hybridMultilevel"/>
    <w:lvl w:ilvl="0">
      <w:lvlJc w:val="left"/>
      <w:lvlText w:val="•"/>
      <w:numFmt w:val="bullet"/>
      <w:start w:val="1"/>
    </w:lvl>
  </w:abstractNum>
  <w:abstractNum w:abstractNumId="17">
    <w:nsid w:val="5EC6AFD4"/>
    <w:multiLevelType w:val="hybridMultilevel"/>
    <w:lvl w:ilvl="0">
      <w:lvlJc w:val="left"/>
      <w:lvlText w:val="•"/>
      <w:numFmt w:val="bullet"/>
      <w:start w:val="1"/>
    </w:lvl>
  </w:abstractNum>
  <w:abstractNum w:abstractNumId="18">
    <w:nsid w:val="19E21BB2"/>
    <w:multiLevelType w:val="hybridMultilevel"/>
    <w:lvl w:ilvl="0">
      <w:lvlJc w:val="left"/>
      <w:lvlText w:val="(%1)"/>
      <w:numFmt w:val="decimal"/>
      <w:start w:val="3"/>
    </w:lvl>
  </w:abstractNum>
  <w:abstractNum w:abstractNumId="19">
    <w:nsid w:val="75E0858A"/>
    <w:multiLevelType w:val="hybridMultilevel"/>
    <w:lvl w:ilvl="0">
      <w:lvlJc w:val="left"/>
      <w:lvlText w:val="•"/>
      <w:numFmt w:val="bullet"/>
      <w:start w:val="1"/>
    </w:lvl>
  </w:abstractNum>
  <w:abstractNum w:abstractNumId="20">
    <w:nsid w:val="57A61A29"/>
    <w:multiLevelType w:val="hybridMultilevel"/>
    <w:lvl w:ilvl="0">
      <w:lvlJc w:val="left"/>
      <w:lvlText w:val="•"/>
      <w:numFmt w:val="bullet"/>
      <w:start w:val="1"/>
    </w:lvl>
  </w:abstractNum>
  <w:abstractNum w:abstractNumId="21">
    <w:nsid w:val="5399C654"/>
    <w:multiLevelType w:val="hybridMultilevel"/>
    <w:lvl w:ilvl="0">
      <w:lvlJc w:val="left"/>
      <w:lvlText w:val="•"/>
      <w:numFmt w:val="bullet"/>
      <w:start w:val="1"/>
    </w:lvl>
  </w:abstractNum>
  <w:abstractNum w:abstractNumId="22">
    <w:nsid w:val="20EE1348"/>
    <w:multiLevelType w:val="hybridMultilevel"/>
    <w:lvl w:ilvl="0">
      <w:lvlJc w:val="left"/>
      <w:lvlText w:val="•"/>
      <w:numFmt w:val="bullet"/>
      <w:start w:val="1"/>
    </w:lvl>
  </w:abstractNum>
  <w:abstractNum w:abstractNumId="23">
    <w:nsid w:val="4427069A"/>
    <w:multiLevelType w:val="hybridMultilevel"/>
    <w:lvl w:ilvl="0">
      <w:lvlJc w:val="left"/>
      <w:lvlText w:val="•"/>
      <w:numFmt w:val="bullet"/>
      <w:start w:val="1"/>
    </w:lvl>
  </w:abstractNum>
  <w:abstractNum w:abstractNumId="24">
    <w:nsid w:val="B37E80A"/>
    <w:multiLevelType w:val="hybridMultilevel"/>
    <w:lvl w:ilvl="0">
      <w:lvlJc w:val="left"/>
      <w:lvlText w:val="•"/>
      <w:numFmt w:val="bullet"/>
      <w:start w:val="1"/>
    </w:lvl>
  </w:abstractNum>
  <w:abstractNum w:abstractNumId="25">
    <w:nsid w:val="2157F6BC"/>
    <w:multiLevelType w:val="hybridMultilevel"/>
    <w:lvl w:ilvl="0">
      <w:lvlJc w:val="left"/>
      <w:lvlText w:val="•"/>
      <w:numFmt w:val="bullet"/>
      <w:start w:val="1"/>
    </w:lvl>
  </w:abstractNum>
  <w:abstractNum w:abstractNumId="26">
    <w:nsid w:val="704E1DD5"/>
    <w:multiLevelType w:val="hybridMultilevel"/>
    <w:lvl w:ilvl="0">
      <w:lvlJc w:val="left"/>
      <w:lvlText w:val="•"/>
      <w:numFmt w:val="bullet"/>
      <w:start w:val="1"/>
    </w:lvl>
  </w:abstractNum>
  <w:abstractNum w:abstractNumId="27">
    <w:nsid w:val="57D2F10E"/>
    <w:multiLevelType w:val="hybridMultilevel"/>
    <w:lvl w:ilvl="0">
      <w:lvlJc w:val="left"/>
      <w:lvlText w:val="•"/>
      <w:numFmt w:val="bullet"/>
      <w:start w:val="1"/>
    </w:lvl>
  </w:abstractNum>
  <w:abstractNum w:abstractNumId="28">
    <w:nsid w:val="BFFAE18"/>
    <w:multiLevelType w:val="hybridMultilevel"/>
    <w:lvl w:ilvl="0">
      <w:lvlJc w:val="left"/>
      <w:lvlText w:val="•"/>
      <w:numFmt w:val="bullet"/>
      <w:start w:val="1"/>
    </w:lvl>
  </w:abstractNum>
  <w:abstractNum w:abstractNumId="29">
    <w:nsid w:val="E3E47A8"/>
    <w:multiLevelType w:val="hybridMultilevel"/>
    <w:lvl w:ilvl="0">
      <w:lvlJc w:val="left"/>
      <w:lvlText w:val="•"/>
      <w:numFmt w:val="bullet"/>
      <w:start w:val="1"/>
    </w:lvl>
  </w:abstractNum>
  <w:abstractNum w:abstractNumId="30">
    <w:nsid w:val="2E48F044"/>
    <w:multiLevelType w:val="hybridMultilevel"/>
    <w:lvl w:ilvl="0">
      <w:lvlJc w:val="left"/>
      <w:lvlText w:val="•"/>
      <w:numFmt w:val="bullet"/>
      <w:start w:val="1"/>
    </w:lvl>
  </w:abstractNum>
  <w:abstractNum w:abstractNumId="31">
    <w:nsid w:val="49D0FEAC"/>
    <w:multiLevelType w:val="hybridMultilevel"/>
    <w:lvl w:ilvl="0">
      <w:lvlJc w:val="left"/>
      <w:lvlText w:val="•"/>
      <w:numFmt w:val="bullet"/>
      <w:start w:val="1"/>
    </w:lvl>
  </w:abstractNum>
  <w:abstractNum w:abstractNumId="32">
    <w:nsid w:val="4BEE5A5B"/>
    <w:multiLevelType w:val="hybridMultilevel"/>
    <w:lvl w:ilvl="0">
      <w:lvlJc w:val="left"/>
      <w:lvlText w:val="•"/>
      <w:numFmt w:val="bullet"/>
      <w:start w:val="1"/>
    </w:lvl>
  </w:abstractNum>
  <w:abstractNum w:abstractNumId="33">
    <w:nsid w:val="5551B9F3"/>
    <w:multiLevelType w:val="hybridMultilevel"/>
    <w:lvl w:ilvl="0">
      <w:lvlJc w:val="left"/>
      <w:lvlText w:val="(%1)"/>
      <w:numFmt w:val="lowerRoman"/>
      <w:start w:val="1"/>
    </w:lvl>
  </w:abstractNum>
  <w:abstractNum w:abstractNumId="34">
    <w:nsid w:val="24F6AB8E"/>
    <w:multiLevelType w:val="hybridMultilevel"/>
    <w:lvl w:ilvl="0">
      <w:lvlJc w:val="left"/>
      <w:lvlText w:val="•"/>
      <w:numFmt w:val="bullet"/>
      <w:start w:val="1"/>
    </w:lvl>
  </w:abstractNum>
  <w:abstractNum w:abstractNumId="35">
    <w:nsid w:val="634C574C"/>
    <w:multiLevelType w:val="hybridMultilevel"/>
    <w:lvl w:ilvl="0">
      <w:lvlJc w:val="left"/>
      <w:lvlText w:val="•"/>
      <w:numFmt w:val="bullet"/>
      <w:start w:val="1"/>
    </w:lvl>
  </w:abstractNum>
  <w:abstractNum w:abstractNumId="36">
    <w:nsid w:val="24E99DD7"/>
    <w:multiLevelType w:val="hybridMultilevel"/>
    <w:lvl w:ilvl="0">
      <w:lvlJc w:val="left"/>
      <w:lvlText w:val="•"/>
      <w:numFmt w:val="bullet"/>
      <w:start w:val="1"/>
    </w:lvl>
  </w:abstractNum>
  <w:abstractNum w:abstractNumId="37">
    <w:nsid w:val="2A31B62D"/>
    <w:multiLevelType w:val="hybridMultilevel"/>
    <w:lvl w:ilvl="0">
      <w:lvlJc w:val="left"/>
      <w:lvlText w:val="•"/>
      <w:numFmt w:val="bullet"/>
      <w:start w:val="1"/>
    </w:lvl>
  </w:abstractNum>
  <w:abstractNum w:abstractNumId="38">
    <w:nsid w:val="1849C29B"/>
    <w:multiLevelType w:val="hybridMultilevel"/>
    <w:lvl w:ilvl="0">
      <w:lvlJc w:val="left"/>
      <w:lvlText w:val="•"/>
      <w:numFmt w:val="bullet"/>
      <w:start w:val="1"/>
    </w:lvl>
  </w:abstractNum>
  <w:abstractNum w:abstractNumId="39">
    <w:nsid w:val="7DFF9D09"/>
    <w:multiLevelType w:val="hybridMultilevel"/>
    <w:lvl w:ilvl="0">
      <w:lvlJc w:val="left"/>
      <w:lvlText w:val="•"/>
      <w:numFmt w:val="bullet"/>
      <w:start w:val="1"/>
    </w:lvl>
  </w:abstractNum>
  <w:abstractNum w:abstractNumId="40">
    <w:nsid w:val="754342"/>
    <w:multiLevelType w:val="hybridMultilevel"/>
    <w:lvl w:ilvl="0">
      <w:lvlJc w:val="left"/>
      <w:lvlText w:val="•"/>
      <w:numFmt w:val="bullet"/>
      <w:start w:val="1"/>
    </w:lvl>
  </w:abstractNum>
  <w:abstractNum w:abstractNumId="41">
    <w:nsid w:val="69E7F3E5"/>
    <w:multiLevelType w:val="hybridMultilevel"/>
    <w:lvl w:ilvl="0">
      <w:lvlJc w:val="left"/>
      <w:lvlText w:val="•"/>
      <w:numFmt w:val="bullet"/>
      <w:start w:val="1"/>
    </w:lvl>
  </w:abstractNum>
  <w:abstractNum w:abstractNumId="42">
    <w:nsid w:val="2A6DE806"/>
    <w:multiLevelType w:val="hybridMultilevel"/>
    <w:lvl w:ilvl="0">
      <w:lvlJc w:val="left"/>
      <w:lvlText w:val="•"/>
      <w:numFmt w:val="bullet"/>
      <w:start w:val="1"/>
    </w:lvl>
  </w:abstractNum>
  <w:abstractNum w:abstractNumId="43">
    <w:nsid w:val="1816F8C4"/>
    <w:multiLevelType w:val="hybridMultilevel"/>
    <w:lvl w:ilvl="0">
      <w:lvlJc w:val="left"/>
      <w:lvlText w:val="•"/>
      <w:numFmt w:val="bullet"/>
      <w:start w:val="1"/>
    </w:lvl>
  </w:abstractNum>
  <w:abstractNum w:abstractNumId="44">
    <w:nsid w:val="37DF2233"/>
    <w:multiLevelType w:val="hybridMultilevel"/>
    <w:lvl w:ilvl="0">
      <w:lvlJc w:val="left"/>
      <w:lvlText w:val="•"/>
      <w:numFmt w:val="bullet"/>
      <w:start w:val="1"/>
    </w:lvl>
  </w:abstractNum>
  <w:abstractNum w:abstractNumId="45">
    <w:nsid w:val="7AB49DAF"/>
    <w:multiLevelType w:val="hybridMultilevel"/>
    <w:lvl w:ilvl="0">
      <w:lvlJc w:val="left"/>
      <w:lvlText w:val="•"/>
      <w:numFmt w:val="bullet"/>
      <w:start w:val="1"/>
    </w:lvl>
  </w:abstractNum>
  <w:abstractNum w:abstractNumId="46">
    <w:nsid w:val="759F82CD"/>
    <w:multiLevelType w:val="hybridMultilevel"/>
    <w:lvl w:ilvl="0">
      <w:lvlJc w:val="left"/>
      <w:lvlText w:val="•"/>
      <w:numFmt w:val="bullet"/>
      <w:start w:val="1"/>
    </w:lvl>
  </w:abstractNum>
  <w:abstractNum w:abstractNumId="47">
    <w:nsid w:val="61E74EA3"/>
    <w:multiLevelType w:val="hybridMultilevel"/>
    <w:lvl w:ilvl="0">
      <w:lvlJc w:val="left"/>
      <w:lvlText w:val="•"/>
      <w:numFmt w:val="bullet"/>
      <w:start w:val="1"/>
    </w:lvl>
  </w:abstractNum>
  <w:abstractNum w:abstractNumId="48">
    <w:nsid w:val="597B4D84"/>
    <w:multiLevelType w:val="hybridMultilevel"/>
    <w:lvl w:ilvl="0">
      <w:lvlJc w:val="left"/>
      <w:lvlText w:val="•"/>
      <w:numFmt w:val="bullet"/>
      <w:start w:val="1"/>
    </w:lvl>
  </w:abstractNum>
  <w:abstractNum w:abstractNumId="49">
    <w:nsid w:val="F819E7F"/>
    <w:multiLevelType w:val="hybridMultilevel"/>
    <w:lvl w:ilvl="0">
      <w:lvlJc w:val="left"/>
      <w:lvlText w:val="•"/>
      <w:numFmt w:val="bullet"/>
      <w:start w:val="1"/>
    </w:lvl>
  </w:abstractNum>
  <w:abstractNum w:abstractNumId="50">
    <w:nsid w:val="57C7D42D"/>
    <w:multiLevelType w:val="hybridMultilevel"/>
    <w:lvl w:ilvl="0">
      <w:lvlJc w:val="left"/>
      <w:lvlText w:val="•"/>
      <w:numFmt w:val="bullet"/>
      <w:start w:val="1"/>
    </w:lvl>
  </w:abstractNum>
  <w:abstractNum w:abstractNumId="51">
    <w:nsid w:val="312167AD"/>
    <w:multiLevelType w:val="hybridMultilevel"/>
    <w:lvl w:ilvl="0">
      <w:lvlJc w:val="left"/>
      <w:lvlText w:val="•"/>
      <w:numFmt w:val="bullet"/>
      <w:start w:val="1"/>
    </w:lvl>
  </w:abstractNum>
  <w:abstractNum w:abstractNumId="52">
    <w:nsid w:val="631B64D4"/>
    <w:multiLevelType w:val="hybridMultilevel"/>
    <w:lvl w:ilvl="0">
      <w:lvlJc w:val="left"/>
      <w:lvlText w:val="•"/>
      <w:numFmt w:val="bullet"/>
      <w:start w:val="1"/>
    </w:lvl>
  </w:abstractNum>
  <w:abstractNum w:abstractNumId="53">
    <w:nsid w:val="78B5E776"/>
    <w:multiLevelType w:val="hybridMultilevel"/>
    <w:lvl w:ilvl="0">
      <w:lvlJc w:val="left"/>
      <w:lvlText w:val="•"/>
      <w:numFmt w:val="bullet"/>
      <w:start w:val="1"/>
    </w:lvl>
  </w:abstractNum>
  <w:abstractNum w:abstractNumId="54">
    <w:nsid w:val="75486E47"/>
    <w:multiLevelType w:val="hybridMultilevel"/>
    <w:lvl w:ilvl="0">
      <w:lvlJc w:val="left"/>
      <w:lvlText w:val="•"/>
      <w:numFmt w:val="bullet"/>
      <w:start w:val="1"/>
    </w:lvl>
  </w:abstractNum>
  <w:abstractNum w:abstractNumId="55">
    <w:nsid w:val="6E534CDE"/>
    <w:multiLevelType w:val="hybridMultilevel"/>
    <w:lvl w:ilvl="0">
      <w:lvlJc w:val="left"/>
      <w:lvlText w:val="•"/>
      <w:numFmt w:val="bullet"/>
      <w:start w:val="1"/>
    </w:lvl>
  </w:abstractNum>
  <w:abstractNum w:abstractNumId="56">
    <w:nsid w:val="1A0DDE32"/>
    <w:multiLevelType w:val="hybridMultilevel"/>
    <w:lvl w:ilvl="0">
      <w:lvlJc w:val="left"/>
      <w:lvlText w:val="•"/>
      <w:numFmt w:val="bullet"/>
      <w:start w:val="1"/>
    </w:lvl>
  </w:abstractNum>
  <w:abstractNum w:abstractNumId="57">
    <w:nsid w:val="65968C1C"/>
    <w:multiLevelType w:val="hybridMultilevel"/>
    <w:lvl w:ilvl="0">
      <w:lvlJc w:val="left"/>
      <w:lvlText w:val="•"/>
      <w:numFmt w:val="bullet"/>
      <w:start w:val="1"/>
    </w:lvl>
  </w:abstractNum>
  <w:abstractNum w:abstractNumId="58">
    <w:nsid w:val="46263DEC"/>
    <w:multiLevelType w:val="hybridMultilevel"/>
    <w:lvl w:ilvl="0">
      <w:lvlJc w:val="left"/>
      <w:lvlText w:val="•"/>
      <w:numFmt w:val="bullet"/>
      <w:start w:val="1"/>
    </w:lvl>
  </w:abstractNum>
  <w:abstractNum w:abstractNumId="59">
    <w:nsid w:val="260D8C4A"/>
    <w:multiLevelType w:val="hybridMultilevel"/>
    <w:lvl w:ilvl="0">
      <w:lvlJc w:val="left"/>
      <w:lvlText w:val="•"/>
      <w:numFmt w:val="bullet"/>
      <w:start w:val="1"/>
    </w:lvl>
  </w:abstractNum>
  <w:abstractNum w:abstractNumId="60">
    <w:nsid w:val="73D4D3C4"/>
    <w:multiLevelType w:val="hybridMultilevel"/>
    <w:lvl w:ilvl="0">
      <w:lvlJc w:val="left"/>
      <w:lvlText w:val="•"/>
      <w:numFmt w:val="bullet"/>
      <w:start w:val="1"/>
    </w:lvl>
  </w:abstractNum>
  <w:abstractNum w:abstractNumId="61">
    <w:nsid w:val="746F2E30"/>
    <w:multiLevelType w:val="hybridMultilevel"/>
    <w:lvl w:ilvl="0">
      <w:lvlJc w:val="left"/>
      <w:lvlText w:val="(%1)"/>
      <w:numFmt w:val="decimal"/>
      <w:start w:val="1"/>
    </w:lvl>
  </w:abstractNum>
  <w:abstractNum w:abstractNumId="62">
    <w:nsid w:val="6FDE8AF6"/>
    <w:multiLevelType w:val="hybridMultilevel"/>
    <w:lvl w:ilvl="0">
      <w:lvlJc w:val="left"/>
      <w:lvlText w:val="•"/>
      <w:numFmt w:val="bullet"/>
      <w:start w:val="1"/>
    </w:lvl>
  </w:abstractNum>
  <w:abstractNum w:abstractNumId="63">
    <w:nsid w:val="3FC32E20"/>
    <w:multiLevelType w:val="hybridMultilevel"/>
    <w:lvl w:ilvl="0">
      <w:lvlJc w:val="left"/>
      <w:lvlText w:val="•"/>
      <w:numFmt w:val="bullet"/>
      <w:start w:val="1"/>
    </w:lvl>
  </w:abstractNum>
  <w:abstractNum w:abstractNumId="64">
    <w:nsid w:val="49C0E823"/>
    <w:multiLevelType w:val="hybridMultilevel"/>
    <w:lvl w:ilvl="0">
      <w:lvlJc w:val="left"/>
      <w:lvlText w:val="•"/>
      <w:numFmt w:val="bullet"/>
      <w:start w:val="1"/>
    </w:lvl>
  </w:abstractNum>
  <w:abstractNum w:abstractNumId="65">
    <w:nsid w:val="14D53685"/>
    <w:multiLevelType w:val="hybridMultilevel"/>
    <w:lvl w:ilvl="0">
      <w:lvlJc w:val="left"/>
      <w:lvlText w:val="(%1)"/>
      <w:numFmt w:val="lowerRoman"/>
      <w:start w:val="1"/>
    </w:lvl>
  </w:abstractNum>
  <w:abstractNum w:abstractNumId="66">
    <w:nsid w:val="230F856C"/>
    <w:multiLevelType w:val="hybridMultilevel"/>
    <w:lvl w:ilvl="0">
      <w:lvlJc w:val="left"/>
      <w:lvlText w:val="•"/>
      <w:numFmt w:val="bullet"/>
      <w:start w:val="1"/>
    </w:lvl>
  </w:abstractNum>
  <w:abstractNum w:abstractNumId="67">
    <w:nsid w:val="6EAA85FB"/>
    <w:multiLevelType w:val="hybridMultilevel"/>
    <w:lvl w:ilvl="0">
      <w:lvlJc w:val="left"/>
      <w:lvlText w:val="•"/>
      <w:numFmt w:val="bullet"/>
      <w:start w:val="1"/>
    </w:lvl>
  </w:abstractNum>
  <w:abstractNum w:abstractNumId="68">
    <w:nsid w:val="3F06ECB2"/>
    <w:multiLevelType w:val="hybridMultilevel"/>
    <w:lvl w:ilvl="0">
      <w:lvlJc w:val="left"/>
      <w:lvlText w:val="•"/>
      <w:numFmt w:val="bullet"/>
      <w:start w:val="1"/>
    </w:lvl>
  </w:abstractNum>
  <w:abstractNum w:abstractNumId="69">
    <w:nsid w:val="3B594807"/>
    <w:multiLevelType w:val="hybridMultilevel"/>
    <w:lvl w:ilvl="0">
      <w:lvlJc w:val="left"/>
      <w:lvlText w:val="*"/>
      <w:numFmt w:val="bullet"/>
      <w:start w:val="1"/>
    </w:lvl>
  </w:abstractNum>
  <w:abstractNum w:abstractNumId="70">
    <w:nsid w:val="6CAA2304"/>
    <w:multiLevelType w:val="hybridMultilevel"/>
    <w:lvl w:ilvl="0">
      <w:lvlJc w:val="left"/>
      <w:lvlText w:val="+"/>
      <w:numFmt w:val="bullet"/>
      <w:start w:val="1"/>
    </w:lvl>
  </w:abstractNum>
  <w:abstractNum w:abstractNumId="71">
    <w:nsid w:val="3F7C2FF4"/>
    <w:multiLevelType w:val="hybridMultilevel"/>
    <w:lvl w:ilvl="0">
      <w:lvlJc w:val="left"/>
      <w:lvlText w:val="†"/>
      <w:numFmt w:val="bullet"/>
      <w:start w:val="1"/>
    </w:lvl>
  </w:abstractNum>
  <w:abstractNum w:abstractNumId="72">
    <w:nsid w:val="25413BEC"/>
    <w:multiLevelType w:val="hybridMultilevel"/>
    <w:lvl w:ilvl="0">
      <w:lvlJc w:val="left"/>
      <w:lvlText w:val="#"/>
      <w:numFmt w:val="bullet"/>
      <w:start w:val="1"/>
    </w:lvl>
  </w:abstractNum>
  <w:abstractNum w:abstractNumId="73">
    <w:nsid w:val="17180B0B"/>
    <w:multiLevelType w:val="hybridMultilevel"/>
    <w:lvl w:ilvl="0">
      <w:lvlJc w:val="left"/>
      <w:lvlText w:val="^"/>
      <w:numFmt w:val="bullet"/>
      <w:start w:val="1"/>
    </w:lvl>
  </w:abstractNum>
  <w:abstractNum w:abstractNumId="74">
    <w:nsid w:val="579328B9"/>
    <w:multiLevelType w:val="hybridMultilevel"/>
    <w:lvl w:ilvl="0">
      <w:lvlJc w:val="left"/>
      <w:lvlText w:val="(%1)"/>
      <w:numFmt w:val="decimal"/>
      <w:start w:val="1"/>
    </w:lvl>
  </w:abstractNum>
  <w:abstractNum w:abstractNumId="75">
    <w:nsid w:val="5D205E20"/>
    <w:multiLevelType w:val="hybridMultilevel"/>
    <w:lvl w:ilvl="0">
      <w:lvlJc w:val="left"/>
      <w:lvlText w:val="(%1)"/>
      <w:numFmt w:val="decimal"/>
      <w:start w:val="1"/>
    </w:lvl>
  </w:abstractNum>
  <w:abstractNum w:abstractNumId="76">
    <w:nsid w:val="11CCA8BA"/>
    <w:multiLevelType w:val="hybridMultilevel"/>
    <w:lvl w:ilvl="0">
      <w:lvlJc w:val="left"/>
      <w:lvlText w:val="•"/>
      <w:numFmt w:val="bullet"/>
      <w:start w:val="1"/>
    </w:lvl>
  </w:abstractNum>
  <w:abstractNum w:abstractNumId="77">
    <w:nsid w:val="4D32AB86"/>
    <w:multiLevelType w:val="hybridMultilevel"/>
    <w:lvl w:ilvl="0">
      <w:lvlJc w:val="left"/>
      <w:lvlText w:val="•"/>
      <w:numFmt w:val="bullet"/>
      <w:start w:val="1"/>
    </w:lvl>
  </w:abstractNum>
  <w:abstractNum w:abstractNumId="78">
    <w:nsid w:val="3F07ACC3"/>
    <w:multiLevelType w:val="hybridMultilevel"/>
    <w:lvl w:ilvl="0">
      <w:lvlJc w:val="left"/>
      <w:lvlText w:val="%1."/>
      <w:numFmt w:val="decimal"/>
      <w:start w:val="11"/>
    </w:lvl>
  </w:abstractNum>
  <w:abstractNum w:abstractNumId="79">
    <w:nsid w:val="6B47F63E"/>
    <w:multiLevelType w:val="hybridMultilevel"/>
    <w:lvl w:ilvl="0">
      <w:lvlJc w:val="left"/>
      <w:lvlText w:val="(%1)"/>
      <w:numFmt w:val="decimal"/>
      <w:start w:val="1"/>
    </w:lvl>
  </w:abstractNum>
  <w:abstractNum w:abstractNumId="80">
    <w:nsid w:val="5CB44A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1">
    <w:nsid w:val="16CF80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2">
    <w:nsid w:val="1C695D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3">
    <w:nsid w:val="3FCFAED9"/>
    <w:multiLevelType w:val="hybridMultilevel"/>
    <w:lvl w:ilvl="0">
      <w:lvlJc w:val="left"/>
      <w:lvlText w:val="%1."/>
      <w:numFmt w:val="decimal"/>
      <w:start w:val="4"/>
    </w:lvl>
  </w:abstractNum>
  <w:abstractNum w:abstractNumId="84">
    <w:nsid w:val="F856867"/>
    <w:multiLevelType w:val="hybridMultilevel"/>
    <w:lvl w:ilvl="0">
      <w:lvlJc w:val="left"/>
      <w:lvlText w:val="(%1)"/>
      <w:numFmt w:val="lowerLetter"/>
      <w:start w:val="1"/>
    </w:lvl>
    <w:lvl w:ilvl="1">
      <w:lvlJc w:val="left"/>
      <w:lvlText w:val="(%2)"/>
      <w:numFmt w:val="lowerRoman"/>
      <w:start w:val="1"/>
    </w:lvl>
  </w:abstractNum>
  <w:abstractNum w:abstractNumId="85">
    <w:nsid w:val="11B1CC33"/>
    <w:multiLevelType w:val="hybridMultilevel"/>
    <w:lvl w:ilvl="0">
      <w:lvlJc w:val="left"/>
      <w:lvlText w:val="(%1)"/>
      <w:numFmt w:val="lowerLetter"/>
      <w:start w:val="5"/>
    </w:lvl>
    <w:lvl w:ilvl="1">
      <w:lvlJc w:val="left"/>
      <w:lvlText w:val="(%2)"/>
      <w:numFmt w:val="lowerRoman"/>
      <w:start w:val="1"/>
    </w:lvl>
  </w:abstractNum>
  <w:abstractNum w:abstractNumId="86">
    <w:nsid w:val="2E22FBB7"/>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87">
    <w:nsid w:val="2993469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8">
    <w:nsid w:val="77485850"/>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89">
    <w:nsid w:val="744939A3"/>
    <w:multiLevelType w:val="hybridMultilevel"/>
    <w:lvl w:ilvl="0">
      <w:lvlJc w:val="left"/>
      <w:lvlText w:val="(%1)"/>
      <w:numFmt w:val="lowerRoman"/>
      <w:start w:val="3"/>
    </w:lvl>
    <w:lvl w:ilvl="1">
      <w:lvlJc w:val="left"/>
      <w:lvlText w:val="(%2)"/>
      <w:numFmt w:val="lowerRoman"/>
      <w:start w:val="6"/>
    </w:lvl>
    <w:lvl w:ilvl="2">
      <w:lvlJc w:val="left"/>
      <w:lvlText w:val="%3"/>
      <w:numFmt w:val="decimal"/>
      <w:start w:val="1"/>
    </w:lvl>
  </w:abstractNum>
  <w:abstractNum w:abstractNumId="90">
    <w:nsid w:val="4FA0D2E3"/>
    <w:multiLevelType w:val="hybridMultilevel"/>
    <w:lvl w:ilvl="0">
      <w:lvlJc w:val="left"/>
      <w:lvlText w:val="%1"/>
      <w:numFmt w:val="decimal"/>
      <w:start w:val="1"/>
    </w:lvl>
    <w:lvl w:ilvl="1">
      <w:lvlJc w:val="left"/>
      <w:lvlText w:val="(%2)"/>
      <w:numFmt w:val="lowerLetter"/>
      <w:start w:val="2"/>
    </w:lvl>
  </w:abstractNum>
  <w:abstractNum w:abstractNumId="91">
    <w:nsid w:val="6B1D2C14"/>
    <w:multiLevelType w:val="hybridMultilevel"/>
    <w:lvl w:ilvl="0">
      <w:lvlJc w:val="left"/>
      <w:lvlText w:val="%1."/>
      <w:numFmt w:val="decimal"/>
      <w:start w:val="6"/>
    </w:lvl>
    <w:lvl w:ilvl="1">
      <w:lvlJc w:val="left"/>
      <w:lvlText w:val="(%2)"/>
      <w:numFmt w:val="lowerLetter"/>
      <w:start w:val="1"/>
    </w:lvl>
  </w:abstractNum>
  <w:abstractNum w:abstractNumId="92">
    <w:nsid w:val="68B867D3"/>
    <w:multiLevelType w:val="hybridMultilevel"/>
    <w:lvl w:ilvl="0">
      <w:lvlJc w:val="left"/>
      <w:lvlText w:val="(%1)"/>
      <w:numFmt w:val="lowerLetter"/>
      <w:start w:val="2"/>
    </w:lvl>
    <w:lvl w:ilvl="1">
      <w:lvlJc w:val="left"/>
      <w:lvlText w:val="(%2)"/>
      <w:numFmt w:val="lowerRoman"/>
      <w:start w:val="1"/>
    </w:lvl>
  </w:abstractNum>
  <w:abstractNum w:abstractNumId="93">
    <w:nsid w:val="3F7F5D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4">
    <w:nsid w:val="2AE05A3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5">
    <w:nsid w:val="32794FF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6">
    <w:nsid w:val="5454945E"/>
    <w:multiLevelType w:val="hybridMultilevel"/>
    <w:lvl w:ilvl="0">
      <w:lvlJc w:val="left"/>
      <w:lvlText w:val="%1"/>
      <w:numFmt w:val="lowerLetter"/>
      <w:start w:val="1"/>
    </w:lvl>
    <w:lvl w:ilvl="1">
      <w:lvlJc w:val="left"/>
      <w:lvlText w:val="(%2)"/>
      <w:numFmt w:val="lowerRoman"/>
      <w:start w:val="6"/>
    </w:lvl>
  </w:abstractNum>
  <w:abstractNum w:abstractNumId="97">
    <w:nsid w:val="4DEFDFA0"/>
    <w:multiLevelType w:val="hybridMultilevel"/>
    <w:lvl w:ilvl="0">
      <w:lvlJc w:val="left"/>
      <w:lvlText w:val="(%1)"/>
      <w:numFmt w:val="lowerLetter"/>
      <w:start w:val="3"/>
    </w:lvl>
    <w:lvl w:ilvl="1">
      <w:lvlJc w:val="left"/>
      <w:lvlText w:val="(%2)"/>
      <w:numFmt w:val="lowerRoman"/>
      <w:start w:val="1"/>
    </w:lvl>
  </w:abstractNum>
  <w:abstractNum w:abstractNumId="98">
    <w:nsid w:val="2123D5F2"/>
    <w:multiLevelType w:val="hybridMultilevel"/>
    <w:lvl w:ilvl="0">
      <w:lvlJc w:val="left"/>
      <w:lvlText w:val="%1"/>
      <w:numFmt w:val="decimal"/>
      <w:start w:val="1"/>
    </w:lvl>
    <w:lvl w:ilvl="1">
      <w:lvlJc w:val="left"/>
      <w:lvlText w:val="(%2)"/>
      <w:numFmt w:val="lowerLetter"/>
      <w:start w:val="4"/>
    </w:lvl>
  </w:abstractNum>
  <w:abstractNum w:abstractNumId="99">
    <w:nsid w:val="135B8110"/>
    <w:multiLevelType w:val="hybridMultilevel"/>
    <w:lvl w:ilvl="0">
      <w:lvlJc w:val="left"/>
      <w:lvlText w:val="%1."/>
      <w:numFmt w:val="decimal"/>
      <w:start w:val="8"/>
    </w:lvl>
    <w:lvl w:ilvl="1">
      <w:lvlJc w:val="left"/>
      <w:lvlText w:val="(%2)"/>
      <w:numFmt w:val="lowerLetter"/>
      <w:start w:val="1"/>
    </w:lvl>
  </w:abstractNum>
  <w:abstractNum w:abstractNumId="100">
    <w:nsid w:val="94927A8"/>
    <w:multiLevelType w:val="hybridMultilevel"/>
    <w:lvl w:ilvl="0">
      <w:lvlJc w:val="left"/>
      <w:lvlText w:val="%1."/>
      <w:numFmt w:val="decimal"/>
      <w:start w:val="9"/>
    </w:lvl>
    <w:lvl w:ilvl="1">
      <w:lvlJc w:val="left"/>
      <w:lvlText w:val="(%2)"/>
      <w:numFmt w:val="lowerLetter"/>
      <w:start w:val="1"/>
    </w:lvl>
  </w:abstractNum>
  <w:abstractNum w:abstractNumId="101">
    <w:nsid w:val="DCDF8F6"/>
    <w:multiLevelType w:val="hybridMultilevel"/>
    <w:lvl w:ilvl="0">
      <w:lvlJc w:val="left"/>
      <w:lvlText w:val="(%1)"/>
      <w:numFmt w:val="lowerLetter"/>
      <w:start w:val="9"/>
    </w:lvl>
  </w:abstractNum>
  <w:abstractNum w:abstractNumId="102">
    <w:nsid w:val="52D7B105"/>
    <w:multiLevelType w:val="hybridMultilevel"/>
    <w:lvl w:ilvl="0">
      <w:lvlJc w:val="left"/>
      <w:lvlText w:val="%1"/>
      <w:numFmt w:val="decimal"/>
      <w:start w:val="1"/>
    </w:lvl>
    <w:lvl w:ilvl="1">
      <w:lvlJc w:val="left"/>
      <w:lvlText w:val="(%2)"/>
      <w:numFmt w:val="lowerLetter"/>
      <w:start w:val="15"/>
    </w:lvl>
  </w:abstractNum>
  <w:abstractNum w:abstractNumId="103">
    <w:nsid w:val="2E8A6394"/>
    <w:multiLevelType w:val="hybridMultilevel"/>
    <w:lvl w:ilvl="0">
      <w:lvlJc w:val="left"/>
      <w:lvlText w:val="%1."/>
      <w:numFmt w:val="decimal"/>
      <w:start w:val="10"/>
    </w:lvl>
    <w:lvl w:ilvl="1">
      <w:lvlJc w:val="left"/>
      <w:lvlText w:val="%2"/>
      <w:numFmt w:val="lowerLetter"/>
      <w:start w:val="1"/>
    </w:lvl>
  </w:abstractNum>
  <w:abstractNum w:abstractNumId="104">
    <w:nsid w:val="24E6040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5">
    <w:nsid w:val="2A6AD9BE"/>
    <w:multiLevelType w:val="hybridMultilevel"/>
    <w:lvl w:ilvl="0">
      <w:lvlJc w:val="left"/>
      <w:lvlText w:val="(%1)"/>
      <w:numFmt w:val="lowerRoman"/>
      <w:start w:val="1"/>
    </w:lvl>
  </w:abstractNum>
  <w:abstractNum w:abstractNumId="106">
    <w:nsid w:val="BAAC1B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07">
    <w:nsid w:val="36B2ACBC"/>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08">
    <w:nsid w:val="779D8544"/>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109">
    <w:nsid w:val="4AB26E78"/>
    <w:multiLevelType w:val="hybridMultilevel"/>
    <w:lvl w:ilvl="0">
      <w:lvlJc w:val="left"/>
      <w:lvlText w:val="%1"/>
      <w:numFmt w:val="lowerLetter"/>
      <w:start w:val="1"/>
    </w:lvl>
    <w:lvl w:ilvl="1">
      <w:lvlJc w:val="left"/>
      <w:lvlText w:val="(%2)"/>
      <w:numFmt w:val="lowerLetter"/>
      <w:start w:val="35"/>
    </w:lvl>
  </w:abstractNum>
  <w:abstractNum w:abstractNumId="110">
    <w:nsid w:val="21FAA2FA"/>
    <w:multiLevelType w:val="hybridMultilevel"/>
    <w:lvl w:ilvl="0">
      <w:lvlJc w:val="left"/>
      <w:lvlText w:val="(%1)"/>
      <w:numFmt w:val="lowerLetter"/>
      <w:start w:val="5"/>
    </w:lvl>
    <w:lvl w:ilvl="1">
      <w:lvlJc w:val="left"/>
      <w:lvlText w:val="(%2)"/>
      <w:numFmt w:val="lowerLetter"/>
      <w:start w:val="9"/>
    </w:lvl>
  </w:abstractNum>
  <w:abstractNum w:abstractNumId="111">
    <w:nsid w:val="5451CF49"/>
    <w:multiLevelType w:val="hybridMultilevel"/>
    <w:lvl w:ilvl="0">
      <w:lvlJc w:val="left"/>
      <w:lvlText w:val="(%1)"/>
      <w:numFmt w:val="lowerRoman"/>
      <w:start w:val="2"/>
    </w:lvl>
  </w:abstractNum>
  <w:abstractNum w:abstractNumId="112">
    <w:nsid w:val="6181EF69"/>
    <w:multiLevelType w:val="hybridMultilevel"/>
    <w:lvl w:ilvl="0">
      <w:lvlJc w:val="left"/>
      <w:lvlText w:val="%1."/>
      <w:numFmt w:val="decimal"/>
      <w:start w:val="12"/>
    </w:lvl>
  </w:abstractNum>
  <w:abstractNum w:abstractNumId="113">
    <w:nsid w:val="3E6400E6"/>
    <w:multiLevelType w:val="hybridMultilevel"/>
    <w:lvl w:ilvl="0">
      <w:lvlJc w:val="left"/>
      <w:lvlText w:val="%1."/>
      <w:numFmt w:val="decimal"/>
      <w:start w:val="13"/>
    </w:lvl>
  </w:abstractNum>
  <w:abstractNum w:abstractNumId="114">
    <w:nsid w:val="14217E23"/>
    <w:multiLevelType w:val="hybridMultilevel"/>
    <w:lvl w:ilvl="0">
      <w:lvlJc w:val="left"/>
      <w:lvlText w:val="(%1)"/>
      <w:numFmt w:val="lowerRoman"/>
      <w:start w:val="1"/>
    </w:lvl>
  </w:abstractNum>
  <w:abstractNum w:abstractNumId="115">
    <w:nsid w:val="710757D0"/>
    <w:multiLevelType w:val="hybridMultilevel"/>
    <w:lvl w:ilvl="0">
      <w:lvlJc w:val="left"/>
      <w:lvlText w:val="%1."/>
      <w:numFmt w:val="decimal"/>
      <w:start w:val="14"/>
    </w:lvl>
  </w:abstractNum>
  <w:abstractNum w:abstractNumId="116">
    <w:nsid w:val="5015CD1A"/>
    <w:multiLevelType w:val="hybridMultilevel"/>
    <w:lvl w:ilvl="0">
      <w:lvlJc w:val="left"/>
      <w:lvlText w:val="(%1)"/>
      <w:numFmt w:val="lowerLetter"/>
      <w:start w:val="1"/>
    </w:lvl>
  </w:abstractNum>
  <w:abstractNum w:abstractNumId="117">
    <w:nsid w:val="424479DA"/>
    <w:multiLevelType w:val="hybridMultilevel"/>
    <w:lvl w:ilvl="0">
      <w:lvlJc w:val="left"/>
      <w:lvlText w:val="(%1)"/>
      <w:numFmt w:val="lowerLetter"/>
      <w:start w:val="10"/>
    </w:lvl>
    <w:lvl w:ilvl="1">
      <w:lvlJc w:val="left"/>
      <w:lvlText w:val="(%2)"/>
      <w:numFmt w:val="lowerRoman"/>
      <w:start w:val="1"/>
    </w:lvl>
  </w:abstractNum>
  <w:abstractNum w:abstractNumId="118">
    <w:nsid w:val="1A9A9E69"/>
    <w:multiLevelType w:val="hybridMultilevel"/>
    <w:lvl w:ilvl="0">
      <w:lvlJc w:val="left"/>
      <w:lvlText w:val="(%1)"/>
      <w:numFmt w:val="lowerLetter"/>
      <w:start w:val="11"/>
    </w:lvl>
  </w:abstractNum>
  <w:abstractNum w:abstractNumId="119">
    <w:nsid w:val="475E256A"/>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120">
    <w:nsid w:val="368DB37E"/>
    <w:multiLevelType w:val="hybridMultilevel"/>
    <w:lvl w:ilvl="0">
      <w:lvlJc w:val="left"/>
      <w:lvlText w:val="(%1)"/>
      <w:numFmt w:val="lowerLetter"/>
      <w:start w:val="9"/>
    </w:lvl>
    <w:lvl w:ilvl="1">
      <w:lvlJc w:val="left"/>
      <w:lvlText w:val="(%2)"/>
      <w:numFmt w:val="lowerLetter"/>
      <w:start w:val="18"/>
    </w:lvl>
    <w:lvl w:ilvl="2">
      <w:lvlJc w:val="left"/>
      <w:lvlText w:val="(%3)"/>
      <w:numFmt w:val="lowerRoman"/>
      <w:start w:val="1"/>
    </w:lvl>
  </w:abstractNum>
  <w:abstractNum w:abstractNumId="121">
    <w:nsid w:val="6A3B714C"/>
    <w:multiLevelType w:val="hybridMultilevel"/>
    <w:lvl w:ilvl="0">
      <w:lvlJc w:val="left"/>
      <w:lvlText w:val="(%1)"/>
      <w:numFmt w:val="lowerLetter"/>
      <w:start w:val="19"/>
    </w:lvl>
  </w:abstractNum>
  <w:abstractNum w:abstractNumId="122">
    <w:nsid w:val="327B517E"/>
    <w:multiLevelType w:val="hybridMultilevel"/>
    <w:lvl w:ilvl="0">
      <w:lvlJc w:val="left"/>
      <w:lvlText w:val="(%1)"/>
      <w:numFmt w:val="lowerLetter"/>
      <w:start w:val="27"/>
    </w:lvl>
    <w:lvl w:ilvl="1">
      <w:lvlJc w:val="left"/>
      <w:lvlText w:val="(%2)"/>
      <w:numFmt w:val="lowerRoman"/>
      <w:start w:val="1"/>
    </w:lvl>
  </w:abstractNum>
  <w:abstractNum w:abstractNumId="123">
    <w:nsid w:val="1F461B51"/>
    <w:multiLevelType w:val="hybridMultilevel"/>
    <w:lvl w:ilvl="0">
      <w:lvlJc w:val="left"/>
      <w:lvlText w:val="(%1)"/>
      <w:numFmt w:val="lowerLetter"/>
      <w:start w:val="31"/>
    </w:lvl>
  </w:abstractNum>
  <w:abstractNum w:abstractNumId="124">
    <w:nsid w:val="29BACF25"/>
    <w:multiLevelType w:val="hybridMultilevel"/>
    <w:lvl w:ilvl="0">
      <w:lvlJc w:val="left"/>
      <w:lvlText w:val="(%1)"/>
      <w:numFmt w:val="lowerLetter"/>
      <w:start w:val="42"/>
    </w:lvl>
  </w:abstractNum>
  <w:abstractNum w:abstractNumId="125">
    <w:nsid w:val="5D5BABB3"/>
    <w:multiLevelType w:val="hybridMultilevel"/>
    <w:lvl w:ilvl="0">
      <w:lvlJc w:val="left"/>
      <w:lvlText w:val="(%1)"/>
      <w:numFmt w:val="lowerLetter"/>
      <w:start w:val="50"/>
    </w:lvl>
  </w:abstractNum>
  <w:abstractNum w:abstractNumId="126">
    <w:nsid w:val="51BF6B48"/>
    <w:multiLevelType w:val="hybridMultilevel"/>
    <w:lvl w:ilvl="0">
      <w:lvlJc w:val="left"/>
      <w:lvlText w:val="(%1)"/>
      <w:numFmt w:val="lowerLetter"/>
      <w:start w:val="53"/>
    </w:lvl>
  </w:abstractNum>
  <w:abstractNum w:abstractNumId="127">
    <w:nsid w:val="7E0F6384"/>
    <w:multiLevelType w:val="hybridMultilevel"/>
    <w:lvl w:ilvl="0">
      <w:lvlJc w:val="left"/>
      <w:lvlText w:val="(%1)"/>
      <w:numFmt w:val="lowerLetter"/>
      <w:start w:val="61"/>
    </w:lvl>
  </w:abstractNum>
  <w:abstractNum w:abstractNumId="128">
    <w:nsid w:val="2B4B8B53"/>
    <w:multiLevelType w:val="hybridMultilevel"/>
    <w:lvl w:ilvl="0">
      <w:lvlJc w:val="left"/>
      <w:lvlText w:val="%1."/>
      <w:numFmt w:val="decimal"/>
      <w:start w:val="1"/>
    </w:lvl>
  </w:abstractNum>
  <w:abstractNum w:abstractNumId="129">
    <w:nsid w:val="72E3413A"/>
    <w:multiLevelType w:val="hybridMultilevel"/>
    <w:lvl w:ilvl="0">
      <w:lvlJc w:val="left"/>
      <w:lvlText w:val="•"/>
      <w:numFmt w:val="bullet"/>
      <w:start w:val="1"/>
    </w:lvl>
  </w:abstractNum>
  <w:abstractNum w:abstractNumId="130">
    <w:nsid w:val="116AE494"/>
    <w:multiLevelType w:val="hybridMultilevel"/>
    <w:lvl w:ilvl="0">
      <w:lvlJc w:val="left"/>
      <w:lvlText w:val="•"/>
      <w:numFmt w:val="bullet"/>
      <w:start w:val="1"/>
    </w:lvl>
  </w:abstractNum>
  <w:abstractNum w:abstractNumId="131">
    <w:nsid w:val="3494B2FB"/>
    <w:multiLevelType w:val="hybridMultilevel"/>
    <w:lvl w:ilvl="0">
      <w:lvlJc w:val="left"/>
      <w:lvlText w:val="%1."/>
      <w:numFmt w:val="decimal"/>
      <w:start w:val="1"/>
    </w:lvl>
    <w:lvl w:ilvl="1">
      <w:lvlJc w:val="left"/>
      <w:lvlText w:val="(%2)"/>
      <w:numFmt w:val="lowerLetter"/>
      <w:start w:val="1"/>
    </w:lvl>
  </w:abstractNum>
  <w:abstractNum w:abstractNumId="132">
    <w:nsid w:val="B13A31"/>
    <w:multiLevelType w:val="hybridMultilevel"/>
    <w:lvl w:ilvl="0">
      <w:lvlJc w:val="left"/>
      <w:lvlText w:val="%1."/>
      <w:numFmt w:val="decimal"/>
      <w:start w:val="2"/>
    </w:lvl>
  </w:abstractNum>
  <w:abstractNum w:abstractNumId="133">
    <w:nsid w:val="64429599"/>
    <w:multiLevelType w:val="hybridMultilevel"/>
    <w:lvl w:ilvl="0">
      <w:lvlJc w:val="left"/>
      <w:lvlText w:val="(%1)"/>
      <w:numFmt w:val="lowerLetter"/>
      <w:start w:val="1"/>
    </w:lvl>
    <w:lvl w:ilvl="1">
      <w:lvlJc w:val="left"/>
      <w:lvlText w:val="(%2)"/>
      <w:numFmt w:val="lowerRoman"/>
      <w:start w:val="1"/>
    </w:lvl>
  </w:abstractNum>
  <w:abstractNum w:abstractNumId="134">
    <w:nsid w:val="631F1690"/>
    <w:multiLevelType w:val="hybridMultilevel"/>
    <w:lvl w:ilvl="0">
      <w:lvlJc w:val="left"/>
      <w:lvlText w:val="%1."/>
      <w:numFmt w:val="decimal"/>
      <w:start w:val="3"/>
    </w:lvl>
    <w:lvl w:ilvl="1">
      <w:lvlJc w:val="left"/>
      <w:lvlText w:val="(%2)"/>
      <w:numFmt w:val="lowerLetter"/>
      <w:start w:val="1"/>
    </w:lvl>
  </w:abstractNum>
  <w:abstractNum w:abstractNumId="135">
    <w:nsid w:val="25973E32"/>
    <w:multiLevelType w:val="hybridMultilevel"/>
    <w:lvl w:ilvl="0">
      <w:lvlJc w:val="left"/>
      <w:lvlText w:val="%1."/>
      <w:numFmt w:val="decimal"/>
      <w:start w:val="4"/>
    </w:lvl>
  </w:abstractNum>
  <w:abstractNum w:abstractNumId="136">
    <w:nsid w:val="EAD6F57"/>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137">
    <w:nsid w:val="6EC9D844"/>
    <w:multiLevelType w:val="hybridMultilevel"/>
    <w:lvl w:ilvl="0">
      <w:lvlJc w:val="left"/>
      <w:lvlText w:val="(%1)"/>
      <w:numFmt w:val="decimal"/>
      <w:start w:val="1"/>
    </w:lvl>
    <w:lvl w:ilvl="1">
      <w:lvlJc w:val="left"/>
      <w:lvlText w:val="%2."/>
      <w:numFmt w:val="decimal"/>
      <w:start w:val="11"/>
    </w:lvl>
    <w:lvl w:ilvl="2">
      <w:lvlJc w:val="left"/>
      <w:lvlText w:val="*"/>
      <w:numFmt w:val="bullet"/>
      <w:start w:val="1"/>
    </w:lvl>
  </w:abstractNum>
  <w:abstractNum w:abstractNumId="138">
    <w:nsid w:val="5C49EAEE"/>
    <w:multiLevelType w:val="hybridMultilevel"/>
    <w:lvl w:ilvl="0">
      <w:lvlJc w:val="left"/>
      <w:lvlText w:val="•"/>
      <w:numFmt w:val="bullet"/>
      <w:start w:val="1"/>
    </w:lvl>
  </w:abstractNum>
  <w:abstractNum w:abstractNumId="139">
    <w:nsid w:val="64AF49B"/>
    <w:multiLevelType w:val="hybridMultilevel"/>
    <w:lvl w:ilvl="0">
      <w:lvlJc w:val="left"/>
      <w:lvlText w:val="•"/>
      <w:numFmt w:val="bullet"/>
      <w:start w:val="1"/>
    </w:lvl>
  </w:abstractNum>
  <w:abstractNum w:abstractNumId="140">
    <w:nsid w:val="397C46BC"/>
    <w:multiLevelType w:val="hybridMultilevel"/>
    <w:lvl w:ilvl="0">
      <w:lvlJc w:val="left"/>
      <w:lvlText w:val="%1."/>
      <w:numFmt w:val="decimal"/>
      <w:start w:val="1"/>
    </w:lvl>
    <w:lvl w:ilvl="1">
      <w:lvlJc w:val="left"/>
      <w:lvlText w:val="(%2)"/>
      <w:numFmt w:val="lowerLetter"/>
      <w:start w:val="1"/>
    </w:lvl>
  </w:abstractNum>
  <w:abstractNum w:abstractNumId="141">
    <w:nsid w:val="7E448DE9"/>
    <w:multiLevelType w:val="hybridMultilevel"/>
    <w:lvl w:ilvl="0">
      <w:lvlJc w:val="left"/>
      <w:lvlText w:val="%1."/>
      <w:numFmt w:val="decimal"/>
      <w:start w:val="2"/>
    </w:lvl>
    <w:lvl w:ilvl="1">
      <w:lvlJc w:val="left"/>
      <w:lvlText w:val="(%2)"/>
      <w:numFmt w:val="lowerLetter"/>
      <w:start w:val="1"/>
    </w:lvl>
  </w:abstractNum>
  <w:abstractNum w:abstractNumId="142">
    <w:nsid w:val="5A9CC3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3">
    <w:nsid w:val="1AFE3625"/>
    <w:multiLevelType w:val="hybridMultilevel"/>
    <w:lvl w:ilvl="0">
      <w:lvlJc w:val="left"/>
      <w:lvlText w:val="(%1)"/>
      <w:numFmt w:val="lowerLetter"/>
      <w:start w:val="1"/>
    </w:lvl>
  </w:abstractNum>
  <w:abstractNum w:abstractNumId="144">
    <w:nsid w:val="3CA88ECF"/>
    <w:multiLevelType w:val="hybridMultilevel"/>
    <w:lvl w:ilvl="0">
      <w:lvlJc w:val="left"/>
      <w:lvlText w:val="(%1)"/>
      <w:numFmt w:val="lowerLetter"/>
      <w:start w:val="4"/>
    </w:lvl>
  </w:abstractNum>
  <w:abstractNum w:abstractNumId="145">
    <w:nsid w:val="6EBE4208"/>
    <w:multiLevelType w:val="hybridMultilevel"/>
    <w:lvl w:ilvl="0">
      <w:lvlJc w:val="left"/>
      <w:lvlText w:val="(%1)"/>
      <w:numFmt w:val="lowerLetter"/>
      <w:start w:val="5"/>
    </w:lvl>
  </w:abstractNum>
  <w:abstractNum w:abstractNumId="146">
    <w:nsid w:val="C058DF5"/>
    <w:multiLevelType w:val="hybridMultilevel"/>
    <w:lvl w:ilvl="0">
      <w:lvlJc w:val="left"/>
      <w:lvlText w:val="%1"/>
      <w:numFmt w:val="decimal"/>
      <w:start w:val="1"/>
    </w:lvl>
    <w:lvl w:ilvl="1">
      <w:lvlJc w:val="left"/>
      <w:lvlText w:val="%2."/>
      <w:numFmt w:val="decimal"/>
      <w:start w:val="5"/>
    </w:lvl>
  </w:abstractNum>
  <w:abstractNum w:abstractNumId="147">
    <w:nsid w:val="CBE5BE9"/>
    <w:multiLevelType w:val="hybridMultilevel"/>
    <w:lvl w:ilvl="0">
      <w:lvlJc w:val="left"/>
      <w:lvlText w:val="(%1)"/>
      <w:numFmt w:val="decimal"/>
      <w:start w:val="1"/>
    </w:lvl>
    <w:lvl w:ilvl="1">
      <w:lvlJc w:val="left"/>
      <w:lvlText w:val="%2."/>
      <w:numFmt w:val="decimal"/>
      <w:start w:val="11"/>
    </w:lvl>
  </w:abstractNum>
  <w:abstractNum w:abstractNumId="148">
    <w:nsid w:val="3102BBE2"/>
    <w:multiLevelType w:val="hybridMultilevel"/>
    <w:lvl w:ilvl="0">
      <w:lvlJc w:val="left"/>
      <w:lvlText w:val="•"/>
      <w:numFmt w:val="bullet"/>
      <w:start w:val="1"/>
    </w:lvl>
  </w:abstractNum>
  <w:abstractNum w:abstractNumId="149">
    <w:nsid w:val="26A02C5E"/>
    <w:multiLevelType w:val="hybridMultilevel"/>
    <w:lvl w:ilvl="0">
      <w:lvlJc w:val="left"/>
      <w:lvlText w:val="%1."/>
      <w:numFmt w:val="decimal"/>
      <w:start w:val="1"/>
    </w:lvl>
    <w:lvl w:ilvl="1">
      <w:lvlJc w:val="left"/>
      <w:lvlText w:val="(%2)"/>
      <w:numFmt w:val="lowerLetter"/>
      <w:start w:val="1"/>
    </w:lvl>
  </w:abstractNum>
  <w:abstractNum w:abstractNumId="150">
    <w:nsid w:val="541C8153"/>
    <w:multiLevelType w:val="hybridMultilevel"/>
    <w:lvl w:ilvl="0">
      <w:lvlJc w:val="left"/>
      <w:lvlText w:val="%1."/>
      <w:numFmt w:val="decimal"/>
      <w:start w:val="2"/>
    </w:lvl>
  </w:abstractNum>
  <w:abstractNum w:abstractNumId="151">
    <w:nsid w:val="67906F6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2">
    <w:nsid w:val="10DB9DAA"/>
    <w:multiLevelType w:val="hybridMultilevel"/>
    <w:lvl w:ilvl="0">
      <w:lvlJc w:val="left"/>
      <w:lvlText w:val="%1"/>
      <w:numFmt w:val="decimal"/>
      <w:start w:val="1"/>
    </w:lvl>
    <w:lvl w:ilvl="1">
      <w:lvlJc w:val="left"/>
      <w:lvlText w:val="(%2)"/>
      <w:numFmt w:val="lowerLetter"/>
      <w:start w:val="3"/>
    </w:lvl>
  </w:abstractNum>
  <w:abstractNum w:abstractNumId="153">
    <w:nsid w:val="697D2D2"/>
    <w:multiLevelType w:val="hybridMultilevel"/>
    <w:lvl w:ilvl="0">
      <w:lvlJc w:val="left"/>
      <w:lvlText w:val="%1."/>
      <w:numFmt w:val="decimal"/>
      <w:start w:val="6"/>
    </w:lvl>
    <w:lvl w:ilvl="1">
      <w:lvlJc w:val="left"/>
      <w:lvlText w:val="%2"/>
      <w:numFmt w:val="lowerLetter"/>
      <w:start w:val="1"/>
    </w:lvl>
  </w:abstractNum>
  <w:abstractNum w:abstractNumId="154">
    <w:nsid w:val="6D68AB2"/>
    <w:multiLevelType w:val="hybridMultilevel"/>
    <w:lvl w:ilvl="0">
      <w:lvlJc w:val="left"/>
      <w:lvlText w:val="%1"/>
      <w:numFmt w:val="decimal"/>
      <w:start w:val="1"/>
    </w:lvl>
    <w:lvl w:ilvl="1">
      <w:lvlJc w:val="left"/>
      <w:lvlText w:val="%2."/>
      <w:numFmt w:val="decimal"/>
      <w:start w:val="10"/>
    </w:lvl>
  </w:abstractNum>
  <w:abstractNum w:abstractNumId="155">
    <w:nsid w:val="3A966CD0"/>
    <w:multiLevelType w:val="hybridMultilevel"/>
    <w:lvl w:ilvl="0">
      <w:lvlJc w:val="left"/>
      <w:lvlText w:val="(%1)"/>
      <w:numFmt w:val="decimal"/>
      <w:start w:val="1"/>
    </w:lvl>
    <w:lvl w:ilvl="1">
      <w:lvlJc w:val="left"/>
      <w:lvlText w:val="%2."/>
      <w:numFmt w:val="decimal"/>
      <w:start w:val="11"/>
    </w:lvl>
  </w:abstractNum>
  <w:abstractNum w:abstractNumId="156">
    <w:nsid w:val="63F37E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7">
    <w:nsid w:val="5895F5FA"/>
    <w:multiLevelType w:val="hybridMultilevel"/>
    <w:lvl w:ilvl="0">
      <w:lvlJc w:val="left"/>
      <w:lvlText w:val="(%1)"/>
      <w:numFmt w:val="lowerRoman"/>
      <w:start w:val="4"/>
    </w:lvl>
  </w:abstractNum>
  <w:abstractNum w:abstractNumId="158">
    <w:nsid w:val="38A5D054"/>
    <w:multiLevelType w:val="hybridMultilevel"/>
    <w:lvl w:ilvl="0">
      <w:lvlJc w:val="left"/>
      <w:lvlText w:val="%1"/>
      <w:numFmt w:val="lowerLetter"/>
      <w:start w:val="1"/>
    </w:lvl>
    <w:lvl w:ilvl="1">
      <w:lvlJc w:val="left"/>
      <w:lvlText w:val="(%2)"/>
      <w:numFmt w:val="decimal"/>
      <w:start w:val="1"/>
    </w:lvl>
  </w:abstractNum>
  <w:abstractNum w:abstractNumId="159">
    <w:nsid w:val="F3F09D8"/>
    <w:multiLevelType w:val="hybridMultilevel"/>
    <w:lvl w:ilvl="0">
      <w:lvlJc w:val="left"/>
      <w:lvlText w:val="(%1)"/>
      <w:numFmt w:val="lowerLetter"/>
      <w:start w:val="2"/>
    </w:lvl>
    <w:lvl w:ilvl="1">
      <w:lvlJc w:val="left"/>
      <w:lvlText w:val="%2"/>
      <w:numFmt w:val="decimal"/>
      <w:start w:val="1"/>
    </w:lvl>
  </w:abstractNum>
  <w:abstractNum w:abstractNumId="160">
    <w:nsid w:val="4B793735"/>
    <w:multiLevelType w:val="hybridMultilevel"/>
    <w:lvl w:ilvl="0">
      <w:lvlJc w:val="left"/>
      <w:lvlText w:val="%1"/>
      <w:numFmt w:val="decimal"/>
      <w:start w:val="1"/>
    </w:lvl>
    <w:lvl w:ilvl="1">
      <w:lvlJc w:val="left"/>
      <w:lvlText w:val="(%2)"/>
      <w:numFmt w:val="lowerLetter"/>
      <w:start w:val="7"/>
    </w:lvl>
  </w:abstractNum>
  <w:abstractNum w:abstractNumId="161">
    <w:nsid w:val="4A10B4E8"/>
    <w:multiLevelType w:val="hybridMultilevel"/>
    <w:lvl w:ilvl="0">
      <w:lvlJc w:val="left"/>
      <w:lvlText w:val="%1."/>
      <w:numFmt w:val="decimal"/>
      <w:start w:val="2"/>
    </w:lvl>
    <w:lvl w:ilvl="1">
      <w:lvlJc w:val="left"/>
      <w:lvlText w:val="%2"/>
      <w:numFmt w:val="lowerLetter"/>
      <w:start w:val="1"/>
    </w:lvl>
  </w:abstractNum>
  <w:abstractNum w:abstractNumId="162">
    <w:nsid w:val="43D3BC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3">
    <w:nsid w:val="4C2A7166"/>
    <w:multiLevelType w:val="hybridMultilevel"/>
    <w:lvl w:ilvl="0">
      <w:lvlJc w:val="left"/>
      <w:lvlText w:val="%1"/>
      <w:numFmt w:val="decimal"/>
      <w:start w:val="1"/>
    </w:lvl>
    <w:lvl w:ilvl="1">
      <w:lvlJc w:val="left"/>
      <w:lvlText w:val="(%2)"/>
      <w:numFmt w:val="lowerLetter"/>
      <w:start w:val="1"/>
    </w:lvl>
  </w:abstractNum>
  <w:abstractNum w:abstractNumId="164">
    <w:nsid w:val="2E534A82"/>
    <w:multiLevelType w:val="hybridMultilevel"/>
    <w:lvl w:ilvl="0">
      <w:lvlJc w:val="left"/>
      <w:lvlText w:val="%1."/>
      <w:numFmt w:val="decimal"/>
      <w:start w:val="8"/>
    </w:lvl>
    <w:lvl w:ilvl="1">
      <w:lvlJc w:val="left"/>
      <w:lvlText w:val="(%2)"/>
      <w:numFmt w:val="lowerLetter"/>
      <w:start w:val="1"/>
    </w:lvl>
  </w:abstractNum>
  <w:abstractNum w:abstractNumId="165">
    <w:nsid w:val="26F2D364"/>
    <w:multiLevelType w:val="hybridMultilevel"/>
    <w:lvl w:ilvl="0">
      <w:lvlJc w:val="left"/>
      <w:lvlText w:val="%1"/>
      <w:numFmt w:val="decimal"/>
      <w:start w:val="1"/>
    </w:lvl>
    <w:lvl w:ilvl="1">
      <w:lvlJc w:val="left"/>
      <w:lvlText w:val="(%2)"/>
      <w:numFmt w:val="lowerLetter"/>
      <w:start w:val="2"/>
    </w:lvl>
  </w:abstractNum>
  <w:abstractNum w:abstractNumId="166">
    <w:nsid w:val="71C1AF98"/>
    <w:multiLevelType w:val="hybridMultilevel"/>
    <w:lvl w:ilvl="0">
      <w:lvlJc w:val="left"/>
      <w:lvlText w:val="%1."/>
      <w:numFmt w:val="decimal"/>
      <w:start w:val="10"/>
    </w:lvl>
    <w:lvl w:ilvl="1">
      <w:lvlJc w:val="left"/>
      <w:lvlText w:val="(%2)"/>
      <w:numFmt w:val="lowerLetter"/>
      <w:start w:val="1"/>
    </w:lvl>
  </w:abstractNum>
  <w:abstractNum w:abstractNumId="167">
    <w:nsid w:val="3D00B9D9"/>
    <w:multiLevelType w:val="hybridMultilevel"/>
    <w:lvl w:ilvl="0">
      <w:lvlJc w:val="left"/>
      <w:lvlText w:val="%1"/>
      <w:numFmt w:val="decimal"/>
      <w:start w:val="1"/>
    </w:lvl>
    <w:lvl w:ilvl="1">
      <w:lvlJc w:val="left"/>
      <w:lvlText w:val="(%2)"/>
      <w:numFmt w:val="lowerLetter"/>
      <w:start w:val="3"/>
    </w:lvl>
  </w:abstractNum>
  <w:abstractNum w:abstractNumId="168">
    <w:nsid w:val="15BCABA8"/>
    <w:multiLevelType w:val="hybridMultilevel"/>
    <w:lvl w:ilvl="0">
      <w:lvlJc w:val="left"/>
      <w:lvlText w:val="%1."/>
      <w:numFmt w:val="decimal"/>
      <w:start w:val="11"/>
    </w:lvl>
    <w:lvl w:ilvl="1">
      <w:lvlJc w:val="left"/>
      <w:lvlText w:val="(%2)"/>
      <w:numFmt w:val="lowerLetter"/>
      <w:start w:val="1"/>
    </w:lvl>
  </w:abstractNum>
  <w:abstractNum w:abstractNumId="169">
    <w:nsid w:val="4E0B9A87"/>
    <w:multiLevelType w:val="hybridMultilevel"/>
    <w:lvl w:ilvl="0">
      <w:lvlJc w:val="left"/>
      <w:lvlText w:val="%1"/>
      <w:numFmt w:val="decimal"/>
      <w:start w:val="1"/>
    </w:lvl>
    <w:lvl w:ilvl="1">
      <w:lvlJc w:val="left"/>
      <w:lvlText w:val="(%2)"/>
      <w:numFmt w:val="lowerLetter"/>
      <w:start w:val="2"/>
    </w:lvl>
  </w:abstractNum>
  <w:abstractNum w:abstractNumId="170">
    <w:nsid w:val="434BAE75"/>
    <w:multiLevelType w:val="hybridMultilevel"/>
    <w:lvl w:ilvl="0">
      <w:lvlJc w:val="left"/>
      <w:lvlText w:val="%1."/>
      <w:numFmt w:val="decimal"/>
      <w:start w:val="12"/>
    </w:lvl>
    <w:lvl w:ilvl="1">
      <w:lvlJc w:val="left"/>
      <w:lvlText w:val="(%2)"/>
      <w:numFmt w:val="lowerLetter"/>
      <w:start w:val="1"/>
    </w:lvl>
  </w:abstractNum>
  <w:abstractNum w:abstractNumId="171">
    <w:nsid w:val="4F38F26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2">
    <w:nsid w:val="4C502870"/>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4"/>
    </w:lvl>
  </w:abstractNum>
  <w:abstractNum w:abstractNumId="173">
    <w:nsid w:val="1DE8725A"/>
    <w:multiLevelType w:val="hybridMultilevel"/>
    <w:lvl w:ilvl="0">
      <w:lvlJc w:val="left"/>
      <w:lvlText w:val="%1."/>
      <w:numFmt w:val="decimal"/>
      <w:start w:val="15"/>
    </w:lvl>
  </w:abstractNum>
  <w:abstractNum w:abstractNumId="174">
    <w:nsid w:val="6A37288A"/>
    <w:multiLevelType w:val="hybridMultilevel"/>
    <w:lvl w:ilvl="0">
      <w:lvlJc w:val="left"/>
      <w:lvlText w:val="%1."/>
      <w:numFmt w:val="decimal"/>
      <w:start w:val="20"/>
    </w:lvl>
  </w:abstractNum>
  <w:abstractNum w:abstractNumId="175">
    <w:nsid w:val="8F8B73F"/>
    <w:multiLevelType w:val="hybridMultilevel"/>
    <w:lvl w:ilvl="0">
      <w:lvlJc w:val="left"/>
      <w:lvlText w:val="%1."/>
      <w:numFmt w:val="decimal"/>
      <w:start w:val="26"/>
    </w:lvl>
    <w:lvl w:ilvl="1">
      <w:lvlJc w:val="left"/>
      <w:lvlText w:val="(%2)"/>
      <w:numFmt w:val="lowerLetter"/>
      <w:start w:val="1"/>
    </w:lvl>
  </w:abstractNum>
  <w:abstractNum w:abstractNumId="176">
    <w:nsid w:val="CA6B462"/>
    <w:multiLevelType w:val="hybridMultilevel"/>
    <w:lvl w:ilvl="0">
      <w:lvlJc w:val="left"/>
      <w:lvlText w:val="%1."/>
      <w:numFmt w:val="decimal"/>
      <w:start w:val="27"/>
    </w:lvl>
  </w:abstractNum>
  <w:abstractNum w:abstractNumId="177">
    <w:nsid w:val="763CB680"/>
    <w:multiLevelType w:val="hybridMultilevel"/>
    <w:lvl w:ilvl="0">
      <w:lvlJc w:val="left"/>
      <w:lvlText w:val="%1."/>
      <w:numFmt w:val="decimal"/>
      <w:start w:val="1"/>
    </w:lvl>
  </w:abstractNum>
  <w:abstractNum w:abstractNumId="178">
    <w:nsid w:val="15B71329"/>
    <w:multiLevelType w:val="hybridMultilevel"/>
    <w:lvl w:ilvl="0">
      <w:lvlJc w:val="left"/>
      <w:lvlText w:val="(%1)"/>
      <w:numFmt w:val="lowerLetter"/>
      <w:start w:val="2"/>
    </w:lvl>
  </w:abstractNum>
  <w:abstractNum w:abstractNumId="179">
    <w:nsid w:val="3DA97044"/>
    <w:multiLevelType w:val="hybridMultilevel"/>
    <w:lvl w:ilvl="0">
      <w:lvlJc w:val="left"/>
      <w:lvlText w:val="%1."/>
      <w:numFmt w:val="decimal"/>
      <w:start w:val="2"/>
    </w:lvl>
  </w:abstractNum>
  <w:abstractNum w:abstractNumId="180">
    <w:nsid w:val="1CDCE2DE"/>
    <w:multiLevelType w:val="hybridMultilevel"/>
    <w:lvl w:ilvl="0">
      <w:lvlJc w:val="left"/>
      <w:lvlText w:val="%1"/>
      <w:numFmt w:val="decimal"/>
      <w:start w:val="1"/>
    </w:lvl>
    <w:lvl w:ilvl="1">
      <w:lvlJc w:val="left"/>
      <w:lvlText w:val="(%2)"/>
      <w:numFmt w:val="lowerLetter"/>
      <w:start w:val="1"/>
    </w:lvl>
  </w:abstractNum>
  <w:abstractNum w:abstractNumId="181">
    <w:nsid w:val="69D3947C"/>
    <w:multiLevelType w:val="hybridMultilevel"/>
    <w:lvl w:ilvl="0">
      <w:lvlJc w:val="left"/>
      <w:lvlText w:val="%1."/>
      <w:numFmt w:val="decimal"/>
      <w:start w:val="3"/>
    </w:lvl>
    <w:lvl w:ilvl="1">
      <w:lvlJc w:val="left"/>
      <w:lvlText w:val="(%2)"/>
      <w:numFmt w:val="lowerLetter"/>
      <w:start w:val="2"/>
    </w:lvl>
  </w:abstractNum>
  <w:abstractNum w:abstractNumId="182">
    <w:nsid w:val="2539DFA5"/>
    <w:multiLevelType w:val="hybridMultilevel"/>
    <w:lvl w:ilvl="0">
      <w:lvlJc w:val="left"/>
      <w:lvlText w:val="%1."/>
      <w:numFmt w:val="decimal"/>
      <w:start w:val="1"/>
    </w:lvl>
    <w:lvl w:ilvl="1">
      <w:lvlJc w:val="left"/>
      <w:lvlText w:val="(%2)"/>
      <w:numFmt w:val="lowerLetter"/>
      <w:start w:val="1"/>
    </w:lvl>
  </w:abstractNum>
  <w:abstractNum w:abstractNumId="183">
    <w:nsid w:val="2DB88089"/>
    <w:multiLevelType w:val="hybridMultilevel"/>
    <w:lvl w:ilvl="0">
      <w:lvlJc w:val="left"/>
      <w:lvlText w:val="%1."/>
      <w:numFmt w:val="decimal"/>
      <w:start w:val="2"/>
    </w:lvl>
    <w:lvl w:ilvl="1">
      <w:lvlJc w:val="left"/>
      <w:lvlText w:val="(%2)"/>
      <w:numFmt w:val="lowerLetter"/>
      <w:start w:val="1"/>
    </w:lvl>
  </w:abstractNum>
  <w:abstractNum w:abstractNumId="184">
    <w:nsid w:val="706B674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5">
    <w:nsid w:val="2C106A5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6">
    <w:nsid w:val="684EED59"/>
    <w:multiLevelType w:val="hybridMultilevel"/>
    <w:lvl w:ilvl="0">
      <w:lvlJc w:val="left"/>
      <w:lvlText w:val="(%1)"/>
      <w:numFmt w:val="lowerLetter"/>
      <w:start w:val="2"/>
    </w:lvl>
    <w:lvl w:ilvl="1">
      <w:lvlJc w:val="left"/>
      <w:lvlText w:val="(%2)"/>
      <w:numFmt w:val="lowerRoman"/>
      <w:start w:val="1"/>
    </w:lvl>
  </w:abstractNum>
  <w:abstractNum w:abstractNumId="187">
    <w:nsid w:val="545EE5D3"/>
    <w:multiLevelType w:val="hybridMultilevel"/>
    <w:lvl w:ilvl="0">
      <w:lvlJc w:val="left"/>
      <w:lvlText w:val="(%1)"/>
      <w:numFmt w:val="lowerRoman"/>
      <w:start w:val="5"/>
    </w:lvl>
  </w:abstractNum>
  <w:abstractNum w:abstractNumId="188">
    <w:nsid w:val="4A66051"/>
    <w:multiLevelType w:val="hybridMultilevel"/>
    <w:lvl w:ilvl="0">
      <w:lvlJc w:val="left"/>
      <w:lvlText w:val="(%1)"/>
      <w:numFmt w:val="lowerLetter"/>
      <w:start w:val="4"/>
    </w:lvl>
    <w:lvl w:ilvl="1">
      <w:lvlJc w:val="left"/>
      <w:lvlText w:val="(%2)"/>
      <w:numFmt w:val="lowerRoman"/>
      <w:start w:val="1"/>
    </w:lvl>
  </w:abstractNum>
  <w:abstractNum w:abstractNumId="189">
    <w:nsid w:val="20F4BDAD"/>
    <w:multiLevelType w:val="hybridMultilevel"/>
    <w:lvl w:ilvl="0">
      <w:lvlJc w:val="left"/>
      <w:lvlText w:val="(%1)"/>
      <w:numFmt w:val="lowerLetter"/>
      <w:start w:val="6"/>
    </w:lvl>
    <w:lvl w:ilvl="1">
      <w:lvlJc w:val="left"/>
      <w:lvlText w:val="(%2)"/>
      <w:numFmt w:val="lowerRoman"/>
      <w:start w:val="1"/>
    </w:lvl>
  </w:abstractNum>
  <w:abstractNum w:abstractNumId="190">
    <w:nsid w:val="639DEFAC"/>
    <w:multiLevelType w:val="hybridMultilevel"/>
    <w:lvl w:ilvl="0">
      <w:lvlJc w:val="left"/>
      <w:lvlText w:val="(%1)"/>
      <w:numFmt w:val="decimal"/>
      <w:start w:val="30"/>
    </w:lvl>
  </w:abstractNum>
  <w:abstractNum w:abstractNumId="191">
    <w:nsid w:val="501F9786"/>
    <w:multiLevelType w:val="hybridMultilevel"/>
    <w:lvl w:ilvl="0">
      <w:lvlJc w:val="left"/>
      <w:lvlText w:val="%1."/>
      <w:numFmt w:val="decimal"/>
      <w:start w:val="4"/>
    </w:lvl>
    <w:lvl w:ilvl="1">
      <w:lvlJc w:val="left"/>
      <w:lvlText w:val="(%2)"/>
      <w:numFmt w:val="lowerLetter"/>
      <w:start w:val="1"/>
    </w:lvl>
  </w:abstractNum>
  <w:abstractNum w:abstractNumId="192">
    <w:nsid w:val="6B057295"/>
    <w:multiLevelType w:val="hybridMultilevel"/>
    <w:lvl w:ilvl="0">
      <w:lvlJc w:val="left"/>
      <w:lvlText w:val="%1"/>
      <w:numFmt w:val="decimal"/>
      <w:start w:val="1"/>
    </w:lvl>
    <w:lvl w:ilvl="1">
      <w:lvlJc w:val="left"/>
      <w:lvlText w:val="(%2)"/>
      <w:numFmt w:val="lowerLetter"/>
      <w:start w:val="3"/>
    </w:lvl>
  </w:abstractNum>
  <w:abstractNum w:abstractNumId="193">
    <w:nsid w:val="2771AC80"/>
    <w:multiLevelType w:val="hybridMultilevel"/>
    <w:lvl w:ilvl="0">
      <w:lvlJc w:val="left"/>
      <w:lvlText w:val="%1."/>
      <w:numFmt w:val="decimal"/>
      <w:start w:val="5"/>
    </w:lvl>
    <w:lvl w:ilvl="1">
      <w:lvlJc w:val="left"/>
      <w:lvlText w:val="(%2)"/>
      <w:numFmt w:val="lowerLetter"/>
      <w:start w:val="1"/>
    </w:lvl>
  </w:abstractNum>
  <w:abstractNum w:abstractNumId="194">
    <w:nsid w:val="1C4A08EC"/>
    <w:multiLevelType w:val="hybridMultilevel"/>
    <w:lvl w:ilvl="0">
      <w:lvlJc w:val="left"/>
      <w:lvlText w:val="(%1)"/>
      <w:numFmt w:val="lowerLetter"/>
      <w:start w:val="3"/>
    </w:lvl>
  </w:abstractNum>
  <w:abstractNum w:abstractNumId="195">
    <w:nsid w:val="1958BD1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96">
    <w:nsid w:val="4E647FE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97">
    <w:nsid w:val="E0BB88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98">
    <w:nsid w:val="565976F1"/>
    <w:multiLevelType w:val="hybridMultilevel"/>
    <w:lvl w:ilvl="0">
      <w:lvlJc w:val="left"/>
      <w:lvlText w:val="%1"/>
      <w:numFmt w:val="upperLetter"/>
      <w:start w:val="1"/>
    </w:lvl>
    <w:lvl w:ilvl="1">
      <w:lvlJc w:val="left"/>
      <w:lvlText w:val="(%2)"/>
      <w:numFmt w:val="lowerLetter"/>
      <w:start w:val="1"/>
    </w:lvl>
  </w:abstractNum>
  <w:abstractNum w:abstractNumId="199">
    <w:nsid w:val="64212B8C"/>
    <w:multiLevelType w:val="hybridMultilevel"/>
    <w:lvl w:ilvl="0">
      <w:lvlJc w:val="left"/>
      <w:lvlText w:val="(%1)"/>
      <w:numFmt w:val="upperLetter"/>
      <w:start w:val="1"/>
    </w:lvl>
    <w:lvl w:ilvl="1">
      <w:lvlJc w:val="left"/>
      <w:lvlText w:val="(%2)"/>
      <w:numFmt w:val="lowerLetter"/>
      <w:start w:val="2"/>
    </w:lvl>
  </w:abstractNum>
  <w:abstractNum w:abstractNumId="200">
    <w:nsid w:val="5C17530C"/>
    <w:multiLevelType w:val="hybridMultilevel"/>
    <w:lvl w:ilvl="0">
      <w:lvlJc w:val="left"/>
      <w:lvlText w:val="%1"/>
      <w:numFmt w:val="decimal"/>
      <w:start w:val="1"/>
    </w:lvl>
    <w:lvl w:ilvl="1">
      <w:lvlJc w:val="left"/>
      <w:lvlText w:val="(%2)"/>
      <w:numFmt w:val="lowerLetter"/>
      <w:start w:val="3"/>
    </w:lvl>
  </w:abstractNum>
  <w:abstractNum w:abstractNumId="201">
    <w:nsid w:val="19A52566"/>
    <w:multiLevelType w:val="hybridMultilevel"/>
    <w:lvl w:ilvl="0">
      <w:lvlJc w:val="left"/>
      <w:lvlText w:val="%1."/>
      <w:numFmt w:val="decimal"/>
      <w:start w:val="7"/>
    </w:lvl>
    <w:lvl w:ilvl="1">
      <w:lvlJc w:val="left"/>
      <w:lvlText w:val="(%2)"/>
      <w:numFmt w:val="lowerLetter"/>
      <w:start w:val="1"/>
    </w:lvl>
  </w:abstractNum>
  <w:abstractNum w:abstractNumId="202">
    <w:nsid w:val="335A1DF1"/>
    <w:multiLevelType w:val="hybridMultilevel"/>
    <w:lvl w:ilvl="0">
      <w:lvlJc w:val="left"/>
      <w:lvlText w:val="%1"/>
      <w:numFmt w:val="decimal"/>
      <w:start w:val="1"/>
    </w:lvl>
    <w:lvl w:ilvl="1">
      <w:lvlJc w:val="left"/>
      <w:lvlText w:val="(%2)"/>
      <w:numFmt w:val="lowerLetter"/>
      <w:start w:val="2"/>
    </w:lvl>
  </w:abstractNum>
  <w:abstractNum w:abstractNumId="203">
    <w:nsid w:val="28677B7C"/>
    <w:multiLevelType w:val="hybridMultilevel"/>
    <w:lvl w:ilvl="0">
      <w:lvlJc w:val="left"/>
      <w:lvlText w:val="%1."/>
      <w:numFmt w:val="decimal"/>
      <w:start w:val="8"/>
    </w:lvl>
    <w:lvl w:ilvl="1">
      <w:lvlJc w:val="left"/>
      <w:lvlText w:val="(%2)"/>
      <w:numFmt w:val="lowerLetter"/>
      <w:start w:val="1"/>
    </w:lvl>
  </w:abstractNum>
  <w:abstractNum w:abstractNumId="204">
    <w:nsid w:val="378D97C0"/>
    <w:multiLevelType w:val="hybridMultilevel"/>
    <w:lvl w:ilvl="0">
      <w:lvlJc w:val="left"/>
      <w:lvlText w:val="(%1)"/>
      <w:numFmt w:val="lowerLetter"/>
      <w:start w:val="2"/>
    </w:lvl>
  </w:abstractNum>
  <w:abstractNum w:abstractNumId="205">
    <w:nsid w:val="1D91467C"/>
    <w:multiLevelType w:val="hybridMultilevel"/>
    <w:lvl w:ilvl="0">
      <w:lvlJc w:val="left"/>
      <w:lvlText w:val="%1."/>
      <w:numFmt w:val="decimal"/>
      <w:start w:val="9"/>
    </w:lvl>
    <w:lvl w:ilvl="1">
      <w:lvlJc w:val="left"/>
      <w:lvlText w:val="(%2)"/>
      <w:numFmt w:val="lowerLetter"/>
      <w:start w:val="1"/>
    </w:lvl>
  </w:abstractNum>
  <w:abstractNum w:abstractNumId="206">
    <w:nsid w:val="316032BB"/>
    <w:multiLevelType w:val="hybridMultilevel"/>
    <w:lvl w:ilvl="0">
      <w:lvlJc w:val="left"/>
      <w:lvlText w:val="%1"/>
      <w:numFmt w:val="decimal"/>
      <w:start w:val="1"/>
    </w:lvl>
    <w:lvl w:ilvl="1">
      <w:lvlJc w:val="left"/>
      <w:lvlText w:val="(%2)"/>
      <w:numFmt w:val="lowerLetter"/>
      <w:start w:val="5"/>
    </w:lvl>
  </w:abstractNum>
  <w:abstractNum w:abstractNumId="207">
    <w:nsid w:val="44344C22"/>
    <w:multiLevelType w:val="hybridMultilevel"/>
    <w:lvl w:ilvl="0">
      <w:lvlJc w:val="left"/>
      <w:lvlText w:val="%1."/>
      <w:numFmt w:val="decimal"/>
      <w:start w:val="10"/>
    </w:lvl>
    <w:lvl w:ilvl="1">
      <w:lvlJc w:val="left"/>
      <w:lvlText w:val="%2"/>
      <w:numFmt w:val="lowerLetter"/>
      <w:start w:val="1"/>
    </w:lvl>
  </w:abstractNum>
  <w:abstractNum w:abstractNumId="208">
    <w:nsid w:val="13CDFCFC"/>
    <w:multiLevelType w:val="hybridMultilevel"/>
    <w:lvl w:ilvl="0">
      <w:lvlJc w:val="left"/>
      <w:lvlText w:val="%1"/>
      <w:numFmt w:val="lowerRoman"/>
      <w:start w:val="1"/>
    </w:lvl>
    <w:lvl w:ilvl="1">
      <w:lvlJc w:val="left"/>
      <w:lvlText w:val="%2."/>
      <w:numFmt w:val="decimal"/>
      <w:start w:val="14"/>
    </w:lvl>
  </w:abstractNum>
  <w:abstractNum w:abstractNumId="209">
    <w:nsid w:val="471745E4"/>
    <w:multiLevelType w:val="hybridMultilevel"/>
    <w:lvl w:ilvl="0">
      <w:lvlJc w:val="left"/>
      <w:lvlText w:val="(%1)"/>
      <w:numFmt w:val="lowerRoman"/>
      <w:start w:val="2"/>
    </w:lvl>
    <w:lvl w:ilvl="1">
      <w:lvlJc w:val="left"/>
      <w:lvlText w:val="%2"/>
      <w:numFmt w:val="decimal"/>
      <w:start w:val="1"/>
    </w:lvl>
  </w:abstractNum>
  <w:abstractNum w:abstractNumId="210">
    <w:nsid w:val="1DDBC66"/>
    <w:multiLevelType w:val="hybridMultilevel"/>
    <w:lvl w:ilvl="0">
      <w:lvlJc w:val="left"/>
      <w:lvlText w:val="%1."/>
      <w:numFmt w:val="decimal"/>
      <w:start w:val="20"/>
    </w:lvl>
    <w:lvl w:ilvl="1">
      <w:lvlJc w:val="left"/>
      <w:lvlText w:val="(%2)"/>
      <w:numFmt w:val="lowerLetter"/>
      <w:start w:val="1"/>
    </w:lvl>
  </w:abstractNum>
  <w:abstractNum w:abstractNumId="211">
    <w:nsid w:val="30AADFDA"/>
    <w:multiLevelType w:val="hybridMultilevel"/>
    <w:lvl w:ilvl="0">
      <w:lvlJc w:val="left"/>
      <w:lvlText w:val="%1"/>
      <w:numFmt w:val="decimal"/>
      <w:start w:val="1"/>
    </w:lvl>
    <w:lvl w:ilvl="1">
      <w:lvlJc w:val="left"/>
      <w:lvlText w:val="(%2)"/>
      <w:numFmt w:val="lowerLetter"/>
      <w:start w:val="2"/>
    </w:lvl>
  </w:abstractNum>
  <w:abstractNum w:abstractNumId="212">
    <w:nsid w:val="30EADA61"/>
    <w:multiLevelType w:val="hybridMultilevel"/>
    <w:lvl w:ilvl="0">
      <w:lvlJc w:val="left"/>
      <w:lvlText w:val="%1."/>
      <w:numFmt w:val="decimal"/>
      <w:start w:val="23"/>
    </w:lvl>
    <w:lvl w:ilvl="1">
      <w:lvlJc w:val="left"/>
      <w:lvlText w:val="%2"/>
      <w:numFmt w:val="lowerLetter"/>
      <w:start w:val="1"/>
    </w:lvl>
  </w:abstractNum>
  <w:abstractNum w:abstractNumId="213">
    <w:nsid w:val="27179C0B"/>
    <w:multiLevelType w:val="hybridMultilevel"/>
    <w:lvl w:ilvl="0">
      <w:lvlJc w:val="left"/>
      <w:lvlText w:val="%1."/>
      <w:numFmt w:val="decimal"/>
      <w:start w:val="24"/>
    </w:lvl>
  </w:abstractNum>
  <w:abstractNum w:abstractNumId="214">
    <w:nsid w:val="5E636063"/>
    <w:multiLevelType w:val="hybridMultilevel"/>
    <w:lvl w:ilvl="0">
      <w:lvlJc w:val="left"/>
      <w:lvlText w:val="%1."/>
      <w:numFmt w:val="decimal"/>
      <w:start w:val="1"/>
    </w:lvl>
  </w:abstractNum>
  <w:abstractNum w:abstractNumId="215">
    <w:nsid w:val="215641AF"/>
    <w:multiLevelType w:val="hybridMultilevel"/>
    <w:lvl w:ilvl="0">
      <w:lvlJc w:val="left"/>
      <w:lvlText w:val="%1."/>
      <w:numFmt w:val="decimal"/>
      <w:start w:val="4"/>
    </w:lvl>
  </w:abstractNum>
  <w:abstractNum w:abstractNumId="216">
    <w:nsid w:val="53280662"/>
    <w:multiLevelType w:val="hybridMultilevel"/>
    <w:lvl w:ilvl="0">
      <w:lvlJc w:val="left"/>
      <w:lvlText w:val="1"/>
      <w:numFmt w:val="bullet"/>
      <w:start w:val="1"/>
    </w:lvl>
  </w:abstractNum>
  <w:abstractNum w:abstractNumId="217">
    <w:nsid w:val="46B24DBC"/>
    <w:multiLevelType w:val="hybridMultilevel"/>
    <w:lvl w:ilvl="0">
      <w:lvlJc w:val="left"/>
      <w:lvlText w:val="%1."/>
      <w:numFmt w:val="decimal"/>
      <w:start w:val="5"/>
    </w:lvl>
  </w:abstractNum>
  <w:abstractNum w:abstractNumId="218">
    <w:nsid w:val="75B52783"/>
    <w:multiLevelType w:val="hybridMultilevel"/>
    <w:lvl w:ilvl="0">
      <w:lvlJc w:val="left"/>
      <w:lvlText w:val="%1."/>
      <w:numFmt w:val="decimal"/>
      <w:start w:val="9"/>
    </w:lvl>
    <w:lvl w:ilvl="1">
      <w:lvlJc w:val="left"/>
      <w:lvlText w:val="%2)"/>
      <w:numFmt w:val="lowerLetter"/>
      <w:start w:val="1"/>
    </w:lvl>
  </w:abstractNum>
  <w:abstractNum w:abstractNumId="219">
    <w:nsid w:val="57CE66B4"/>
    <w:multiLevelType w:val="hybridMultilevel"/>
    <w:lvl w:ilvl="0">
      <w:lvlJc w:val="left"/>
      <w:lvlText w:val="%1."/>
      <w:numFmt w:val="decimal"/>
      <w:start w:val="11"/>
    </w:lvl>
  </w:abstractNum>
  <w:abstractNum w:abstractNumId="220">
    <w:nsid w:val="67A70B69"/>
    <w:multiLevelType w:val="hybridMultilevel"/>
    <w:lvl w:ilvl="0">
      <w:lvlJc w:val="left"/>
      <w:lvlText w:val="•"/>
      <w:numFmt w:val="bullet"/>
      <w:start w:val="1"/>
    </w:lvl>
  </w:abstractNum>
  <w:abstractNum w:abstractNumId="221">
    <w:nsid w:val="5953172F"/>
    <w:multiLevelType w:val="hybridMultilevel"/>
    <w:lvl w:ilvl="0">
      <w:lvlJc w:val="left"/>
      <w:lvlText w:val="•"/>
      <w:numFmt w:val="bullet"/>
      <w:start w:val="1"/>
    </w:lvl>
  </w:abstractNum>
  <w:abstractNum w:abstractNumId="222">
    <w:nsid w:val="27EDFE3A"/>
    <w:multiLevelType w:val="hybridMultilevel"/>
    <w:lvl w:ilvl="0">
      <w:lvlJc w:val="left"/>
      <w:lvlText w:val="%1."/>
      <w:numFmt w:val="decimal"/>
      <w:start w:val="15"/>
    </w:lvl>
  </w:abstractNum>
  <w:abstractNum w:abstractNumId="223">
    <w:nsid w:val="52AC7DFF"/>
    <w:multiLevelType w:val="hybridMultilevel"/>
    <w:lvl w:ilvl="0">
      <w:lvlJc w:val="left"/>
      <w:lvlText w:val="%1."/>
      <w:numFmt w:val="decimal"/>
      <w:start w:val="16"/>
    </w:lvl>
  </w:abstractNum>
  <w:abstractNum w:abstractNumId="224">
    <w:nsid w:val="C4C3AF"/>
    <w:multiLevelType w:val="hybridMultilevel"/>
    <w:lvl w:ilvl="0">
      <w:lvlJc w:val="left"/>
      <w:lvlText w:val="2"/>
      <w:numFmt w:val="bullet"/>
      <w:start w:val="1"/>
    </w:lvl>
  </w:abstractNum>
  <w:abstractNum w:abstractNumId="225">
    <w:nsid w:val="44380727"/>
    <w:multiLevelType w:val="hybridMultilevel"/>
    <w:lvl w:ilvl="0">
      <w:lvlJc w:val="left"/>
      <w:lvlText w:val="3"/>
      <w:numFmt w:val="bullet"/>
      <w:start w:val="1"/>
    </w:lvl>
  </w:abstractNum>
  <w:abstractNum w:abstractNumId="226">
    <w:nsid w:val="6C053B16"/>
    <w:multiLevelType w:val="hybridMultilevel"/>
    <w:lvl w:ilvl="0">
      <w:lvlJc w:val="left"/>
      <w:lvlText w:val="%1."/>
      <w:numFmt w:val="decimal"/>
      <w:start w:val="18"/>
    </w:lvl>
  </w:abstractNum>
  <w:abstractNum w:abstractNumId="227">
    <w:nsid w:val="4F294393"/>
    <w:multiLevelType w:val="hybridMultilevel"/>
    <w:lvl w:ilvl="0">
      <w:lvlJc w:val="left"/>
      <w:lvlText w:val="•"/>
      <w:numFmt w:val="bullet"/>
      <w:start w:val="1"/>
    </w:lvl>
  </w:abstractNum>
  <w:abstractNum w:abstractNumId="228">
    <w:nsid w:val="5243BFAC"/>
    <w:multiLevelType w:val="hybridMultilevel"/>
    <w:lvl w:ilvl="0">
      <w:lvlJc w:val="left"/>
      <w:lvlText w:val="•"/>
      <w:numFmt w:val="bullet"/>
      <w:start w:val="1"/>
    </w:lvl>
  </w:abstractNum>
  <w:abstractNum w:abstractNumId="229">
    <w:nsid w:val="425EB207"/>
    <w:multiLevelType w:val="hybridMultilevel"/>
    <w:lvl w:ilvl="0">
      <w:lvlJc w:val="left"/>
      <w:lvlText w:val="%1."/>
      <w:numFmt w:val="decimal"/>
      <w:start w:val="1"/>
    </w:lvl>
  </w:abstractNum>
  <w:abstractNum w:abstractNumId="230">
    <w:nsid w:val="334A6F1F"/>
    <w:multiLevelType w:val="hybridMultilevel"/>
    <w:lvl w:ilvl="0">
      <w:lvlJc w:val="left"/>
      <w:lvlText w:val="%1."/>
      <w:numFmt w:val="decimal"/>
      <w:start w:val="1"/>
    </w:lvl>
  </w:abstractNum>
  <w:abstractNum w:abstractNumId="231">
    <w:nsid w:val="2E5B12B8"/>
    <w:multiLevelType w:val="hybridMultilevel"/>
    <w:lvl w:ilvl="0">
      <w:lvlJc w:val="left"/>
      <w:lvlText w:val="%1."/>
      <w:numFmt w:val="decimal"/>
      <w:start w:val="1"/>
    </w:lvl>
  </w:abstractNum>
  <w:abstractNum w:abstractNumId="232">
    <w:nsid w:val="5C03D76D"/>
    <w:multiLevelType w:val="hybridMultilevel"/>
    <w:lvl w:ilvl="0">
      <w:lvlJc w:val="left"/>
      <w:lvlText w:val="1"/>
      <w:numFmt w:val="bullet"/>
      <w:start w:val="1"/>
    </w:lvl>
  </w:abstractNum>
  <w:abstractNum w:abstractNumId="233">
    <w:nsid w:val="66A48D11"/>
    <w:multiLevelType w:val="hybridMultilevel"/>
    <w:lvl w:ilvl="0">
      <w:lvlJc w:val="left"/>
      <w:lvlText w:val="%1."/>
      <w:numFmt w:val="decimal"/>
      <w:start w:val="2"/>
    </w:lvl>
  </w:abstractNum>
  <w:abstractNum w:abstractNumId="234">
    <w:nsid w:val="56C28E34"/>
    <w:multiLevelType w:val="hybridMultilevel"/>
    <w:lvl w:ilvl="0">
      <w:lvlJc w:val="left"/>
      <w:lvlText w:val="o"/>
      <w:numFmt w:val="bullet"/>
      <w:start w:val="1"/>
    </w:lvl>
  </w:abstractNum>
  <w:abstractNum w:abstractNumId="235">
    <w:nsid w:val="13916F2D"/>
    <w:multiLevelType w:val="hybridMultilevel"/>
    <w:lvl w:ilvl="0">
      <w:lvlJc w:val="left"/>
      <w:lvlText w:val="%1."/>
      <w:numFmt w:val="decimal"/>
      <w:start w:val="6"/>
    </w:lvl>
  </w:abstractNum>
  <w:abstractNum w:abstractNumId="236">
    <w:nsid w:val="435D38D"/>
    <w:multiLevelType w:val="hybridMultilevel"/>
    <w:lvl w:ilvl="0">
      <w:lvlJc w:val="left"/>
      <w:lvlText w:val="%1."/>
      <w:numFmt w:val="decimal"/>
      <w:start w:val="12"/>
    </w:lvl>
  </w:abstractNum>
  <w:abstractNum w:abstractNumId="237">
    <w:nsid w:val="822C0EF"/>
    <w:multiLevelType w:val="hybridMultilevel"/>
    <w:lvl w:ilvl="0">
      <w:lvlJc w:val="left"/>
      <w:lvlText w:val="%1."/>
      <w:numFmt w:val="decimal"/>
      <w:start w:val="18"/>
    </w:lvl>
  </w:abstractNum>
  <w:abstractNum w:abstractNumId="238">
    <w:nsid w:val="57C5BB4F"/>
    <w:multiLevelType w:val="hybridMultilevel"/>
    <w:lvl w:ilvl="0">
      <w:lvlJc w:val="left"/>
      <w:lvlText w:val="%1."/>
      <w:numFmt w:val="decimal"/>
      <w:start w:val="1"/>
    </w:lvl>
  </w:abstractNum>
  <w:abstractNum w:abstractNumId="239">
    <w:nsid w:val="1803D089"/>
    <w:multiLevelType w:val="hybridMultilevel"/>
    <w:lvl w:ilvl="0">
      <w:lvlJc w:val="left"/>
      <w:lvlText w:val="%1."/>
      <w:numFmt w:val="decimal"/>
      <w:start w:val="1"/>
    </w:lvl>
    <w:lvl w:ilvl="1">
      <w:lvlJc w:val="left"/>
      <w:lvlText w:val="(%2)"/>
      <w:numFmt w:val="lowerLetter"/>
      <w:start w:val="1"/>
    </w:lvl>
  </w:abstractNum>
  <w:abstractNum w:abstractNumId="240">
    <w:nsid w:val="4F3A06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405" Type="http://schemas.openxmlformats.org/officeDocument/2006/relationships/image" Target="media/image364.png"/><Relationship Id="rId406" Type="http://schemas.openxmlformats.org/officeDocument/2006/relationships/image" Target="media/image365.png"/><Relationship Id="rId407" Type="http://schemas.openxmlformats.org/officeDocument/2006/relationships/image" Target="media/image366.png"/><Relationship Id="rId408" Type="http://schemas.openxmlformats.org/officeDocument/2006/relationships/image" Target="media/image367.png"/><Relationship Id="rId409" Type="http://schemas.openxmlformats.org/officeDocument/2006/relationships/image" Target="media/image368.png"/><Relationship Id="rId410" Type="http://schemas.openxmlformats.org/officeDocument/2006/relationships/image" Target="media/image369.png"/><Relationship Id="rId411" Type="http://schemas.openxmlformats.org/officeDocument/2006/relationships/image" Target="media/image370.png"/><Relationship Id="rId412" Type="http://schemas.openxmlformats.org/officeDocument/2006/relationships/image" Target="media/image371.png"/><Relationship Id="rId413" Type="http://schemas.openxmlformats.org/officeDocument/2006/relationships/image" Target="media/image372.png"/><Relationship Id="rId414" Type="http://schemas.openxmlformats.org/officeDocument/2006/relationships/image" Target="media/image373.png"/><Relationship Id="rId415" Type="http://schemas.openxmlformats.org/officeDocument/2006/relationships/image" Target="media/image374.png"/><Relationship Id="rId416" Type="http://schemas.openxmlformats.org/officeDocument/2006/relationships/image" Target="media/image375.png"/><Relationship Id="rId417" Type="http://schemas.openxmlformats.org/officeDocument/2006/relationships/image" Target="media/image376.png"/><Relationship Id="rId418" Type="http://schemas.openxmlformats.org/officeDocument/2006/relationships/image" Target="media/image377.png"/><Relationship Id="rId419" Type="http://schemas.openxmlformats.org/officeDocument/2006/relationships/image" Target="media/image378.png"/><Relationship Id="rId420" Type="http://schemas.openxmlformats.org/officeDocument/2006/relationships/image" Target="media/image379.png"/><Relationship Id="rId421" Type="http://schemas.openxmlformats.org/officeDocument/2006/relationships/image" Target="media/image380.png"/><Relationship Id="rId422" Type="http://schemas.openxmlformats.org/officeDocument/2006/relationships/image" Target="media/image381.png"/><Relationship Id="rId423" Type="http://schemas.openxmlformats.org/officeDocument/2006/relationships/image" Target="media/image382.png"/><Relationship Id="rId424" Type="http://schemas.openxmlformats.org/officeDocument/2006/relationships/image" Target="media/image383.png"/><Relationship Id="rId425" Type="http://schemas.openxmlformats.org/officeDocument/2006/relationships/image" Target="media/image384.png"/><Relationship Id="rId426" Type="http://schemas.openxmlformats.org/officeDocument/2006/relationships/image" Target="media/image385.png"/><Relationship Id="rId427" Type="http://schemas.openxmlformats.org/officeDocument/2006/relationships/image" Target="media/image386.png"/><Relationship Id="rId428" Type="http://schemas.openxmlformats.org/officeDocument/2006/relationships/image" Target="media/image387.png"/><Relationship Id="rId429" Type="http://schemas.openxmlformats.org/officeDocument/2006/relationships/image" Target="media/image388.png"/><Relationship Id="rId430" Type="http://schemas.openxmlformats.org/officeDocument/2006/relationships/image" Target="media/image389.png"/><Relationship Id="rId431" Type="http://schemas.openxmlformats.org/officeDocument/2006/relationships/image" Target="media/image390.png"/><Relationship Id="rId432" Type="http://schemas.openxmlformats.org/officeDocument/2006/relationships/image" Target="media/image391.png"/><Relationship Id="rId433" Type="http://schemas.openxmlformats.org/officeDocument/2006/relationships/image" Target="media/image392.png"/><Relationship Id="rId434" Type="http://schemas.openxmlformats.org/officeDocument/2006/relationships/image" Target="media/image393.png"/><Relationship Id="rId435" Type="http://schemas.openxmlformats.org/officeDocument/2006/relationships/image" Target="media/image394.png"/><Relationship Id="rId436" Type="http://schemas.openxmlformats.org/officeDocument/2006/relationships/image" Target="media/image395.png"/><Relationship Id="rId437" Type="http://schemas.openxmlformats.org/officeDocument/2006/relationships/image" Target="media/image396.png"/><Relationship Id="rId438" Type="http://schemas.openxmlformats.org/officeDocument/2006/relationships/image" Target="media/image397.png"/><Relationship Id="rId439" Type="http://schemas.openxmlformats.org/officeDocument/2006/relationships/image" Target="media/image398.png"/><Relationship Id="rId440" Type="http://schemas.openxmlformats.org/officeDocument/2006/relationships/image" Target="media/image399.png"/><Relationship Id="rId441" Type="http://schemas.openxmlformats.org/officeDocument/2006/relationships/image" Target="media/image400.png"/><Relationship Id="rId442" Type="http://schemas.openxmlformats.org/officeDocument/2006/relationships/image" Target="media/image401.png"/><Relationship Id="rId443" Type="http://schemas.openxmlformats.org/officeDocument/2006/relationships/image" Target="media/image402.png"/><Relationship Id="rId444" Type="http://schemas.openxmlformats.org/officeDocument/2006/relationships/image" Target="media/image403.png"/><Relationship Id="rId445" Type="http://schemas.openxmlformats.org/officeDocument/2006/relationships/image" Target="media/image404.png"/><Relationship Id="rId446" Type="http://schemas.openxmlformats.org/officeDocument/2006/relationships/image" Target="media/image405.png"/><Relationship Id="rId447" Type="http://schemas.openxmlformats.org/officeDocument/2006/relationships/image" Target="media/image406.png"/><Relationship Id="rId448" Type="http://schemas.openxmlformats.org/officeDocument/2006/relationships/image" Target="media/image407.png"/><Relationship Id="rId449" Type="http://schemas.openxmlformats.org/officeDocument/2006/relationships/image" Target="media/image408.png"/><Relationship Id="rId450" Type="http://schemas.openxmlformats.org/officeDocument/2006/relationships/image" Target="media/image409.png"/><Relationship Id="rId451" Type="http://schemas.openxmlformats.org/officeDocument/2006/relationships/image" Target="media/image410.png"/><Relationship Id="rId452" Type="http://schemas.openxmlformats.org/officeDocument/2006/relationships/image" Target="media/image411.png"/><Relationship Id="rId453" Type="http://schemas.openxmlformats.org/officeDocument/2006/relationships/image" Target="media/image412.png"/><Relationship Id="rId454" Type="http://schemas.openxmlformats.org/officeDocument/2006/relationships/image" Target="media/image413.png"/><Relationship Id="rId455" Type="http://schemas.openxmlformats.org/officeDocument/2006/relationships/image" Target="media/image414.png"/><Relationship Id="rId456" Type="http://schemas.openxmlformats.org/officeDocument/2006/relationships/image" Target="media/image415.png"/><Relationship Id="rId457" Type="http://schemas.openxmlformats.org/officeDocument/2006/relationships/image" Target="media/image416.png"/><Relationship Id="rId458" Type="http://schemas.openxmlformats.org/officeDocument/2006/relationships/image" Target="media/image417.png"/><Relationship Id="rId459" Type="http://schemas.openxmlformats.org/officeDocument/2006/relationships/image" Target="media/image418.png"/><Relationship Id="rId460" Type="http://schemas.openxmlformats.org/officeDocument/2006/relationships/image" Target="media/image419.png"/><Relationship Id="rId461" Type="http://schemas.openxmlformats.org/officeDocument/2006/relationships/image" Target="media/image420.png"/><Relationship Id="rId462" Type="http://schemas.openxmlformats.org/officeDocument/2006/relationships/image" Target="media/image421.png"/><Relationship Id="rId463" Type="http://schemas.openxmlformats.org/officeDocument/2006/relationships/image" Target="media/image422.png"/><Relationship Id="rId464" Type="http://schemas.openxmlformats.org/officeDocument/2006/relationships/image" Target="media/image423.png"/><Relationship Id="rId465" Type="http://schemas.openxmlformats.org/officeDocument/2006/relationships/image" Target="media/image424.png"/><Relationship Id="rId466" Type="http://schemas.openxmlformats.org/officeDocument/2006/relationships/image" Target="media/image425.png"/><Relationship Id="rId467" Type="http://schemas.openxmlformats.org/officeDocument/2006/relationships/image" Target="media/image426.png"/><Relationship Id="rId468" Type="http://schemas.openxmlformats.org/officeDocument/2006/relationships/image" Target="media/image427.png"/><Relationship Id="rId469" Type="http://schemas.openxmlformats.org/officeDocument/2006/relationships/image" Target="media/image428.png"/><Relationship Id="rId470" Type="http://schemas.openxmlformats.org/officeDocument/2006/relationships/image" Target="media/image429.png"/><Relationship Id="rId471" Type="http://schemas.openxmlformats.org/officeDocument/2006/relationships/image" Target="media/image430.png"/><Relationship Id="rId472" Type="http://schemas.openxmlformats.org/officeDocument/2006/relationships/image" Target="media/image431.png"/><Relationship Id="rId473" Type="http://schemas.openxmlformats.org/officeDocument/2006/relationships/image" Target="media/image432.png"/><Relationship Id="rId474" Type="http://schemas.openxmlformats.org/officeDocument/2006/relationships/image" Target="media/image433.png"/><Relationship Id="rId475" Type="http://schemas.openxmlformats.org/officeDocument/2006/relationships/image" Target="media/image434.png"/><Relationship Id="rId476" Type="http://schemas.openxmlformats.org/officeDocument/2006/relationships/image" Target="media/image435.png"/><Relationship Id="rId477" Type="http://schemas.openxmlformats.org/officeDocument/2006/relationships/image" Target="media/image436.png"/><Relationship Id="rId478" Type="http://schemas.openxmlformats.org/officeDocument/2006/relationships/image" Target="media/image437.png"/><Relationship Id="rId479" Type="http://schemas.openxmlformats.org/officeDocument/2006/relationships/image" Target="media/image438.png"/><Relationship Id="rId480" Type="http://schemas.openxmlformats.org/officeDocument/2006/relationships/image" Target="media/image439.png"/><Relationship Id="rId481" Type="http://schemas.openxmlformats.org/officeDocument/2006/relationships/image" Target="media/image440.png"/><Relationship Id="rId482" Type="http://schemas.openxmlformats.org/officeDocument/2006/relationships/image" Target="media/image441.png"/><Relationship Id="rId483" Type="http://schemas.openxmlformats.org/officeDocument/2006/relationships/image" Target="media/image442.png"/><Relationship Id="rId484" Type="http://schemas.openxmlformats.org/officeDocument/2006/relationships/image" Target="media/image443.png"/><Relationship Id="rId485" Type="http://schemas.openxmlformats.org/officeDocument/2006/relationships/image" Target="media/image444.png"/><Relationship Id="rId486" Type="http://schemas.openxmlformats.org/officeDocument/2006/relationships/image" Target="media/image445.png"/><Relationship Id="rId487" Type="http://schemas.openxmlformats.org/officeDocument/2006/relationships/image" Target="media/image446.png"/><Relationship Id="rId488" Type="http://schemas.openxmlformats.org/officeDocument/2006/relationships/image" Target="media/image447.jpeg"/><Relationship Id="rId489" Type="http://schemas.openxmlformats.org/officeDocument/2006/relationships/image" Target="media/image448.png"/><Relationship Id="rId490" Type="http://schemas.openxmlformats.org/officeDocument/2006/relationships/image" Target="media/image449.png"/><Relationship Id="rId491" Type="http://schemas.openxmlformats.org/officeDocument/2006/relationships/image" Target="media/image450.png"/><Relationship Id="rId492" Type="http://schemas.openxmlformats.org/officeDocument/2006/relationships/image" Target="media/image451.png"/><Relationship Id="rId493" Type="http://schemas.openxmlformats.org/officeDocument/2006/relationships/image" Target="media/image452.png"/><Relationship Id="rId494" Type="http://schemas.openxmlformats.org/officeDocument/2006/relationships/image" Target="media/image453.png"/><Relationship Id="rId495" Type="http://schemas.openxmlformats.org/officeDocument/2006/relationships/image" Target="media/image454.png"/><Relationship Id="rId496" Type="http://schemas.openxmlformats.org/officeDocument/2006/relationships/image" Target="media/image455.png"/><Relationship Id="rId497" Type="http://schemas.openxmlformats.org/officeDocument/2006/relationships/image" Target="media/image456.png"/><Relationship Id="rId498" Type="http://schemas.openxmlformats.org/officeDocument/2006/relationships/image" Target="media/image457.png"/><Relationship Id="rId499" Type="http://schemas.openxmlformats.org/officeDocument/2006/relationships/image" Target="media/image458.png"/><Relationship Id="rId500" Type="http://schemas.openxmlformats.org/officeDocument/2006/relationships/image" Target="media/image459.png"/><Relationship Id="rId501" Type="http://schemas.openxmlformats.org/officeDocument/2006/relationships/image" Target="media/image460.png"/><Relationship Id="rId502" Type="http://schemas.openxmlformats.org/officeDocument/2006/relationships/image" Target="media/image461.png"/><Relationship Id="rId503" Type="http://schemas.openxmlformats.org/officeDocument/2006/relationships/image" Target="media/image462.png"/><Relationship Id="rId504" Type="http://schemas.openxmlformats.org/officeDocument/2006/relationships/image" Target="media/image463.png"/><Relationship Id="rId505" Type="http://schemas.openxmlformats.org/officeDocument/2006/relationships/image" Target="media/image464.png"/><Relationship Id="rId164" Type="http://schemas.openxmlformats.org/officeDocument/2006/relationships/hyperlink" Target="https://www.sec.gov/Archives/edgar/data/0001832038/000119312521242044/d211424dex31.htm" TargetMode="External"/><Relationship Id="rId165" Type="http://schemas.openxmlformats.org/officeDocument/2006/relationships/hyperlink" Target="https://www.sec.gov/Archives/edgar/data/1832038/000119312522243285/d388436dex31.htm" TargetMode="External"/><Relationship Id="rId166" Type="http://schemas.openxmlformats.org/officeDocument/2006/relationships/hyperlink" Target="https://www.sec.gov/Archives/edgar/data/1832038/000119312523154233/d473409dex31.htm" TargetMode="External"/><Relationship Id="rId167" Type="http://schemas.openxmlformats.org/officeDocument/2006/relationships/hyperlink" Target="https://www.sec.gov/Archives/edgar/data/1832038/000119312522243285/d388436dex32.htm" TargetMode="External"/><Relationship Id="rId168" Type="http://schemas.openxmlformats.org/officeDocument/2006/relationships/hyperlink" Target="https://www.sec.gov/Archives/edgar/data/1832038/000119312523154233/d473409dex32.htm" TargetMode="External"/><Relationship Id="rId169" Type="http://schemas.openxmlformats.org/officeDocument/2006/relationships/hyperlink" Target="https://www.sec.gov/Archives/edgar/data/1832038/000119312522253372/d392092dex33.htm" TargetMode="External"/><Relationship Id="rId170" Type="http://schemas.openxmlformats.org/officeDocument/2006/relationships/hyperlink" Target="https://www.sec.gov/Archives/edgar/data/0001832038/000119312521217506/d549501dex41.htm" TargetMode="External"/><Relationship Id="rId171" Type="http://schemas.openxmlformats.org/officeDocument/2006/relationships/hyperlink" Target="https://www.sec.gov/Archives/edgar/data/1832038/000095017024037610/ivvd-ex4_2.htm" TargetMode="External"/><Relationship Id="rId172" Type="http://schemas.openxmlformats.org/officeDocument/2006/relationships/hyperlink" Target="https://www.sec.gov/Archives/edgar/data/1832038/000095017023009516/ivvd-ex4_3.htm" TargetMode="External"/><Relationship Id="rId173" Type="http://schemas.openxmlformats.org/officeDocument/2006/relationships/hyperlink" Target="https://www.sec.gov/Archives/edgar/data/1832038/000095017022024516/ivvd-ex10_4.htm" TargetMode="External"/><Relationship Id="rId174" Type="http://schemas.openxmlformats.org/officeDocument/2006/relationships/hyperlink" Target="https://www.sec.gov/Archives/edgar/data/1832038/000095017022024516/ivvd-ex10_6.htm" TargetMode="External"/><Relationship Id="rId175" Type="http://schemas.openxmlformats.org/officeDocument/2006/relationships/hyperlink" Target="https://www.sec.gov/Archives/edgar/data/1832038/000119312522187977/d304609dex101.htm" TargetMode="External"/><Relationship Id="rId176" Type="http://schemas.openxmlformats.org/officeDocument/2006/relationships/hyperlink" Target="https://www.sec.gov/Archives/edgar/data/1832038/000095017023041352/ivvd-ex10_1.htm" TargetMode="External"/><Relationship Id="rId177" Type="http://schemas.openxmlformats.org/officeDocument/2006/relationships/hyperlink" Target="https://www.sec.gov/Archives/edgar/data/1832038/000095017024096674/ivvd-ex10_3.htm" TargetMode="External"/><Relationship Id="rId180" Type="http://schemas.openxmlformats.org/officeDocument/2006/relationships/hyperlink" Target="https://www.sec.gov/Archives/edgar/data/1832038/000095017022005112/adgi-ex10_11.htm" TargetMode="External"/><Relationship Id="rId181" Type="http://schemas.openxmlformats.org/officeDocument/2006/relationships/hyperlink" Target="https://www.sec.gov/Archives/edgar/data/1832038/000119312522299428/d422123dex101.htm" TargetMode="External"/><Relationship Id="rId182" Type="http://schemas.openxmlformats.org/officeDocument/2006/relationships/hyperlink" Target="https://www.sec.gov/Archives/edgar/data/1832038/000119312524093929/d748852dex101.htm" TargetMode="External"/><Relationship Id="rId183" Type="http://schemas.openxmlformats.org/officeDocument/2006/relationships/hyperlink" Target="https://www.sec.gov/Archives/edgar/data/1832038/000095017024096674/ivvd-ex10_4.htm" TargetMode="External"/><Relationship Id="rId184" Type="http://schemas.openxmlformats.org/officeDocument/2006/relationships/hyperlink" Target="https://www.sec.gov/Archives/edgar/data/1832038/000095017024037610/ivvd-ex10_12.htm" TargetMode="External"/><Relationship Id="rId185" Type="http://schemas.openxmlformats.org/officeDocument/2006/relationships/hyperlink" Target="https://www.sec.gov/Archives/edgar/data/1832038/000119312523228074/d539466dex101.htm" TargetMode="External"/><Relationship Id="rId186" Type="http://schemas.openxmlformats.org/officeDocument/2006/relationships/hyperlink" Target="https://www.sec.gov/Archives/edgar/data/1832038/000095017024037610/ivvd-ex10_14.htm" TargetMode="External"/><Relationship Id="rId187" Type="http://schemas.openxmlformats.org/officeDocument/2006/relationships/hyperlink" Target="https://www.sec.gov/Archives/edgar/data/1832038/000095017023021235/ivvd-ex10_3.htm" TargetMode="External"/><Relationship Id="rId188" Type="http://schemas.openxmlformats.org/officeDocument/2006/relationships/hyperlink" Target="https://www.sec.gov/Archives/edgar/data/1832038/000119312521217506/d549501dex105.htm" TargetMode="External"/><Relationship Id="rId189" Type="http://schemas.openxmlformats.org/officeDocument/2006/relationships/hyperlink" Target="https://www.sec.gov/Archives/edgar/data/1832038/000119312521217506/d549501dex106.htm" TargetMode="External"/><Relationship Id="rId190" Type="http://schemas.openxmlformats.org/officeDocument/2006/relationships/hyperlink" Target="https://www.sec.gov/Archives/edgar/data/1832038/000095017023009516/ivvd-ex10_13.htm" TargetMode="External"/><Relationship Id="rId191" Type="http://schemas.openxmlformats.org/officeDocument/2006/relationships/hyperlink" Target="https://www.sec.gov/Archives/edgar/data/1832038/000095017023062043/ivvd-ex10_2.htm" TargetMode="External"/><Relationship Id="rId192" Type="http://schemas.openxmlformats.org/officeDocument/2006/relationships/hyperlink" Target="https://www.sec.gov/Archives/edgar/data/1832038/000095017023062043/ivvd-ex10_3.htm" TargetMode="External"/><Relationship Id="rId193" Type="http://schemas.openxmlformats.org/officeDocument/2006/relationships/hyperlink" Target="https://www.sec.gov/Archives/edgar/data/1832038/000119312521217506/d549501dex108.htm" TargetMode="External"/><Relationship Id="rId194" Type="http://schemas.openxmlformats.org/officeDocument/2006/relationships/hyperlink" Target="https://www.sec.gov/Archives/edgar/data/1832038/000095017023009516/ivvd-ex10_16.htm" TargetMode="External"/><Relationship Id="rId195" Type="http://schemas.openxmlformats.org/officeDocument/2006/relationships/hyperlink" Target="https://www.sec.gov/Archives/edgar/data/1832038/000095017024037610/ivvd-ex10_23.htm" TargetMode="External"/><Relationship Id="rId196" Type="http://schemas.openxmlformats.org/officeDocument/2006/relationships/hyperlink" Target="https://www.sec.gov/Archives/edgar/data/1832038/000095017023009516/ivvd-ex10_17.htm" TargetMode="External"/><Relationship Id="rId199" Type="http://schemas.openxmlformats.org/officeDocument/2006/relationships/hyperlink" Target="https://www.sec.gov/Archives/edgar/data/1832038/000119312523302195/d547148dex101.htm" TargetMode="External"/><Relationship Id="rId200" Type="http://schemas.openxmlformats.org/officeDocument/2006/relationships/hyperlink" Target="https://www.sec.gov/Archives/edgar/data/1832038/000095017023009516/ivvd-ex21_1.htm" TargetMode="External"/><Relationship Id="rId201" Type="http://schemas.openxmlformats.org/officeDocument/2006/relationships/hyperlink" Target="https://www.sec.gov/Archives/edgar/data/1832038/000095017024037610/ivvd-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2025-03-20T07:21:57Z</dcterms:created>
  <dcterms:modified xsi:type="dcterms:W3CDTF">2025-03-20T07:21:57Z</dcterms:modified>
</cp:coreProperties>
</file>