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680"/>
        <w:spacing w:after="0" w:line="279" w:lineRule="auto"/>
        <w:rPr>
          <w:sz w:val="20"/>
          <w:szCs w:val="20"/>
          <w:color w:val="auto"/>
        </w:rPr>
      </w:pPr>
      <w:r>
        <w:rPr>
          <w:rFonts w:ascii="Times New Roman" w:cs="Times New Roman" w:eastAsia="Times New Roman" w:hAnsi="Times New Roman"/>
          <w:sz w:val="38"/>
          <w:szCs w:val="38"/>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3290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27940"/>
                    </a:xfrm>
                    <a:prstGeom prst="rect">
                      <a:avLst/>
                    </a:prstGeom>
                    <a:noFill/>
                  </pic:spPr>
                </pic:pic>
              </a:graphicData>
            </a:graphic>
          </wp:anchor>
        </w:drawing>
        <w:drawing>
          <wp:anchor simplePos="0" relativeHeight="251657728" behindDoc="1" locked="0" layoutInCell="0" allowOverlap="1">
            <wp:simplePos x="0" y="0"/>
            <wp:positionH relativeFrom="page">
              <wp:posOffset>410210</wp:posOffset>
            </wp:positionH>
            <wp:positionV relativeFrom="page">
              <wp:posOffset>631190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t>SECURITIES AND EXCHANGE COMMISSION Washington, D.C. 20549</w:t>
      </w:r>
    </w:p>
    <w:p>
      <w:pPr>
        <w:spacing w:after="0" w:line="39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9"/>
          <w:szCs w:val="29"/>
          <w:color w:val="auto"/>
        </w:rPr>
        <w:t>SCHEDULE 13D</w:t>
      </w:r>
    </w:p>
    <w:p>
      <w:pPr>
        <w:spacing w:after="0" w:line="23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3"/>
          <w:szCs w:val="23"/>
          <w:color w:val="auto"/>
        </w:rPr>
        <w:t>Under the Securities Exchange Act of 1934</w:t>
      </w:r>
    </w:p>
    <w:p>
      <w:pPr>
        <w:spacing w:after="0" w:line="23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9"/>
          <w:szCs w:val="19"/>
          <w:b w:val="1"/>
          <w:bCs w:val="1"/>
          <w:color w:val="auto"/>
        </w:rPr>
        <w:t xml:space="preserve">(Amendment No. </w:t>
      </w:r>
      <w:r>
        <w:rPr>
          <w:rFonts w:ascii="Times New Roman" w:cs="Times New Roman" w:eastAsia="Times New Roman" w:hAnsi="Times New Roman"/>
          <w:sz w:val="19"/>
          <w:szCs w:val="19"/>
          <w:b w:val="1"/>
          <w:bCs w:val="1"/>
          <w:color w:val="0000FF"/>
        </w:rPr>
        <w:t>4</w:t>
      </w:r>
      <w:r>
        <w:rPr>
          <w:rFonts w:ascii="Times New Roman" w:cs="Times New Roman" w:eastAsia="Times New Roman" w:hAnsi="Times New Roman"/>
          <w:sz w:val="19"/>
          <w:szCs w:val="19"/>
          <w:b w:val="1"/>
          <w:bCs w:val="1"/>
          <w:color w:val="auto"/>
        </w:rPr>
        <w:t>)*</w:t>
      </w:r>
    </w:p>
    <w:p>
      <w:pPr>
        <w:spacing w:after="0" w:line="200" w:lineRule="exact"/>
        <w:rPr>
          <w:sz w:val="24"/>
          <w:szCs w:val="24"/>
          <w:color w:val="auto"/>
        </w:rPr>
      </w:pPr>
    </w:p>
    <w:p>
      <w:pPr>
        <w:spacing w:after="0" w:line="31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9"/>
          <w:szCs w:val="19"/>
          <w:b w:val="1"/>
          <w:bCs w:val="1"/>
          <w:color w:val="auto"/>
        </w:rPr>
        <w:t>(Name of Issuer)</w:t>
      </w:r>
    </w:p>
    <w:p>
      <w:pPr>
        <w:spacing w:after="0" w:line="200" w:lineRule="exact"/>
        <w:rPr>
          <w:sz w:val="24"/>
          <w:szCs w:val="24"/>
          <w:color w:val="auto"/>
        </w:rPr>
      </w:pPr>
    </w:p>
    <w:p>
      <w:pPr>
        <w:spacing w:after="0" w:line="31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9"/>
          <w:szCs w:val="19"/>
          <w:b w:val="1"/>
          <w:bCs w:val="1"/>
          <w:color w:val="auto"/>
        </w:rPr>
        <w:t>(Title of Class of Securities)</w:t>
      </w:r>
    </w:p>
    <w:p>
      <w:pPr>
        <w:spacing w:after="0" w:line="200" w:lineRule="exact"/>
        <w:rPr>
          <w:sz w:val="24"/>
          <w:szCs w:val="24"/>
          <w:color w:val="auto"/>
        </w:rPr>
      </w:pPr>
    </w:p>
    <w:p>
      <w:pPr>
        <w:spacing w:after="0" w:line="31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(CUSIP Number)</w:t>
      </w:r>
    </w:p>
    <w:p>
      <w:pPr>
        <w:spacing w:after="0" w:line="200" w:lineRule="exact"/>
        <w:rPr>
          <w:sz w:val="24"/>
          <w:szCs w:val="24"/>
          <w:color w:val="auto"/>
        </w:rPr>
      </w:pPr>
    </w:p>
    <w:p>
      <w:pPr>
        <w:spacing w:after="0" w:line="31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Philip Chase</w:t>
      </w:r>
    </w:p>
    <w:p>
      <w:pPr>
        <w:spacing w:after="0" w:line="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Adimab, LLC, 7 Lucent Drive</w:t>
      </w:r>
    </w:p>
    <w:p>
      <w:pPr>
        <w:spacing w:after="0" w:line="10"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Lebanon, NH, 03766</w:t>
      </w:r>
    </w:p>
    <w:p>
      <w:pPr>
        <w:spacing w:after="0" w:line="10"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(603) 643-7110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541401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18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auto"/>
        </w:rPr>
        <w:t>(Name, Address and Telephone Number of Person Authorized to Receive Notices and Communications)</w:t>
      </w:r>
    </w:p>
    <w:p>
      <w:pPr>
        <w:spacing w:after="0" w:line="5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11/17/2025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9"/>
          <w:szCs w:val="19"/>
          <w:b w:val="1"/>
          <w:bCs w:val="1"/>
          <w:color w:val="auto"/>
        </w:rPr>
        <w:t>(Date of Event Which Requires Filing of This Statement)</w:t>
      </w:r>
    </w:p>
    <w:p>
      <w:pPr>
        <w:spacing w:after="0" w:line="200" w:lineRule="exact"/>
        <w:rPr>
          <w:sz w:val="24"/>
          <w:szCs w:val="24"/>
          <w:color w:val="auto"/>
        </w:rPr>
      </w:pPr>
    </w:p>
    <w:p>
      <w:pPr>
        <w:spacing w:after="0" w:line="304"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 xml:space="preserve">If the filing person has previously filed a statement on Schedule 13G to report the acquisition that is the subject of this Schedule 13D, and is filing this schedule because of Â§Â§ 240.13d-1(e), 240.13d-1(f) or 240.13d-1(g), check the following box. </w:t>
      </w:r>
      <w:r>
        <w:rPr>
          <w:sz w:val="1"/>
          <w:szCs w:val="1"/>
          <w:color w:val="auto"/>
        </w:rPr>
        <w:drawing>
          <wp:inline distT="0" distB="0" distL="0" distR="0">
            <wp:extent cx="114300" cy="11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p>
    <w:p>
      <w:pPr>
        <w:spacing w:after="0" w:line="166"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The information required on the remainder of this cover page shall not be deemed to be â€ œfiledâ€ for the purpose of Section 18 of the Securities Exchange Act of 1934 (â€ œActâ€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102235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3"/>
          <w:szCs w:val="23"/>
          <w:color w:val="auto"/>
        </w:rPr>
        <w:t>SCHEDULE 13D</w:t>
      </w:r>
    </w:p>
    <w:p>
      <w:pPr>
        <w:spacing w:after="0" w:line="27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 xml:space="preserve">CUSIP No. </w:t>
      </w:r>
      <w:r>
        <w:rPr>
          <w:rFonts w:ascii="Times New Roman" w:cs="Times New Roman" w:eastAsia="Times New Roman" w:hAnsi="Times New Roman"/>
          <w:sz w:val="16"/>
          <w:szCs w:val="16"/>
          <w:color w:val="auto"/>
        </w:rPr>
        <w:t>00534A102</w:t>
      </w:r>
    </w:p>
    <w:p>
      <w:pPr>
        <w:spacing w:after="0" w:line="200" w:lineRule="exact"/>
        <w:rPr>
          <w:sz w:val="24"/>
          <w:szCs w:val="24"/>
          <w:color w:val="auto"/>
        </w:rPr>
      </w:pPr>
    </w:p>
    <w:p>
      <w:pPr>
        <w:spacing w:after="0" w:line="34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9"/>
          <w:szCs w:val="19"/>
          <w:color w:val="auto"/>
        </w:rPr>
        <w:t>Name of reporting person</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1</w:t>
      </w:r>
    </w:p>
    <w:p>
      <w:pPr>
        <w:spacing w:after="0" w:line="1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9"/>
          <w:szCs w:val="19"/>
          <w:color w:val="auto"/>
        </w:rPr>
        <w:t>Adimab, LLC</w:t>
      </w:r>
    </w:p>
    <w:p>
      <w:pPr>
        <w:sectPr>
          <w:pgSz w:w="11900" w:h="16840" w:orient="portrait"/>
          <w:cols w:equalWidth="0" w:num="1">
            <w:col w:w="10580"/>
          </w:cols>
          <w:pgMar w:left="660" w:top="1132" w:right="660" w:bottom="1014"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51" w:lineRule="exact"/>
        <w:rPr>
          <w:sz w:val="20"/>
          <w:szCs w:val="20"/>
          <w:color w:val="auto"/>
        </w:rPr>
      </w:pPr>
    </w:p>
    <w:p>
      <w:pPr>
        <w:ind w:left="1020" w:hanging="978"/>
        <w:spacing w:after="0"/>
        <w:tabs>
          <w:tab w:leader="none" w:pos="1020" w:val="left"/>
        </w:tabs>
        <w:numPr>
          <w:ilvl w:val="0"/>
          <w:numId w:val="1"/>
        </w:numPr>
        <w:rPr>
          <w:rFonts w:ascii="Times New Roman" w:cs="Times New Roman" w:eastAsia="Times New Roman" w:hAnsi="Times New Roman"/>
          <w:sz w:val="38"/>
          <w:szCs w:val="38"/>
          <w:color w:val="auto"/>
          <w:vertAlign w:val="superscript"/>
        </w:rPr>
      </w:pPr>
      <w:r>
        <w:rPr>
          <w:sz w:val="1"/>
          <w:szCs w:val="1"/>
          <w:color w:val="auto"/>
        </w:rPr>
        <w:drawing>
          <wp:inline distT="0" distB="0" distL="0" distR="0">
            <wp:extent cx="114300" cy="114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w:t>
      </w:r>
    </w:p>
    <w:p>
      <w:pPr>
        <w:ind w:left="1020"/>
        <w:spacing w:after="0"/>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4300" cy="114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w:t>
      </w:r>
    </w:p>
    <w:p>
      <w:pPr>
        <w:spacing w:after="0" w:line="90" w:lineRule="exact"/>
        <w:rPr>
          <w:sz w:val="20"/>
          <w:szCs w:val="20"/>
          <w:color w:val="auto"/>
        </w:rPr>
      </w:pPr>
    </w:p>
    <w:p>
      <w:pPr>
        <w:ind w:left="1020" w:hanging="978"/>
        <w:spacing w:after="0"/>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 use only</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Source of funds (See Instructions)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OO</w:t>
      </w:r>
    </w:p>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if disclosure of legal proceedings is required pursuant to Items 2(d) or 2(e)</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15875</wp:posOffset>
            </wp:positionV>
            <wp:extent cx="11430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Citizenship or place of organization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DELAWARE</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980" w:type="dxa"/>
            <w:vAlign w:val="bottom"/>
          </w:tcPr>
          <w:p>
            <w:pPr>
              <w:spacing w:after="0"/>
              <w:rPr>
                <w:sz w:val="21"/>
                <w:szCs w:val="21"/>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7</w:t>
            </w:r>
          </w:p>
        </w:tc>
        <w:tc>
          <w:tcPr>
            <w:tcW w:w="20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Sole Voting Power</w:t>
            </w:r>
          </w:p>
        </w:tc>
        <w:tc>
          <w:tcPr>
            <w:tcW w:w="0" w:type="dxa"/>
            <w:vAlign w:val="bottom"/>
          </w:tcPr>
          <w:p>
            <w:pPr>
              <w:spacing w:after="0"/>
              <w:rPr>
                <w:sz w:val="1"/>
                <w:szCs w:val="1"/>
                <w:color w:val="auto"/>
              </w:rPr>
            </w:pPr>
          </w:p>
        </w:tc>
      </w:tr>
      <w:tr>
        <w:trPr>
          <w:trHeight w:val="277"/>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Number of</w:t>
            </w:r>
          </w:p>
        </w:tc>
        <w:tc>
          <w:tcPr>
            <w:tcW w:w="260" w:type="dxa"/>
            <w:vAlign w:val="bottom"/>
            <w:vMerge w:val="continue"/>
          </w:tcPr>
          <w:p>
            <w:pPr>
              <w:spacing w:after="0"/>
              <w:rPr>
                <w:sz w:val="24"/>
                <w:szCs w:val="24"/>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20,454,490.00</w:t>
            </w:r>
          </w:p>
        </w:tc>
        <w:tc>
          <w:tcPr>
            <w:tcW w:w="0" w:type="dxa"/>
            <w:vAlign w:val="bottom"/>
          </w:tcPr>
          <w:p>
            <w:pPr>
              <w:spacing w:after="0"/>
              <w:rPr>
                <w:sz w:val="1"/>
                <w:szCs w:val="1"/>
                <w:color w:val="auto"/>
              </w:rPr>
            </w:pPr>
          </w:p>
        </w:tc>
      </w:tr>
      <w:tr>
        <w:trPr>
          <w:trHeight w:val="179"/>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Shares</w:t>
            </w:r>
          </w:p>
        </w:tc>
        <w:tc>
          <w:tcPr>
            <w:tcW w:w="26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9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Shared Voting Power</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Beneficially</w:t>
            </w:r>
          </w:p>
        </w:tc>
        <w:tc>
          <w:tcPr>
            <w:tcW w:w="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8</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Times New Roman" w:cs="Times New Roman" w:eastAsia="Times New Roman" w:hAnsi="Times New Roman"/>
                <w:sz w:val="19"/>
                <w:szCs w:val="19"/>
                <w:color w:val="auto"/>
              </w:rPr>
              <w:t>Owned by</w:t>
            </w: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Each</w:t>
            </w:r>
          </w:p>
        </w:tc>
        <w:tc>
          <w:tcPr>
            <w:tcW w:w="26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Sole Dispositive Power</w:t>
            </w: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Reporting</w:t>
            </w:r>
          </w:p>
        </w:tc>
        <w:tc>
          <w:tcPr>
            <w:tcW w:w="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Person</w:t>
            </w:r>
          </w:p>
        </w:tc>
        <w:tc>
          <w:tcPr>
            <w:tcW w:w="26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20,454,490.00</w:t>
            </w:r>
          </w:p>
        </w:tc>
        <w:tc>
          <w:tcPr>
            <w:tcW w:w="0" w:type="dxa"/>
            <w:vAlign w:val="bottom"/>
          </w:tcPr>
          <w:p>
            <w:pPr>
              <w:spacing w:after="0"/>
              <w:rPr>
                <w:sz w:val="1"/>
                <w:szCs w:val="1"/>
                <w:color w:val="auto"/>
              </w:rPr>
            </w:pPr>
          </w:p>
        </w:tc>
      </w:tr>
      <w:tr>
        <w:trPr>
          <w:trHeight w:val="251"/>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With:</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10</w:t>
            </w: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Shared Dispositive Power</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Aggregate amount beneficially owned by each reporting person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11</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20,454,490.00</w:t>
      </w:r>
    </w:p>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15875</wp:posOffset>
            </wp:positionV>
            <wp:extent cx="1143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Percent of class represented by amount in Row (11)</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13</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8.8 %</w:t>
      </w:r>
    </w:p>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Type of Reporting Person (See Instructions)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14</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OO</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Comment for Type of Reporting Person: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SCHEDULE 13D</w:t>
      </w:r>
    </w:p>
    <w:p>
      <w:pPr>
        <w:spacing w:after="0" w:line="27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9"/>
          <w:szCs w:val="19"/>
          <w:color w:val="auto"/>
        </w:rPr>
        <w:t>Item 1.</w:t>
      </w:r>
      <w:r>
        <w:rPr>
          <w:sz w:val="20"/>
          <w:szCs w:val="20"/>
          <w:color w:val="auto"/>
        </w:rPr>
        <w:tab/>
      </w:r>
      <w:r>
        <w:rPr>
          <w:rFonts w:ascii="Times New Roman" w:cs="Times New Roman" w:eastAsia="Times New Roman" w:hAnsi="Times New Roman"/>
          <w:sz w:val="19"/>
          <w:szCs w:val="19"/>
          <w:color w:val="auto"/>
        </w:rPr>
        <w:t>Security and Issuer</w:t>
      </w:r>
    </w:p>
    <w:p>
      <w:pPr>
        <w:spacing w:after="0" w:line="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Title of Class of Securities: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Common Stock, $0.0001 par value per share</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Name of Issuer: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Invivyd, Inc.</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Address of Issuer's Principal Executive Offices: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209 Church Street, New Haven, CONNECTICUT , 06510.</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 Comment:</w:t>
      </w:r>
    </w:p>
    <w:p>
      <w:pPr>
        <w:spacing w:after="0" w:line="26"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19"/>
          <w:szCs w:val="19"/>
          <w:color w:val="auto"/>
        </w:rPr>
        <w:t>This Amendment No. 4 ("Amendment No. 4") amends and supplements the Schedule 13D originally filed by Adimab, LLC (the "Reporting Person") with the Securities and Exchange Commission (the "Commission") on March 30, 2022, as amended and supplemented by Amendment No. 1 thereto, filed with the Commission on April 26, 2022, Amendment No. 2 thereto, filed with the Commission on June 24, 2022 and Amendment No. 3 thereto, filed with the Commission on January 22, 2024 (the "Original 13D," and together with this amendment, the "Schedule 13D").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No. 4 have the meanings ascribed to them in the Original 13D. This Amendment is being filed to report that the beneficial ownership of Common Stock by the Reporting Person has decreased by more than 1% as a result of the sales reported in Item 5.</w:t>
      </w:r>
    </w:p>
    <w:p>
      <w:pPr>
        <w:sectPr>
          <w:pgSz w:w="11900" w:h="16840" w:orient="portrait"/>
          <w:cols w:equalWidth="0" w:num="1">
            <w:col w:w="10540"/>
          </w:cols>
          <w:pgMar w:left="660" w:top="568" w:right="700" w:bottom="231"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9"/>
          <w:szCs w:val="19"/>
          <w:color w:val="auto"/>
        </w:rPr>
        <w:t>Item 2.</w:t>
      </w:r>
      <w:r>
        <w:rPr>
          <w:sz w:val="20"/>
          <w:szCs w:val="20"/>
          <w:color w:val="auto"/>
        </w:rPr>
        <w:tab/>
      </w:r>
      <w:r>
        <w:rPr>
          <w:rFonts w:ascii="Times New Roman" w:cs="Times New Roman" w:eastAsia="Times New Roman" w:hAnsi="Times New Roman"/>
          <w:sz w:val="19"/>
          <w:szCs w:val="19"/>
          <w:color w:val="auto"/>
        </w:rPr>
        <w:t>Identity and Background</w:t>
      </w:r>
    </w:p>
    <w:p>
      <w:pPr>
        <w:spacing w:after="0" w:line="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Item 2 of the Schedule 13D is hereby amended and restated as follows: (a) The Schedule 13D is being filed by Adimab,</w:t>
      </w:r>
    </w:p>
    <w:p>
      <w:pPr>
        <w:spacing w:after="0" w:line="32" w:lineRule="exact"/>
        <w:rPr>
          <w:sz w:val="20"/>
          <w:szCs w:val="20"/>
          <w:color w:val="auto"/>
        </w:rPr>
      </w:pPr>
    </w:p>
    <w:p>
      <w:pPr>
        <w:ind w:left="860" w:right="60" w:hanging="858"/>
        <w:spacing w:after="0" w:line="262" w:lineRule="auto"/>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LLC (the "Reporting Person"), a Delaware limited liability company. Information with respect to the directors and executive officers of the Reporting Person (collectively, the "Related Persons") is included in Appendix A to this Schedule 13D.</w:t>
      </w:r>
    </w:p>
    <w:p>
      <w:pPr>
        <w:spacing w:after="0" w:line="5"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The business address of the Reporting Person is 7 Lucent Drive, Lebanon, NH 03766.</w:t>
      </w:r>
    </w:p>
    <w:p>
      <w:pPr>
        <w:spacing w:after="0" w:line="57"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 The Reporting Person's principal business is to provide therapeutic antibody discovery and enginerring technologies.</w:t>
      </w:r>
    </w:p>
    <w:p>
      <w:pPr>
        <w:spacing w:after="0" w:line="57"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 None</w:t>
      </w:r>
    </w:p>
    <w:p>
      <w:pPr>
        <w:spacing w:after="0" w:line="57"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 None</w:t>
      </w:r>
    </w:p>
    <w:p>
      <w:pPr>
        <w:spacing w:after="0" w:line="57"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 The Reporting person is a Delaware limited liability company.</w:t>
      </w:r>
    </w:p>
    <w:p>
      <w:pPr>
        <w:spacing w:after="0" w:line="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9"/>
          <w:szCs w:val="19"/>
          <w:color w:val="auto"/>
        </w:rPr>
        <w:t>Item 5.</w:t>
      </w:r>
      <w:r>
        <w:rPr>
          <w:sz w:val="20"/>
          <w:szCs w:val="20"/>
          <w:color w:val="auto"/>
        </w:rPr>
        <w:tab/>
      </w:r>
      <w:r>
        <w:rPr>
          <w:rFonts w:ascii="Times New Roman" w:cs="Times New Roman" w:eastAsia="Times New Roman" w:hAnsi="Times New Roman"/>
          <w:sz w:val="19"/>
          <w:szCs w:val="19"/>
          <w:color w:val="auto"/>
        </w:rPr>
        <w:t>Interest in Securities of the Issuer</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Item 5 of the Schedule 13D is hereby amended and restated as follows: (a) Amount beneficially owned: 21,687,906; Percent</w:t>
      </w:r>
    </w:p>
    <w:p>
      <w:pPr>
        <w:spacing w:after="0" w:line="32" w:lineRule="exact"/>
        <w:rPr>
          <w:sz w:val="20"/>
          <w:szCs w:val="20"/>
          <w:color w:val="auto"/>
        </w:rPr>
      </w:pPr>
    </w:p>
    <w:p>
      <w:pPr>
        <w:ind w:left="860" w:right="40" w:hanging="858"/>
        <w:spacing w:after="0" w:line="251" w:lineRule="auto"/>
        <w:tabs>
          <w:tab w:leader="none" w:pos="8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Class: 8.8%. The above percentage is based on 233,122,834 shares of Common Stock outstanding as of October 30, 2025, as reported in the Issuer's Quarterly Report on Form 10-Q for the quarter ended September 30, 2025.</w:t>
      </w:r>
    </w:p>
    <w:p>
      <w:pPr>
        <w:spacing w:after="0" w:line="25" w:lineRule="exact"/>
        <w:rPr>
          <w:rFonts w:ascii="Times New Roman" w:cs="Times New Roman" w:eastAsia="Times New Roman" w:hAnsi="Times New Roman"/>
          <w:sz w:val="19"/>
          <w:szCs w:val="19"/>
          <w:color w:val="auto"/>
        </w:rPr>
      </w:pPr>
    </w:p>
    <w:p>
      <w:pPr>
        <w:ind w:left="860" w:right="160" w:hanging="858"/>
        <w:spacing w:after="0" w:line="181" w:lineRule="auto"/>
        <w:tabs>
          <w:tab w:leader="none" w:pos="86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9"/>
          <w:szCs w:val="19"/>
          <w:color w:val="auto"/>
        </w:rPr>
        <w:t>(b) The Reporting Person has sole voting and sole dispositive power with respect to all of the shares of Common Stock that it beneficially owns.</w:t>
      </w:r>
    </w:p>
    <w:p>
      <w:pPr>
        <w:spacing w:after="0" w:line="27" w:lineRule="exact"/>
        <w:rPr>
          <w:rFonts w:ascii="Times New Roman" w:cs="Times New Roman" w:eastAsia="Times New Roman" w:hAnsi="Times New Roman"/>
          <w:sz w:val="36"/>
          <w:szCs w:val="36"/>
          <w:color w:val="auto"/>
          <w:vertAlign w:val="subscript"/>
        </w:rPr>
      </w:pPr>
    </w:p>
    <w:p>
      <w:pPr>
        <w:ind w:left="8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9"/>
          <w:szCs w:val="19"/>
          <w:color w:val="auto"/>
        </w:rPr>
        <w:t>On November 17, 2025, the Reporting Person sold 1,233,416 shares of Common Stock at a weighted average price of</w:t>
      </w:r>
    </w:p>
    <w:p>
      <w:pPr>
        <w:spacing w:after="0" w:line="31" w:lineRule="exact"/>
        <w:rPr>
          <w:rFonts w:ascii="Times New Roman" w:cs="Times New Roman" w:eastAsia="Times New Roman" w:hAnsi="Times New Roman"/>
          <w:sz w:val="36"/>
          <w:szCs w:val="36"/>
          <w:color w:val="auto"/>
          <w:vertAlign w:val="subscript"/>
        </w:rPr>
      </w:pPr>
    </w:p>
    <w:p>
      <w:pPr>
        <w:ind w:left="860" w:right="220" w:hanging="858"/>
        <w:spacing w:after="0" w:line="188" w:lineRule="auto"/>
        <w:tabs>
          <w:tab w:leader="none" w:pos="860" w:val="left"/>
        </w:tabs>
        <w:numPr>
          <w:ilvl w:val="0"/>
          <w:numId w:val="4"/>
        </w:numPr>
        <w:rPr>
          <w:rFonts w:ascii="Times New Roman" w:cs="Times New Roman" w:eastAsia="Times New Roman" w:hAnsi="Times New Roman"/>
          <w:sz w:val="38"/>
          <w:szCs w:val="38"/>
          <w:color w:val="auto"/>
          <w:vertAlign w:val="subscript"/>
        </w:rPr>
      </w:pPr>
      <w:r>
        <w:rPr>
          <w:rFonts w:ascii="Times New Roman" w:cs="Times New Roman" w:eastAsia="Times New Roman" w:hAnsi="Times New Roman"/>
          <w:sz w:val="19"/>
          <w:szCs w:val="19"/>
          <w:color w:val="auto"/>
        </w:rPr>
        <w:t>$3.0026 per share in a series of open market transactions. These shares were sold in multiple transactions at prices ranging from $3.00 to $3.045 per share. The Reporting Person undertakes to provide to the Staff of the Securities and Exchange Commission, upon request, full information regarding the number of shares sold at each separate price within this range.</w:t>
      </w:r>
    </w:p>
    <w:p>
      <w:pPr>
        <w:spacing w:after="0" w:line="25" w:lineRule="exact"/>
        <w:rPr>
          <w:rFonts w:ascii="Times New Roman" w:cs="Times New Roman" w:eastAsia="Times New Roman" w:hAnsi="Times New Roman"/>
          <w:sz w:val="38"/>
          <w:szCs w:val="38"/>
          <w:color w:val="auto"/>
          <w:vertAlign w:val="subscript"/>
        </w:rPr>
      </w:pPr>
    </w:p>
    <w:p>
      <w:pPr>
        <w:ind w:left="860" w:hanging="858"/>
        <w:spacing w:after="0"/>
        <w:tabs>
          <w:tab w:leader="none" w:pos="8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57"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applicable</w:t>
      </w: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SIGNATURE</w:t>
      </w:r>
    </w:p>
    <w:p>
      <w:pPr>
        <w:spacing w:after="0" w:line="58" w:lineRule="exact"/>
        <w:rPr>
          <w:sz w:val="20"/>
          <w:szCs w:val="20"/>
          <w:color w:val="auto"/>
        </w:rPr>
      </w:pPr>
    </w:p>
    <w:p>
      <w:pPr>
        <w:ind w:left="1340"/>
        <w:spacing w:after="0" w:line="286" w:lineRule="auto"/>
        <w:rPr>
          <w:sz w:val="20"/>
          <w:szCs w:val="20"/>
          <w:color w:val="auto"/>
        </w:rPr>
      </w:pPr>
      <w:r>
        <w:rPr>
          <w:rFonts w:ascii="Times New Roman" w:cs="Times New Roman" w:eastAsia="Times New Roman" w:hAnsi="Times New Roman"/>
          <w:sz w:val="19"/>
          <w:szCs w:val="19"/>
          <w:color w:val="auto"/>
        </w:rPr>
        <w:t>After reasonable inquiry and to the best of my knowledge and belief, I certify that the information set forth in this statement is true, complete and correct.</w:t>
      </w:r>
    </w:p>
    <w:p>
      <w:pPr>
        <w:spacing w:after="0" w:line="2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Adimab, LLC</w:t>
      </w:r>
    </w:p>
    <w:p>
      <w:pPr>
        <w:spacing w:after="0" w:line="154" w:lineRule="exact"/>
        <w:rPr>
          <w:sz w:val="20"/>
          <w:szCs w:val="20"/>
          <w:color w:val="auto"/>
        </w:rPr>
      </w:pPr>
    </w:p>
    <w:p>
      <w:pPr>
        <w:ind w:left="4040"/>
        <w:spacing w:after="0"/>
        <w:tabs>
          <w:tab w:leader="none" w:pos="5000" w:val="left"/>
        </w:tabs>
        <w:rPr>
          <w:sz w:val="20"/>
          <w:szCs w:val="20"/>
          <w:color w:val="auto"/>
        </w:rPr>
      </w:pPr>
      <w:r>
        <w:rPr>
          <w:rFonts w:ascii="Times New Roman" w:cs="Times New Roman" w:eastAsia="Times New Roman" w:hAnsi="Times New Roman"/>
          <w:sz w:val="19"/>
          <w:szCs w:val="19"/>
          <w:color w:val="auto"/>
        </w:rPr>
        <w:t>Signature:</w:t>
        <w:tab/>
        <w:t>/s/ Philip Chase</w:t>
      </w:r>
    </w:p>
    <w:p>
      <w:pPr>
        <w:spacing w:after="0" w:line="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Name/Title: Philip Chase, Chief Executive Officer</w:t>
      </w:r>
    </w:p>
    <w:p>
      <w:pPr>
        <w:spacing w:after="0" w:line="58" w:lineRule="exact"/>
        <w:rPr>
          <w:sz w:val="20"/>
          <w:szCs w:val="20"/>
          <w:color w:val="auto"/>
        </w:rPr>
      </w:pPr>
    </w:p>
    <w:p>
      <w:pPr>
        <w:ind w:left="4040"/>
        <w:spacing w:after="0"/>
        <w:tabs>
          <w:tab w:leader="none" w:pos="500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11/19/2025</w:t>
      </w:r>
    </w:p>
    <w:p>
      <w:pPr>
        <w:sectPr>
          <w:pgSz w:w="11900" w:h="16840" w:orient="portrait"/>
          <w:cols w:equalWidth="0" w:num="1">
            <w:col w:w="10500"/>
          </w:cols>
          <w:pgMar w:left="700" w:top="568" w:right="700" w:bottom="1440" w:gutter="0" w:footer="0" w:header="0"/>
        </w:sectPr>
      </w:pPr>
    </w:p>
    <w:bookmarkStart w:id="3" w:name="page4"/>
    <w:bookmarkEnd w:id="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2025-11-19T15:40:11Z</dcterms:created>
  <dcterms:modified xsi:type="dcterms:W3CDTF">2025-11-19T15:40:11Z</dcterms:modified>
</cp:coreProperties>
</file>