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087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087360"/>
                    </a:xfrm>
                    <a:prstGeom prst="rect">
                      <a:avLst/>
                    </a:prstGeom>
                    <a:noFill/>
                  </pic:spPr>
                </pic:pic>
              </a:graphicData>
            </a:graphic>
          </wp:anchor>
        </w:drawing>
      </w:r>
    </w:p>
    <w:p>
      <w:pPr>
        <w:sectPr>
          <w:pgSz w:w="11900" w:h="16843"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Elia Marc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940" w:type="dxa"/>
            <w:vAlign w:val="bottom"/>
            <w:tcBorders>
              <w:top w:val="single" w:sz="8" w:color="0000EE"/>
              <w:bottom w:val="single" w:sz="8" w:color="9A9A9A"/>
            </w:tcBorders>
          </w:tcPr>
          <w:p>
            <w:pPr>
              <w:spacing w:after="0"/>
              <w:rPr>
                <w:sz w:val="16"/>
                <w:szCs w:val="16"/>
                <w:color w:val="auto"/>
              </w:rPr>
            </w:pPr>
          </w:p>
        </w:tc>
        <w:tc>
          <w:tcPr>
            <w:tcW w:w="21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03/28/2022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Adagio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ADGI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43"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700 CANAL STREET, 2ND FLOOR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STAMFORD CT</w:t>
            </w:r>
          </w:p>
        </w:tc>
        <w:tc>
          <w:tcPr>
            <w:tcW w:w="130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06902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jc w:val="right"/>
        <w:spacing w:after="0"/>
        <w:tabs>
          <w:tab w:leader="none" w:pos="1240" w:val="left"/>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8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506" w:lineRule="exact"/>
        <w:rPr>
          <w:sz w:val="24"/>
          <w:szCs w:val="24"/>
          <w:color w:val="auto"/>
        </w:rPr>
      </w:pPr>
    </w:p>
    <w:p>
      <w:pPr>
        <w:sectPr>
          <w:pgSz w:w="11900" w:h="16843"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w w:val="98"/>
              </w:rPr>
              <w:t>Common Stock, par value $0.0001</w:t>
            </w: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6,398,250</w:t>
            </w:r>
          </w:p>
        </w:tc>
        <w:tc>
          <w:tcPr>
            <w:tcW w:w="100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160" w:type="dxa"/>
            <w:vAlign w:val="bottom"/>
            <w:gridSpan w:val="11"/>
          </w:tcPr>
          <w:p>
            <w:pPr>
              <w:ind w:left="144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Elia Marc</w:t>
              </w:r>
            </w:hyperlink>
          </w:p>
        </w:tc>
        <w:tc>
          <w:tcPr>
            <w:tcW w:w="1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auto"/>
              </w:rPr>
              <w:t>(Last)</w:t>
            </w:r>
          </w:p>
        </w:tc>
        <w:tc>
          <w:tcPr>
            <w:tcW w:w="1520" w:type="dxa"/>
            <w:vAlign w:val="bottom"/>
          </w:tcPr>
          <w:p>
            <w:pPr>
              <w:ind w:left="180"/>
              <w:spacing w:after="0"/>
              <w:rPr>
                <w:sz w:val="20"/>
                <w:szCs w:val="20"/>
                <w:color w:val="auto"/>
              </w:rPr>
            </w:pPr>
            <w:r>
              <w:rPr>
                <w:rFonts w:ascii="Arial" w:cs="Arial" w:eastAsia="Arial" w:hAnsi="Arial"/>
                <w:sz w:val="15"/>
                <w:szCs w:val="15"/>
                <w:color w:val="auto"/>
              </w:rPr>
              <w:t>(First)</w:t>
            </w:r>
          </w:p>
        </w:tc>
        <w:tc>
          <w:tcPr>
            <w:tcW w:w="1260" w:type="dxa"/>
            <w:vAlign w:val="bottom"/>
            <w:gridSpan w:val="3"/>
          </w:tcPr>
          <w:p>
            <w:pPr>
              <w:ind w:left="4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700 CANAL STREET, 2ND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STAMFORD</w:t>
            </w:r>
          </w:p>
        </w:tc>
        <w:tc>
          <w:tcPr>
            <w:tcW w:w="15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CT</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06902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auto"/>
              </w:rPr>
              <w:t>(City)</w:t>
            </w:r>
          </w:p>
        </w:tc>
        <w:tc>
          <w:tcPr>
            <w:tcW w:w="1520" w:type="dxa"/>
            <w:vAlign w:val="bottom"/>
          </w:tcPr>
          <w:p>
            <w:pPr>
              <w:ind w:left="180"/>
              <w:spacing w:after="0"/>
              <w:rPr>
                <w:sz w:val="20"/>
                <w:szCs w:val="20"/>
                <w:color w:val="auto"/>
              </w:rPr>
            </w:pPr>
            <w:r>
              <w:rPr>
                <w:rFonts w:ascii="Arial" w:cs="Arial" w:eastAsia="Arial" w:hAnsi="Arial"/>
                <w:sz w:val="15"/>
                <w:szCs w:val="15"/>
                <w:color w:val="auto"/>
              </w:rPr>
              <w:t>(State)</w:t>
            </w:r>
          </w:p>
        </w:tc>
        <w:tc>
          <w:tcPr>
            <w:tcW w:w="1260" w:type="dxa"/>
            <w:vAlign w:val="bottom"/>
            <w:gridSpan w:val="3"/>
          </w:tcPr>
          <w:p>
            <w:pPr>
              <w:ind w:left="4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3"/>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M28 Capital Management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260" w:type="dxa"/>
            <w:vAlign w:val="bottom"/>
            <w:tcBorders>
              <w:top w:val="single" w:sz="8" w:color="0000EE"/>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auto"/>
              </w:rPr>
              <w:t>(Last)</w:t>
            </w:r>
          </w:p>
        </w:tc>
        <w:tc>
          <w:tcPr>
            <w:tcW w:w="1520" w:type="dxa"/>
            <w:vAlign w:val="bottom"/>
          </w:tcPr>
          <w:p>
            <w:pPr>
              <w:ind w:left="180"/>
              <w:spacing w:after="0"/>
              <w:rPr>
                <w:sz w:val="20"/>
                <w:szCs w:val="20"/>
                <w:color w:val="auto"/>
              </w:rPr>
            </w:pPr>
            <w:r>
              <w:rPr>
                <w:rFonts w:ascii="Arial" w:cs="Arial" w:eastAsia="Arial" w:hAnsi="Arial"/>
                <w:sz w:val="15"/>
                <w:szCs w:val="15"/>
                <w:color w:val="auto"/>
              </w:rPr>
              <w:t>(First)</w:t>
            </w:r>
          </w:p>
        </w:tc>
        <w:tc>
          <w:tcPr>
            <w:tcW w:w="1260" w:type="dxa"/>
            <w:vAlign w:val="bottom"/>
            <w:gridSpan w:val="3"/>
          </w:tcPr>
          <w:p>
            <w:pPr>
              <w:ind w:left="4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700 CANAL STREET, 2ND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STAMFORD</w:t>
            </w:r>
          </w:p>
        </w:tc>
        <w:tc>
          <w:tcPr>
            <w:tcW w:w="15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CT</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06902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auto"/>
              </w:rPr>
              <w:t>(City)</w:t>
            </w:r>
          </w:p>
        </w:tc>
        <w:tc>
          <w:tcPr>
            <w:tcW w:w="1520" w:type="dxa"/>
            <w:vAlign w:val="bottom"/>
          </w:tcPr>
          <w:p>
            <w:pPr>
              <w:ind w:left="180"/>
              <w:spacing w:after="0"/>
              <w:rPr>
                <w:sz w:val="20"/>
                <w:szCs w:val="20"/>
                <w:color w:val="auto"/>
              </w:rPr>
            </w:pPr>
            <w:r>
              <w:rPr>
                <w:rFonts w:ascii="Arial" w:cs="Arial" w:eastAsia="Arial" w:hAnsi="Arial"/>
                <w:sz w:val="15"/>
                <w:szCs w:val="15"/>
                <w:color w:val="auto"/>
              </w:rPr>
              <w:t>(State)</w:t>
            </w:r>
          </w:p>
        </w:tc>
        <w:tc>
          <w:tcPr>
            <w:tcW w:w="1260" w:type="dxa"/>
            <w:vAlign w:val="bottom"/>
            <w:gridSpan w:val="3"/>
          </w:tcPr>
          <w:p>
            <w:pPr>
              <w:ind w:left="4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filed by M28 Capital Management LP ("M28 Capital Management") and Marc Elia ("Mr. Elia") with respect to the securities held by certain funds and accounts to which M28 Capital Management serves as investment manager. Mr. Elia is the Chief Investment Officer of M28 Capital Management and the Managing Member of M28 Capital Management GP LLC, the general partner of M28 Capital Management. The Reporting Persons expressly disclaim beneficial ownership of the securities reported herein except to the extent of its or his pecuniary interest therein, if any.</w:t>
      </w:r>
    </w:p>
    <w:p>
      <w:pPr>
        <w:sectPr>
          <w:pgSz w:w="11900" w:h="16843" w:orient="portrait"/>
          <w:cols w:equalWidth="0" w:num="1">
            <w:col w:w="10940"/>
          </w:cols>
          <w:pgMar w:left="480" w:top="230" w:right="479" w:bottom="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43" w:orient="portrait"/>
          <w:cols w:equalWidth="0" w:num="1">
            <w:col w:w="10940"/>
          </w:cols>
          <w:pgMar w:left="480" w:top="230" w:right="479" w:bottom="0" w:gutter="0" w:footer="0" w:header="0"/>
          <w:type w:val="continuous"/>
        </w:sectPr>
      </w:pPr>
    </w:p>
    <w:bookmarkStart w:id="1" w:name="page2"/>
    <w:bookmarkEnd w:id="1"/>
    <w:p>
      <w:pPr>
        <w:ind w:right="20"/>
        <w:spacing w:after="0" w:line="233" w:lineRule="auto"/>
        <w:rPr>
          <w:sz w:val="20"/>
          <w:szCs w:val="20"/>
          <w:color w:val="auto"/>
        </w:rPr>
      </w:pPr>
      <w:r>
        <w:rPr>
          <w:rFonts w:ascii="Times New Roman" w:cs="Times New Roman" w:eastAsia="Times New Roman" w:hAnsi="Times New Roman"/>
          <w:sz w:val="15"/>
          <w:szCs w:val="15"/>
          <w:color w:val="008000"/>
        </w:rPr>
        <w:t>This Form 3 is not being filed in connection with the acquisition or disposition of any securities of the Issuer. On March 28, 2022, M28 Capital Management and (i) Mithril II LP ("Mithril"), (ii) Polaris Venture Partners V, L.P., Polaris Venture Partners Entrepreneurs' Fund V, L.P., Polaris Venture Partners Founders' Fund V, L.P., Polaris Venture Partners Special Founders' Fund V, L.P., Polaris Partners IX, L.P. and Polaris Healthcare Technology Opportunities Fund, L.P. (collectively, "Polaris"), (iii) Adimab, LLC, and (iv) Population Health Equity Partners III, L.P., Population Health Equity Partners VII, L.P. and Clive Meanwell (collectively, "Population Health"), orally agreed to coordinate and cooperate in certain of their activities with regard to the Issuer, which agreement was subsequently memorialized, also on March 28, 2022, in an email circulated among representatives of such persons. That agreement provides that each such person will vote its shares of Common Stock in favor of the election of certain director nominees at the Issuer's 2022 annual meeting. By virtue of such agreement, the forgoing persons may be deemed to be part of a "group" (within the meaning of Section 13(d)(3) of the Exchange Act) comprised of such persons. The Reporting Persons expressly disclaim beneficial ownership over any Common Stock that is beneficially owned by Mithril, Polaris, Adimab, LLC and Population Health, and beneficial ownership of any securities of the Issuer other than those reported on this Form 3 in which they have a pecuniary interest. This filing shall not be deemed an admission that the Reporting Persons are 10% shareholders for purposes of Section 16 of the Exchange Act or an admission that such Reporting Persons are the beneficial owner of such securities for purposes of Section 16 of the Exchange Act or for any other purpose.</w:t>
      </w:r>
    </w:p>
    <w:p>
      <w:pPr>
        <w:spacing w:after="0" w:line="44"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Marc Elia</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04/01/2022</w:t>
            </w:r>
          </w:p>
        </w:tc>
      </w:tr>
      <w:tr>
        <w:trPr>
          <w:trHeight w:val="20"/>
        </w:trPr>
        <w:tc>
          <w:tcPr>
            <w:tcW w:w="10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8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M28 Capital Management</w:t>
            </w:r>
          </w:p>
        </w:tc>
        <w:tc>
          <w:tcPr>
            <w:tcW w:w="900" w:type="dxa"/>
            <w:vAlign w:val="bottom"/>
          </w:tcPr>
          <w:p>
            <w:pPr>
              <w:spacing w:after="0"/>
              <w:rPr>
                <w:sz w:val="24"/>
                <w:szCs w:val="24"/>
                <w:color w:val="auto"/>
              </w:rPr>
            </w:pPr>
          </w:p>
        </w:tc>
      </w:tr>
      <w:tr>
        <w:trPr>
          <w:trHeight w:val="220"/>
        </w:trPr>
        <w:tc>
          <w:tcPr>
            <w:tcW w:w="166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LP, by: /s/ Marc Elia,</w:t>
            </w:r>
          </w:p>
        </w:tc>
        <w:tc>
          <w:tcPr>
            <w:tcW w:w="3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04/01/2022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40" w:type="dxa"/>
            <w:vAlign w:val="bottom"/>
          </w:tcPr>
          <w:p>
            <w:pPr>
              <w:spacing w:after="0"/>
              <w:rPr>
                <w:sz w:val="19"/>
                <w:szCs w:val="19"/>
                <w:color w:val="auto"/>
              </w:rPr>
            </w:pPr>
          </w:p>
        </w:tc>
        <w:tc>
          <w:tcPr>
            <w:tcW w:w="1960" w:type="dxa"/>
            <w:vAlign w:val="bottom"/>
            <w:tcBorders>
              <w:bottom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0000FF"/>
                <w:w w:val="96"/>
              </w:rPr>
              <w:t>Chief Investment Officer</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440" w:type="dxa"/>
            <w:vAlign w:val="bottom"/>
            <w:vMerge w:val="restart"/>
          </w:tcPr>
          <w:p>
            <w:pPr>
              <w:ind w:left="12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6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60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0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5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30496" TargetMode="External"/><Relationship Id="rId11" Type="http://schemas.openxmlformats.org/officeDocument/2006/relationships/hyperlink" Target="http://www.sec.gov/cgi-bin/browse-edgar?action=getcompany&amp;CIK=0001832038" TargetMode="External"/><Relationship Id="rId12" Type="http://schemas.openxmlformats.org/officeDocument/2006/relationships/hyperlink" Target="http://www.sec.gov/cgi-bin/browse-edgar?action=getcompany&amp;CIK=00018074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2022-04-01T15:17:50Z</dcterms:created>
  <dcterms:modified xsi:type="dcterms:W3CDTF">2022-04-01T15:17:50Z</dcterms:modified>
</cp:coreProperties>
</file>