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32"/>
          <w:szCs w:val="32"/>
          <w:b w:val="1"/>
          <w:bCs w:val="1"/>
          <w:color w:val="auto"/>
        </w:rPr>
        <w:t>Adagio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PETER THIEL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ENTREPRENEURS’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FOUNDERS’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PARTNERS SPECIAL FOUNDERS’ FUND V,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PARTNERS IX,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VENTURE MANAGEMENT CO. V,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PARTNERS GP IX,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JONATHAN FLINT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M28 CAPITAL MANAGEMENT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MARC ELIA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CLIVE A. MEANWELL, M.B., Ch.B, M.D.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CHRISTOPHER COX</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TAMSIN BERRY</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56"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FF4338"/>
        </w:rPr>
        <w:t>PRELIMINARY PROXY STATEMENT—SUBJECT TO COMPLETION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2022 ANNUAL MEETING OF STOCKHOLDERS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PETER THIEL</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VENTURE PARTNERS V,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VENTURE PARTNERS ENTREPRENEURS’ FUND V,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VENTURE PARTNERS FOUNDERS’ FUND V,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VENTURE PARTNERS SPECIAL FOUNDERS’ FUND V,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PARTNERS IX,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VENTURE MANAGEMENT CO. V, L.L.C.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PARTNERS GP IX, L.L.C.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POLARIS HEALTHCARE TECHNOLOGY OPPORTUNITIES FUND GP, L.L.C.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TERRANCE MCGUIRE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JONATHAN FLINT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M28 CAPITAL MANAGEMENT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MARC ELIA</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POPULATION HEALTH EQUITY PARTNERS III GP, LLC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L.P.</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POPULATION HEALTH EQUITY PARTNERS VII GP, LLC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CLIVE A. MEANWELL, M.B., Ch.B, M.D.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CHRISTOPHER COX</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TAMSIN BERRY</w:t>
      </w:r>
    </w:p>
    <w:p>
      <w:pPr>
        <w:spacing w:after="0" w:line="20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This proxy statement and accompanying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are being furnished to stockholders of Adagio Therapeutics, Inc., a Delaware corporation (“</w:t>
      </w:r>
      <w:r>
        <w:rPr>
          <w:rFonts w:ascii="Times New Roman" w:cs="Times New Roman" w:eastAsia="Times New Roman" w:hAnsi="Times New Roman"/>
          <w:sz w:val="18"/>
          <w:szCs w:val="18"/>
          <w:b w:val="1"/>
          <w:bCs w:val="1"/>
          <w:color w:val="auto"/>
        </w:rPr>
        <w:t>Adagio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Mithril (as defined below) in connection with the 2022 annual meeting of stockholders of the Company (including any and all adjournments, postponements, continuations or reschedulings thereof, or any other meetings of stockholders of the Company held in lieu thereof, the “</w:t>
      </w:r>
      <w:r>
        <w:rPr>
          <w:rFonts w:ascii="Times New Roman" w:cs="Times New Roman" w:eastAsia="Times New Roman" w:hAnsi="Times New Roman"/>
          <w:sz w:val="18"/>
          <w:szCs w:val="18"/>
          <w:b w:val="1"/>
          <w:bCs w:val="1"/>
          <w:color w:val="auto"/>
        </w:rPr>
        <w:t>2022 Annual Meeting</w:t>
      </w:r>
      <w:r>
        <w:rPr>
          <w:rFonts w:ascii="Times New Roman" w:cs="Times New Roman" w:eastAsia="Times New Roman" w:hAnsi="Times New Roman"/>
          <w:sz w:val="18"/>
          <w:szCs w:val="18"/>
          <w:color w:val="auto"/>
        </w:rPr>
        <w:t>”), currently scheduled to be held virtually on May 26, 2022, at 8:30 a.m. Eastern Time. The Company has not yet set a record date for determining stockholders entitled to notice of and to vote at the 2022 Annual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participants in this solicitation (the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are:</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Mithril II, LP, a Delaware limited partnership (“</w:t>
      </w:r>
      <w:r>
        <w:rPr>
          <w:rFonts w:ascii="Times New Roman" w:cs="Times New Roman" w:eastAsia="Times New Roman" w:hAnsi="Times New Roman"/>
          <w:sz w:val="18"/>
          <w:szCs w:val="18"/>
          <w:b w:val="1"/>
          <w:bCs w:val="1"/>
          <w:color w:val="auto"/>
        </w:rPr>
        <w:t>Mithril II</w:t>
      </w:r>
      <w:r>
        <w:rPr>
          <w:rFonts w:ascii="Times New Roman" w:cs="Times New Roman" w:eastAsia="Times New Roman" w:hAnsi="Times New Roman"/>
          <w:sz w:val="18"/>
          <w:szCs w:val="18"/>
          <w:color w:val="auto"/>
        </w:rPr>
        <w:t>”), Mithril II GP LP, a Delaware limited partnership (“</w:t>
      </w:r>
      <w:r>
        <w:rPr>
          <w:rFonts w:ascii="Times New Roman" w:cs="Times New Roman" w:eastAsia="Times New Roman" w:hAnsi="Times New Roman"/>
          <w:sz w:val="18"/>
          <w:szCs w:val="18"/>
          <w:b w:val="1"/>
          <w:bCs w:val="1"/>
          <w:color w:val="auto"/>
        </w:rPr>
        <w:t>Mithril II GP</w:t>
      </w:r>
      <w:r>
        <w:rPr>
          <w:rFonts w:ascii="Times New Roman" w:cs="Times New Roman" w:eastAsia="Times New Roman" w:hAnsi="Times New Roman"/>
          <w:sz w:val="18"/>
          <w:szCs w:val="18"/>
          <w:color w:val="auto"/>
        </w:rPr>
        <w:t>”), Mithril</w:t>
      </w:r>
    </w:p>
    <w:p>
      <w:pPr>
        <w:spacing w:after="0" w:line="31" w:lineRule="exact"/>
        <w:rPr>
          <w:rFonts w:ascii="Times New Roman" w:cs="Times New Roman" w:eastAsia="Times New Roman" w:hAnsi="Times New Roman"/>
          <w:sz w:val="18"/>
          <w:szCs w:val="18"/>
          <w:color w:val="auto"/>
        </w:rPr>
      </w:pPr>
    </w:p>
    <w:p>
      <w:pPr>
        <w:ind w:left="1080" w:right="40" w:firstLine="8"/>
        <w:spacing w:after="0" w:line="260" w:lineRule="auto"/>
        <w:tabs>
          <w:tab w:leader="none" w:pos="124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UGP LLC, a Delaware limited liability company (“</w:t>
      </w:r>
      <w:r>
        <w:rPr>
          <w:rFonts w:ascii="Times New Roman" w:cs="Times New Roman" w:eastAsia="Times New Roman" w:hAnsi="Times New Roman"/>
          <w:sz w:val="18"/>
          <w:szCs w:val="18"/>
          <w:b w:val="1"/>
          <w:bCs w:val="1"/>
          <w:color w:val="auto"/>
        </w:rPr>
        <w:t>Mithril II UGP</w:t>
      </w:r>
      <w:r>
        <w:rPr>
          <w:rFonts w:ascii="Times New Roman" w:cs="Times New Roman" w:eastAsia="Times New Roman" w:hAnsi="Times New Roman"/>
          <w:sz w:val="18"/>
          <w:szCs w:val="18"/>
          <w:color w:val="auto"/>
        </w:rPr>
        <w:t>”), Ajay Royan, a citizen of Canada, and Peter Thiel, a citizen of the United States of America (collectively, “</w:t>
      </w:r>
      <w:r>
        <w:rPr>
          <w:rFonts w:ascii="Times New Roman" w:cs="Times New Roman" w:eastAsia="Times New Roman" w:hAnsi="Times New Roman"/>
          <w:sz w:val="18"/>
          <w:szCs w:val="18"/>
          <w:b w:val="1"/>
          <w:bCs w:val="1"/>
          <w:color w:val="auto"/>
        </w:rPr>
        <w:t>Mithril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1080" w:hanging="424"/>
        <w:spacing w:after="0" w:line="278"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Polaris Venture Partners V, L.P., a Delaware limited partnership (“</w:t>
      </w:r>
      <w:r>
        <w:rPr>
          <w:rFonts w:ascii="Times New Roman" w:cs="Times New Roman" w:eastAsia="Times New Roman" w:hAnsi="Times New Roman"/>
          <w:sz w:val="17"/>
          <w:szCs w:val="17"/>
          <w:b w:val="1"/>
          <w:bCs w:val="1"/>
          <w:color w:val="auto"/>
        </w:rPr>
        <w:t>Polaris V</w:t>
      </w:r>
      <w:r>
        <w:rPr>
          <w:rFonts w:ascii="Times New Roman" w:cs="Times New Roman" w:eastAsia="Times New Roman" w:hAnsi="Times New Roman"/>
          <w:sz w:val="17"/>
          <w:szCs w:val="17"/>
          <w:color w:val="auto"/>
        </w:rPr>
        <w:t>”), Polaris Venture Partners Entrepreneurs’ Fund V, L.P., a Delaware limited partnership (“</w:t>
      </w:r>
      <w:r>
        <w:rPr>
          <w:rFonts w:ascii="Times New Roman" w:cs="Times New Roman" w:eastAsia="Times New Roman" w:hAnsi="Times New Roman"/>
          <w:sz w:val="17"/>
          <w:szCs w:val="17"/>
          <w:b w:val="1"/>
          <w:bCs w:val="1"/>
          <w:color w:val="auto"/>
        </w:rPr>
        <w:t>Polaris EF V</w:t>
      </w:r>
      <w:r>
        <w:rPr>
          <w:rFonts w:ascii="Times New Roman" w:cs="Times New Roman" w:eastAsia="Times New Roman" w:hAnsi="Times New Roman"/>
          <w:sz w:val="17"/>
          <w:szCs w:val="17"/>
          <w:color w:val="auto"/>
        </w:rPr>
        <w:t>”), Polaris Venture Partners Founders’ Fund V, L.P., a Delaware limited partnership (“</w:t>
      </w:r>
      <w:r>
        <w:rPr>
          <w:rFonts w:ascii="Times New Roman" w:cs="Times New Roman" w:eastAsia="Times New Roman" w:hAnsi="Times New Roman"/>
          <w:sz w:val="17"/>
          <w:szCs w:val="17"/>
          <w:b w:val="1"/>
          <w:bCs w:val="1"/>
          <w:color w:val="auto"/>
        </w:rPr>
        <w:t>Polaris</w:t>
      </w:r>
    </w:p>
    <w:p>
      <w:pPr>
        <w:spacing w:after="0" w:line="1" w:lineRule="exact"/>
        <w:rPr>
          <w:rFonts w:ascii="Times New Roman" w:cs="Times New Roman" w:eastAsia="Times New Roman" w:hAnsi="Times New Roman"/>
          <w:sz w:val="17"/>
          <w:szCs w:val="17"/>
          <w:color w:val="auto"/>
        </w:rPr>
      </w:pPr>
    </w:p>
    <w:p>
      <w:pPr>
        <w:ind w:left="1360" w:hanging="272"/>
        <w:spacing w:after="0"/>
        <w:tabs>
          <w:tab w:leader="none" w:pos="136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Polaris Venture Partners Special Founders’ Fund V, L.P., a Delaware limited partnership (“</w:t>
      </w:r>
      <w:r>
        <w:rPr>
          <w:rFonts w:ascii="Times New Roman" w:cs="Times New Roman" w:eastAsia="Times New Roman" w:hAnsi="Times New Roman"/>
          <w:sz w:val="18"/>
          <w:szCs w:val="18"/>
          <w:b w:val="1"/>
          <w:bCs w:val="1"/>
          <w:color w:val="auto"/>
        </w:rPr>
        <w:t>Polaris SFF V</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100" w:right="140"/>
        <w:spacing w:after="0" w:line="259" w:lineRule="auto"/>
        <w:rPr>
          <w:sz w:val="20"/>
          <w:szCs w:val="20"/>
          <w:color w:val="auto"/>
        </w:rPr>
      </w:pPr>
      <w:r>
        <w:rPr>
          <w:rFonts w:ascii="Times New Roman" w:cs="Times New Roman" w:eastAsia="Times New Roman" w:hAnsi="Times New Roman"/>
          <w:sz w:val="18"/>
          <w:szCs w:val="18"/>
          <w:color w:val="auto"/>
        </w:rPr>
        <w:t>Polaris Partners IX, L.P., a Delaware limited partnership (“</w:t>
      </w:r>
      <w:r>
        <w:rPr>
          <w:rFonts w:ascii="Times New Roman" w:cs="Times New Roman" w:eastAsia="Times New Roman" w:hAnsi="Times New Roman"/>
          <w:sz w:val="18"/>
          <w:szCs w:val="18"/>
          <w:b w:val="1"/>
          <w:bCs w:val="1"/>
          <w:color w:val="auto"/>
        </w:rPr>
        <w:t>Polaris IX</w:t>
      </w:r>
      <w:r>
        <w:rPr>
          <w:rFonts w:ascii="Times New Roman" w:cs="Times New Roman" w:eastAsia="Times New Roman" w:hAnsi="Times New Roman"/>
          <w:sz w:val="18"/>
          <w:szCs w:val="18"/>
          <w:color w:val="auto"/>
        </w:rPr>
        <w:t>”), Polaris Healthcare Technology Opportunities Fund, L.P., a Delaware limited partnership (“</w:t>
      </w:r>
      <w:r>
        <w:rPr>
          <w:rFonts w:ascii="Times New Roman" w:cs="Times New Roman" w:eastAsia="Times New Roman" w:hAnsi="Times New Roman"/>
          <w:sz w:val="18"/>
          <w:szCs w:val="18"/>
          <w:b w:val="1"/>
          <w:bCs w:val="1"/>
          <w:color w:val="auto"/>
        </w:rPr>
        <w:t>Polaris HCT</w:t>
      </w:r>
      <w:r>
        <w:rPr>
          <w:rFonts w:ascii="Times New Roman" w:cs="Times New Roman" w:eastAsia="Times New Roman" w:hAnsi="Times New Roman"/>
          <w:sz w:val="18"/>
          <w:szCs w:val="18"/>
          <w:color w:val="auto"/>
        </w:rPr>
        <w:t>”), Polaris Venture Management Co. V, L.L.C., a Delaware limited liability company (“</w:t>
      </w:r>
      <w:r>
        <w:rPr>
          <w:rFonts w:ascii="Times New Roman" w:cs="Times New Roman" w:eastAsia="Times New Roman" w:hAnsi="Times New Roman"/>
          <w:sz w:val="18"/>
          <w:szCs w:val="18"/>
          <w:b w:val="1"/>
          <w:bCs w:val="1"/>
          <w:color w:val="auto"/>
        </w:rPr>
        <w:t>PVMC V</w:t>
      </w:r>
      <w:r>
        <w:rPr>
          <w:rFonts w:ascii="Times New Roman" w:cs="Times New Roman" w:eastAsia="Times New Roman" w:hAnsi="Times New Roman"/>
          <w:sz w:val="18"/>
          <w:szCs w:val="18"/>
          <w:color w:val="auto"/>
        </w:rPr>
        <w:t>”), Polaris Partners GP IX, L.L.C., a Delaware limited liability company (“</w:t>
      </w:r>
      <w:r>
        <w:rPr>
          <w:rFonts w:ascii="Times New Roman" w:cs="Times New Roman" w:eastAsia="Times New Roman" w:hAnsi="Times New Roman"/>
          <w:sz w:val="18"/>
          <w:szCs w:val="18"/>
          <w:b w:val="1"/>
          <w:bCs w:val="1"/>
          <w:color w:val="auto"/>
        </w:rPr>
        <w:t>PPGP IX</w:t>
      </w:r>
      <w:r>
        <w:rPr>
          <w:rFonts w:ascii="Times New Roman" w:cs="Times New Roman" w:eastAsia="Times New Roman" w:hAnsi="Times New Roman"/>
          <w:sz w:val="18"/>
          <w:szCs w:val="18"/>
          <w:color w:val="auto"/>
        </w:rPr>
        <w:t>”), Polaris Healthcare Technology Opportunities Fund GP, L.L.C., a Delaware limited liability company (“</w:t>
      </w:r>
      <w:r>
        <w:rPr>
          <w:rFonts w:ascii="Times New Roman" w:cs="Times New Roman" w:eastAsia="Times New Roman" w:hAnsi="Times New Roman"/>
          <w:sz w:val="18"/>
          <w:szCs w:val="18"/>
          <w:b w:val="1"/>
          <w:bCs w:val="1"/>
          <w:color w:val="auto"/>
        </w:rPr>
        <w:t>PHCT GP</w:t>
      </w:r>
      <w:r>
        <w:rPr>
          <w:rFonts w:ascii="Times New Roman" w:cs="Times New Roman" w:eastAsia="Times New Roman" w:hAnsi="Times New Roman"/>
          <w:sz w:val="18"/>
          <w:szCs w:val="18"/>
          <w:color w:val="auto"/>
        </w:rPr>
        <w:t>”), Terrance McGuire, a citizen of the United States of America, and Jonathan Flint, a citizen of the United States of America (collectively, “</w:t>
      </w:r>
      <w:r>
        <w:rPr>
          <w:rFonts w:ascii="Times New Roman" w:cs="Times New Roman" w:eastAsia="Times New Roman" w:hAnsi="Times New Roman"/>
          <w:sz w:val="18"/>
          <w:szCs w:val="18"/>
          <w:b w:val="1"/>
          <w:bCs w:val="1"/>
          <w:color w:val="auto"/>
        </w:rPr>
        <w:t>Polaris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080" w:right="38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M28 Capital Management, LP, a Delaware limited liability company (“</w:t>
      </w:r>
      <w:r>
        <w:rPr>
          <w:rFonts w:ascii="Times New Roman" w:cs="Times New Roman" w:eastAsia="Times New Roman" w:hAnsi="Times New Roman"/>
          <w:sz w:val="18"/>
          <w:szCs w:val="18"/>
          <w:b w:val="1"/>
          <w:bCs w:val="1"/>
          <w:color w:val="auto"/>
        </w:rPr>
        <w:t>M28 Capital</w:t>
      </w:r>
      <w:r>
        <w:rPr>
          <w:rFonts w:ascii="Times New Roman" w:cs="Times New Roman" w:eastAsia="Times New Roman" w:hAnsi="Times New Roman"/>
          <w:sz w:val="18"/>
          <w:szCs w:val="18"/>
          <w:color w:val="auto"/>
        </w:rPr>
        <w:t>”) and Marc Elia, a citizen of the United States of America (collectively, “</w:t>
      </w:r>
      <w:r>
        <w:rPr>
          <w:rFonts w:ascii="Times New Roman" w:cs="Times New Roman" w:eastAsia="Times New Roman" w:hAnsi="Times New Roman"/>
          <w:sz w:val="18"/>
          <w:szCs w:val="18"/>
          <w:b w:val="1"/>
          <w:bCs w:val="1"/>
          <w:color w:val="auto"/>
        </w:rPr>
        <w:t>M28</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Adimab, LLC, a Delaware limited liability company (“</w:t>
      </w:r>
      <w:r>
        <w:rPr>
          <w:rFonts w:ascii="Times New Roman" w:cs="Times New Roman" w:eastAsia="Times New Roman" w:hAnsi="Times New Roman"/>
          <w:sz w:val="18"/>
          <w:szCs w:val="18"/>
          <w:b w:val="1"/>
          <w:bCs w:val="1"/>
          <w:color w:val="auto"/>
        </w:rPr>
        <w:t>Adimab</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Health Equity Partners III, L.P., a Delaware limited partnership (“</w:t>
      </w:r>
      <w:r>
        <w:rPr>
          <w:rFonts w:ascii="Times New Roman" w:cs="Times New Roman" w:eastAsia="Times New Roman" w:hAnsi="Times New Roman"/>
          <w:sz w:val="18"/>
          <w:szCs w:val="18"/>
          <w:b w:val="1"/>
          <w:bCs w:val="1"/>
          <w:color w:val="auto"/>
        </w:rPr>
        <w:t>PH III</w:t>
      </w:r>
      <w:r>
        <w:rPr>
          <w:rFonts w:ascii="Times New Roman" w:cs="Times New Roman" w:eastAsia="Times New Roman" w:hAnsi="Times New Roman"/>
          <w:sz w:val="18"/>
          <w:szCs w:val="18"/>
          <w:color w:val="auto"/>
        </w:rPr>
        <w:t>”), Population Health Equity Partners III GP, LLC, a Delaware limited liability company (“</w:t>
      </w:r>
      <w:r>
        <w:rPr>
          <w:rFonts w:ascii="Times New Roman" w:cs="Times New Roman" w:eastAsia="Times New Roman" w:hAnsi="Times New Roman"/>
          <w:sz w:val="18"/>
          <w:szCs w:val="18"/>
          <w:b w:val="1"/>
          <w:bCs w:val="1"/>
          <w:color w:val="auto"/>
        </w:rPr>
        <w:t>PH III GP</w:t>
      </w:r>
      <w:r>
        <w:rPr>
          <w:rFonts w:ascii="Times New Roman" w:cs="Times New Roman" w:eastAsia="Times New Roman" w:hAnsi="Times New Roman"/>
          <w:sz w:val="18"/>
          <w:szCs w:val="18"/>
          <w:color w:val="auto"/>
        </w:rPr>
        <w:t>”), Population Health Equity Partners VII, L.P., a Delaware limited partnership (“</w:t>
      </w:r>
      <w:r>
        <w:rPr>
          <w:rFonts w:ascii="Times New Roman" w:cs="Times New Roman" w:eastAsia="Times New Roman" w:hAnsi="Times New Roman"/>
          <w:sz w:val="18"/>
          <w:szCs w:val="18"/>
          <w:b w:val="1"/>
          <w:bCs w:val="1"/>
          <w:color w:val="auto"/>
        </w:rPr>
        <w:t>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Population Health Equity Partners VII GP, LLC, a Delaware limited liability company (“</w:t>
      </w:r>
      <w:r>
        <w:rPr>
          <w:rFonts w:ascii="Times New Roman" w:cs="Times New Roman" w:eastAsia="Times New Roman" w:hAnsi="Times New Roman"/>
          <w:sz w:val="18"/>
          <w:szCs w:val="18"/>
          <w:b w:val="1"/>
          <w:bCs w:val="1"/>
          <w:color w:val="auto"/>
        </w:rPr>
        <w:t>PH VII GP</w:t>
      </w:r>
      <w:r>
        <w:rPr>
          <w:rFonts w:ascii="Times New Roman" w:cs="Times New Roman" w:eastAsia="Times New Roman" w:hAnsi="Times New Roman"/>
          <w:sz w:val="18"/>
          <w:szCs w:val="18"/>
          <w:color w:val="auto"/>
        </w:rPr>
        <w:t>”), Christopher Cox, a citizen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United States of America, and Clive A. Meanwell, M.B., Ch.B., M.D., a citizen of the United Kingdom (“</w:t>
      </w:r>
      <w:r>
        <w:rPr>
          <w:rFonts w:ascii="Times New Roman" w:cs="Times New Roman" w:eastAsia="Times New Roman" w:hAnsi="Times New Roman"/>
          <w:sz w:val="18"/>
          <w:szCs w:val="18"/>
          <w:b w:val="1"/>
          <w:bCs w:val="1"/>
          <w:color w:val="auto"/>
        </w:rPr>
        <w:t>Population Health</w:t>
      </w:r>
      <w:r>
        <w:rPr>
          <w:rFonts w:ascii="Times New Roman" w:cs="Times New Roman" w:eastAsia="Times New Roman" w:hAnsi="Times New Roman"/>
          <w:sz w:val="18"/>
          <w:szCs w:val="18"/>
          <w:color w:val="auto"/>
        </w:rPr>
        <w:t>,” and together with Polaris, M28 and Adimab, the “</w:t>
      </w:r>
      <w:r>
        <w:rPr>
          <w:rFonts w:ascii="Times New Roman" w:cs="Times New Roman" w:eastAsia="Times New Roman" w:hAnsi="Times New Roman"/>
          <w:sz w:val="18"/>
          <w:szCs w:val="18"/>
          <w:b w:val="1"/>
          <w:bCs w:val="1"/>
          <w:color w:val="auto"/>
        </w:rPr>
        <w:t>Participating Stockholders</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Tamsin Berry, a citizen of the United Kingdom.</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Mithril II GP is the general partner of Mithril II, and Mithril II UGP is the general partner of Mithril II GP. Mr. Royan is the sole managing member of Mithril II UGP. Mr. Royan is a member of the board of directors of Adagio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whose term expires at the conclusion of the 2022 Annual Meeting and who is not standing for re-election at the 2022 Annual Meeting. Peter Thiel and Ajay Royan are the members of the investment committee of Mithril II GP. PVMC V is the general partner of each of Polaris V, Polaris EF V, Polaris FF V and Polaris SFF V. PPGP IX is the general partner of Polaris IX. PHCT GP is the general partner of Polaris HCT. Messrs. Flint and McGuire are the managing members of PVMC V, and Mr. McGuire is a member of the Board. Mr. Elia is the Chief Investment Officer of M28 Capital and Managing Member of the general partner of</w:t>
      </w:r>
    </w:p>
    <w:p>
      <w:pPr>
        <w:spacing w:after="0" w:line="5"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M28 Capital. Mr. Elia is also one of our nominees to serve on the Board. Mr. Cox and Dr. Meanwell are the managing members of PH III GP and PH VII GP. Dr. Meanwell is also one of our nominees to serve on the Adagio Board. Tamsin Berry is also one of our nominees to serve on the Adagio Board.</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March 28, 2022, Mithril II submitted to the Company its formal notice of intent to nominate Ms. Tamsin Berry, Mr. Marc Elia and Dr. Clive A. Meanwell (the “</w:t>
      </w: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 to the Board. Also on March 28, 2022, Mithril II and the Participating Stockholders reached an agreement, memorialized in an email dated March 28, 2022 and on file with the SEC, to vote all of their respective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favor of all of our Nominees. As of the Record Date, the Participants collectively beneficially owned [●] shares of the Common Stock, constituting approximately [●]% of the shares of Common Stock outstanding on the Record Date.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SOLICITATION IS BEING MADE BY MITHRIL AND NOT ON BEHALF OF THE ADAGIO BOARD OF DIRECTORS.</w:t>
      </w:r>
    </w:p>
    <w:p>
      <w:pPr>
        <w:spacing w:after="0" w:line="117" w:lineRule="exact"/>
        <w:rPr>
          <w:sz w:val="20"/>
          <w:szCs w:val="20"/>
          <w:color w:val="auto"/>
        </w:rPr>
      </w:pPr>
    </w:p>
    <w:p>
      <w:pPr>
        <w:ind w:left="120" w:right="6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proxy statement and the accompanying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are first being sent or given on or about [●], 2022 to holders of shares of Common Stock as of the Record Date.</w:t>
      </w:r>
    </w:p>
    <w:p>
      <w:pPr>
        <w:spacing w:after="0" w:line="15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are soliciting your vote because we believe that Ms. Berry, Mr. Elia and Dr. Meanwell would be valuable additions to the Board and that they will bring experienced voices, fresh thinking, strong execution skills and the greater stockholder alignment necessary for the Board to establish and execute a strategic plan that creates long term value for the Company’s stockholders. We ask for your support at the upcoming 2022 Annual Meeting.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Participants may be deemed “participants” in this solicitation under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NOMINEES ARE COMMITTED TO ACTING IN THE BEST INTERESTS OF ALL STOCKHOLDERS. WE BELIEVE THAT YOUR VOICE IN THE FUTURE OF ADAGIO THERAPEUTICS CAN BEST BE EXPRESSED THROUGH THE ELECTION OF OUR NOMINEES. ACCORDINGLY, WE URGE YOU TO VOTE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“FOR ALL” OF TAMSIN BERRY, MARC ELIA AND CLIVE A. MEANWELL TO BE ELECTED TO SERVE AS CLASS I MEMBERS OF THE BOARD.</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will vote the shares of Common Stock represented thereby in accordance with their discretion pursuant to the authority granted in the proxy.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that substantial change is necessary for the Company to achieve its full potential and that this change must begin at the Board level. To that end, we have nominated a slate of three highly qualified nominees for election to the Board. We believe the Nominees will bring much-needed experience to the Board, assist the Company in executing its mission to revolutionize the fight against COVID-19 and other, similar threats, and better align the Company with the interests of stockholders.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no assurances can be given that the election of the Nominees to the Board will enhance value, particularly in light of their minority representation on the Board, we believe that the election of our Nominees will add strong, qualified, and necessary voices to the Board and send a strong message that stockholders are supportive of transformative change at Adagio. We therefore urge you to support us in this effort by voting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the Nominees.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We recommend that you vote your shares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as follows:</w:t>
      </w:r>
    </w:p>
    <w:p>
      <w:pPr>
        <w:spacing w:after="0" w:line="131" w:lineRule="exact"/>
        <w:rPr>
          <w:sz w:val="20"/>
          <w:szCs w:val="20"/>
          <w:color w:val="auto"/>
        </w:rPr>
      </w:pPr>
    </w:p>
    <w:p>
      <w:pPr>
        <w:ind w:left="1080" w:right="160" w:hanging="532"/>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until the 2025 annual meeting of stockholders (including any and all adjournments, postponements, continuations or reschedulings thereof, or any other meeting of stockholders held in lieu thereof, the “</w:t>
      </w:r>
      <w:r>
        <w:rPr>
          <w:rFonts w:ascii="Times New Roman" w:cs="Times New Roman" w:eastAsia="Times New Roman" w:hAnsi="Times New Roman"/>
          <w:sz w:val="18"/>
          <w:szCs w:val="18"/>
          <w:b w:val="1"/>
          <w:bCs w:val="1"/>
          <w:color w:val="auto"/>
        </w:rPr>
        <w:t>2025 Annual Meeting</w:t>
      </w:r>
      <w:r>
        <w:rPr>
          <w:rFonts w:ascii="Times New Roman" w:cs="Times New Roman" w:eastAsia="Times New Roman" w:hAnsi="Times New Roman"/>
          <w:sz w:val="18"/>
          <w:szCs w:val="18"/>
          <w:color w:val="auto"/>
        </w:rPr>
        <w:t>”) or until their respective successors are duly elected and qualified (the “</w:t>
      </w:r>
      <w:r>
        <w:rPr>
          <w:rFonts w:ascii="Times New Roman" w:cs="Times New Roman" w:eastAsia="Times New Roman" w:hAnsi="Times New Roman"/>
          <w:sz w:val="18"/>
          <w:szCs w:val="18"/>
          <w:b w:val="1"/>
          <w:bCs w:val="1"/>
          <w:color w:val="auto"/>
        </w:rPr>
        <w:t>Nomination Proposal</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080" w:right="400" w:hanging="532"/>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as the Company’s independent registered public accounting firm for the fiscal year ending December 31, 2022.</w:t>
      </w:r>
    </w:p>
    <w:p>
      <w:pPr>
        <w:spacing w:after="0" w:line="159"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 xml:space="preserve">The Company has a classified Board, which is currently divided into three classes, with three directors serving in each class. The terms of the three Class I directors expire at the 2022 Annual Meeting. We are soliciting proxies to elect our three Nominees to serve as Class I directors. The attached </w:t>
      </w:r>
      <w:r>
        <w:rPr>
          <w:rFonts w:ascii="Times New Roman" w:cs="Times New Roman" w:eastAsia="Times New Roman" w:hAnsi="Times New Roman"/>
          <w:sz w:val="17"/>
          <w:szCs w:val="17"/>
          <w:b w:val="1"/>
          <w:bCs w:val="1"/>
          <w:i w:val="1"/>
          <w:iCs w:val="1"/>
          <w:color w:val="auto"/>
        </w:rPr>
        <w:t>WHITE</w:t>
      </w:r>
      <w:r>
        <w:rPr>
          <w:rFonts w:ascii="Times New Roman" w:cs="Times New Roman" w:eastAsia="Times New Roman" w:hAnsi="Times New Roman"/>
          <w:sz w:val="17"/>
          <w:szCs w:val="17"/>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Even if you make an election with respect to fewer than all of our Nominees on our proxy card, we will not be able to vote your proxy in favor of any of the Company’s nominees. You can only vote for the Company’s director nominees by signing and returning a proxy card provided by the Company, or by voting live at the 2022 Annual Meeting. Please note that, if you submit more than one proxy card, only the later-dated proxy card will be counted.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executive offices of the Company are located at 1601 Trapelo Road, Suite 178, Waltham, Massachusetts 02451.</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has disclosed that as of March 24, 2022, there were 109,675,173 shares of Common Stock outstanding. The Company’s proxy statement for the 2022 Annual Meeting is expected to provide the number of shares of Common Stock outstanding and entitled to vote at the 2022 Annual Meeting as of the Record Date. Each share of Common Stock outstanding as of the Record Date is entitled to one vote on all matters presented at the 2022 Annual Meeting.</w:t>
      </w:r>
    </w:p>
    <w:p>
      <w:pPr>
        <w:spacing w:after="0" w:line="18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the Record Date, the Participants collectively beneficially owned [●] shares of Common Stock, constituting approximately [●]% of the shares of Common Stock outstanding on the Record Date. We have agreed to vote all of the shares of Common Stock that we hold as of the Record Date, and each of the other Participating Stockholders has agreed to vote all of their respective shares of Common Stock held as of the Record Date,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Mithril additionally plans to vote all of the shares of Common Stock that we hold as of the Record Date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PwC as the Company’s independent registered public accounting firm for the fiscal year ending December 31, 2022.</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solicitation is being made by Mithril, and not on behalf of the Board or the Company’s management.</w:t>
      </w:r>
    </w:p>
    <w:p>
      <w:pPr>
        <w:spacing w:after="0" w:line="200" w:lineRule="exact"/>
        <w:rPr>
          <w:sz w:val="20"/>
          <w:szCs w:val="20"/>
          <w:color w:val="auto"/>
        </w:rPr>
      </w:pPr>
    </w:p>
    <w:p>
      <w:pPr>
        <w:spacing w:after="0" w:line="23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Annual Meeting:</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proxy materials are available at no charge at www.[●].com.</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REGARDLESS OF WHETHER YOU INTEND TO ATTEND THE 2022 ANNUAL MEETING, YOUR PROMPT ACTION IS IMPORTANT. MAKE YOUR VIEWS CLEAR TO THE COMPANY BY AUTHORIZING A PROXY TO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OF TAMSIN BERRY, MARC ELIA AND CLIVE A. MEANWELL TO BE ELECTED TO SERVE AS CLASS I MEMBERS OF THE BOARD BY FOLLOWING THE INSTRUCTIONS ON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TODAY.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VOTE IS IMPORTANT, NO MATTER HOW MANY OR HOW FEW SHARES OF COMMON STOCK YOU OWN.</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VOTING INFORMATION</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If your shares of Common Stock are held in your own name, please authorize a proxy to vote by signing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7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is submitted on your behalf. Please follow the instructions to authorize a proxy to vote on the enclosed</w:t>
      </w:r>
      <w:r>
        <w:rPr>
          <w:rFonts w:ascii="Times New Roman" w:cs="Times New Roman" w:eastAsia="Times New Roman" w:hAnsi="Times New Roman"/>
          <w:sz w:val="18"/>
          <w:szCs w:val="18"/>
          <w:b w:val="1"/>
          <w:bCs w:val="1"/>
          <w:i w:val="1"/>
          <w:iCs w:val="1"/>
          <w:color w:val="auto"/>
        </w:rPr>
        <w:t xml:space="preserve"> WHITE </w:t>
      </w:r>
      <w:r>
        <w:rPr>
          <w:rFonts w:ascii="Times New Roman" w:cs="Times New Roman" w:eastAsia="Times New Roman" w:hAnsi="Times New Roman"/>
          <w:sz w:val="18"/>
          <w:szCs w:val="18"/>
          <w:color w:val="auto"/>
        </w:rPr>
        <w:t>proxy card. If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bank, brokerage firm, dealer, trust company or other nominee provides for voting instructions to be delivered to them by Internet or telephone, instructions will be included with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DATE,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FOLLOW THE INSTRUCTIONS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TO VOTE BY TELEPHONE OR VIA THE INTERNET. ONLY YOUR LATEST DATED PROXY WILL BE COUNTED.</w:t>
      </w:r>
    </w:p>
    <w:p>
      <w:pPr>
        <w:spacing w:after="0" w:line="188" w:lineRule="exact"/>
        <w:rPr>
          <w:sz w:val="20"/>
          <w:szCs w:val="20"/>
          <w:color w:val="auto"/>
        </w:rPr>
      </w:pPr>
    </w:p>
    <w:p>
      <w:pPr>
        <w:ind w:left="120" w:right="240" w:firstLine="436"/>
        <w:spacing w:after="0" w:line="286" w:lineRule="auto"/>
        <w:tabs>
          <w:tab w:leader="none" w:pos="8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is assisting us with our effort to solicit proxies. If you have any questions or require assistance in authorizing a proxy or voting your shares of Common Stock, please contact:</w:t>
      </w:r>
    </w:p>
    <w:p>
      <w:pPr>
        <w:spacing w:after="0" w:line="3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Toll-Free: [●]</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It is important that your shares of Common Stock be represented and voted at the 2022 Annual Meeting. Accordingly, regardless of whether you plan to attend the 2022 Annual Meeting live, please complete, date and sign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that has been provided to you by us (and not any proxy card that has been provided to you by the Company or any other proxy card or form that has been provided to you) and vote (i)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and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PwC as the Company’s independent registered public accounting firm for the fiscal year ending December 31, 2022.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500" w:type="dxa"/>
            <w:vAlign w:val="bottom"/>
            <w:gridSpan w:val="17"/>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Table of Contents</w:t>
              </w:r>
            </w:hyperlink>
          </w:p>
        </w:tc>
        <w:tc>
          <w:tcPr>
            <w:tcW w:w="5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3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CAUTIONARY STATEMENT REGARDING FORWARD-LOOKING STATEMENTS</w:t>
              </w:r>
            </w:hyperlink>
          </w:p>
        </w:tc>
        <w:tc>
          <w:tcPr>
            <w:tcW w:w="40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BACKGROUND TO THIS SOLICITATION</w:t>
              </w:r>
            </w:hyperlink>
          </w:p>
        </w:tc>
        <w:tc>
          <w:tcPr>
            <w:tcW w:w="712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REASONS FOR THE SOLICITATION</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QUESTIONS AND ANSWERS RELATING TO THIS PROXY SOLICITATION</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59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PROPOSAL NO. 1—ELECTION OF NOMINEES</w:t>
              </w:r>
            </w:hyperlink>
          </w:p>
        </w:tc>
        <w:tc>
          <w:tcPr>
            <w:tcW w:w="44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PROPOSAL NO. 2—RATIFICATION OF THE APPOINTMENT OF PWC AS THE COMPANY’S INDEPENDENT REGISTERED PUBLIC</w:t>
              </w:r>
            </w:hyperlink>
          </w:p>
        </w:tc>
        <w:tc>
          <w:tcPr>
            <w:tcW w:w="5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ACCOUNTING FIRM</w:t>
              </w:r>
            </w:hyperlink>
          </w:p>
        </w:tc>
        <w:tc>
          <w:tcPr>
            <w:tcW w:w="852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OTHER PROPOSALS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NO APPRAISAL OR DISSENTER’S RIGHTS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SOLICITATION OF PROXIES</w:t>
              </w:r>
            </w:hyperlink>
          </w:p>
        </w:tc>
        <w:tc>
          <w:tcPr>
            <w:tcW w:w="694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CERTAIN INFORMATION REGARDING THE PARTICIPANTS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CERTAIN ADDITIONAL INFORMATION</w:t>
              </w:r>
            </w:hyperlink>
          </w:p>
        </w:tc>
        <w:tc>
          <w:tcPr>
            <w:tcW w:w="1600" w:type="dxa"/>
            <w:vAlign w:val="bottom"/>
            <w:tcBorders>
              <w:top w:val="single" w:sz="8" w:color="0000EE"/>
            </w:tcBorders>
            <w:gridSpan w:val="4"/>
          </w:tcPr>
          <w:p>
            <w:pPr>
              <w:spacing w:after="0"/>
              <w:rPr>
                <w:sz w:val="17"/>
                <w:szCs w:val="17"/>
                <w:color w:val="auto"/>
              </w:rPr>
            </w:pPr>
          </w:p>
        </w:tc>
        <w:tc>
          <w:tcPr>
            <w:tcW w:w="558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INCORPORATION BY REFERENCE</w:t>
              </w:r>
            </w:hyperlink>
          </w:p>
        </w:tc>
        <w:tc>
          <w:tcPr>
            <w:tcW w:w="752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6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ANNEX A INFORMATION CONCERNING PARTICIPANTS IN THE SOLICITATION</w:t>
              </w:r>
            </w:hyperlink>
          </w:p>
        </w:tc>
        <w:tc>
          <w:tcPr>
            <w:tcW w:w="39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ANNEX B SECURITY OWNERSHIP OF CERTAIN BENEFICIAL OWNERS AND MANAGEMENT</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proxy statement contains “forward-looking statements.” Specific forward-looking statements can be identified by the fact that they do not relate strictly to historical or current facts and can be identified by the use of, without limitation, words such as “may,” “will,” “expects,” “believes,” “anticipates,” “plans,” “estimates,” “projects,” “targets,” “forecasts,” “seeks,” “would,” “could” or the negative of such terms or other variations on such terms or comparable terminology. Similarly, statements that describe our objectives, plans or goals are forward-looking. Our forward-looking statements are based on our current intent, belief, expectations, estimates and projections regarding the Company and projections regarding the industry in which it operates. These statements are not guarantees of future performance and involve risks, uncertainties, assumptions and other factors that are difficult to predict and that could cause actual results to differ materially. Accordingly, you should not rely upon forward-looking statements as a prediction of actual results and actual results may vary materially from what is expressed in or indicated by the forward-looking statements. This cautionary statement is applicable to all forward-looking statements contained in this proxy statement and the material accompanying this proxy statement.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BACKGROUND TO THIS SOLICITATION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Mithril and the Participating Stockholders are, and have since the earliest days of the Company been, committed to the success of the Company and its efforts to combat the scourge that is COVID-19, and, as significant stockholders, seek to maximize the value of the Company.</w:t>
      </w:r>
    </w:p>
    <w:p>
      <w:pPr>
        <w:spacing w:after="0" w:line="67" w:lineRule="exact"/>
        <w:rPr>
          <w:sz w:val="20"/>
          <w:szCs w:val="20"/>
          <w:color w:val="auto"/>
        </w:rPr>
      </w:pPr>
    </w:p>
    <w:p>
      <w:pPr>
        <w:jc w:val="both"/>
        <w:ind w:left="540" w:right="340" w:hanging="316"/>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the Company’s final prospectus filed in connection with the Company’s initial public offering, the Company was founded in June 2020 by Adimab, one of the Participants, to focus initially on the development of antibodies for both the treatment and prevention of COVID-</w:t>
      </w:r>
    </w:p>
    <w:p>
      <w:pPr>
        <w:ind w:left="54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Adimab is a leading provider of antibody discovery, engineering and optimization services and has established an extensive presence in the drug discovery industry.</w:t>
      </w:r>
    </w:p>
    <w:p>
      <w:pPr>
        <w:spacing w:after="0" w:line="86" w:lineRule="exact"/>
        <w:rPr>
          <w:rFonts w:ascii="Times New Roman" w:cs="Times New Roman" w:eastAsia="Times New Roman" w:hAnsi="Times New Roman"/>
          <w:sz w:val="18"/>
          <w:szCs w:val="18"/>
          <w:color w:val="auto"/>
        </w:rPr>
      </w:pPr>
    </w:p>
    <w:p>
      <w:pPr>
        <w:jc w:val="both"/>
        <w:ind w:left="540" w:hanging="316"/>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three current members of the Board who have served in such roles since the Company’s founding are Mr. Ajay Royan and Mr. Terrance McGuire, both of whom are also Participants. Mr. Royan and Mr. McGuire were also on the board of directors of Adimab at the time that Adimab determined to found the Company (and remain on the board of directors of Adimab today).</w:t>
      </w:r>
    </w:p>
    <w:p>
      <w:pPr>
        <w:spacing w:after="0" w:line="81" w:lineRule="exact"/>
        <w:rPr>
          <w:rFonts w:ascii="Times New Roman" w:cs="Times New Roman" w:eastAsia="Times New Roman" w:hAnsi="Times New Roman"/>
          <w:sz w:val="18"/>
          <w:szCs w:val="18"/>
          <w:color w:val="auto"/>
        </w:rPr>
      </w:pPr>
    </w:p>
    <w:p>
      <w:pPr>
        <w:ind w:left="540" w:right="220" w:hanging="316"/>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Mithril II, Adimab, M28 and certain members of Population Health and Polaris, all of whom are also Participants, were significant pre-IPO investors in the Company, and Mithril II was additionally among the largest buyers of Company’s Common Stock in the Company’s initial public offering. Mithril II is one of the largest shareholders of the Company and continues to hold every share of the Company’s stock it has purchased since Adagio’s earliest financing.</w:t>
      </w:r>
    </w:p>
    <w:p>
      <w:pPr>
        <w:spacing w:after="0" w:line="85" w:lineRule="exact"/>
        <w:rPr>
          <w:rFonts w:ascii="Times New Roman" w:cs="Times New Roman" w:eastAsia="Times New Roman" w:hAnsi="Times New Roman"/>
          <w:sz w:val="18"/>
          <w:szCs w:val="18"/>
          <w:color w:val="auto"/>
        </w:rPr>
      </w:pPr>
    </w:p>
    <w:p>
      <w:pPr>
        <w:ind w:left="540" w:right="18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Adimab has further contributed significant support to the Company in the form of intellectual property and other resources since the founding of the Company.</w:t>
      </w:r>
    </w:p>
    <w:p>
      <w:pPr>
        <w:spacing w:after="0" w:line="162"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Between the date of the Company’s initial public offering and Mithril II’s delivery of its nomination notice on March 28, 2022, the Company experienced a substantial decline in the market value of the Common Stock, to the point that the Company’s Common Stock was trading at a discount to the Company’s cash on hand per share of Common Stock. Over that same period, Mithril attempted to engage with the Company to encourage it to implement superior corporate governance and to grow into a strategic and operational posture that matches the scope of opportunities available to it, and which reflects the power of its technology platform; however, in Mithril’s opinion, the Board has not to-date been able to cause the Company to do so.</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Therefore, on Monday, March 28, 2022, Mithril II delivered its nomination notice to the Company, and further supplemented its nomination notice</w:t>
      </w:r>
    </w:p>
    <w:p>
      <w:pPr>
        <w:spacing w:after="0" w:line="39" w:lineRule="exact"/>
        <w:rPr>
          <w:sz w:val="20"/>
          <w:szCs w:val="20"/>
          <w:color w:val="auto"/>
        </w:rPr>
      </w:pPr>
    </w:p>
    <w:p>
      <w:pPr>
        <w:ind w:left="120" w:right="100" w:hanging="4"/>
        <w:spacing w:after="0" w:line="25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Wednesday, March 30, 2022 by mailing to the Company copies of the Schedule 13D amendments filed by Mithril and Polaris, each on March 30, 2022 and (ii) on Thursday, April 7, 2022, by mailing to the Company copies of the Schedule 13Ds filed by Adimab, M28 and Population Health between March 30, 2022 and April 7, 2022.</w:t>
      </w:r>
    </w:p>
    <w:p>
      <w:pPr>
        <w:spacing w:after="0" w:line="18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Between the date of delivery of the nomination notice and the filing of this preliminary proxy statement, representatives of Mithril and the Board have had discussions regarding a potential settlement, which could involve, among other things, the departure of certain members of the current board, the addition of Nominees to the Board and/or a reduction in the size of the Board. As of the filing of this preliminary proxy statement, Mithril and the Board have been unable to reach an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11, 2022, Mithril filed this preliminary proxy statement.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strongly believe in the substantial potential of Adagio Therapeutics and the power of its technology platform. Mithril II and each of the Participating Stockholders has made a substantial investment in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because we and they believe in the Company’s mission, that the Company is well-positioned in the biopharmaceutical industry, and that the Company has significant growth potential. It is our belief, however, that the Company’s stock price does not reflect the true value of the business. While we believe that the Company’s lead product candidate, adintrevimab, and other assets of the Company have the potential to, among other things, revolutionize the fight against COVID-19 and generate significant returns for the Company, we believe that the Board requires changes in order to better align the Board and Company with the mission of focused, long-term value creation expected by stockholders, and to effectively direct the Company’s resources towards those ends.</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Nominees are leading experts in their fields and will be experienced voices on the Board that are able to provide fresh thinking, strong execution skills and greater stockholder alignment.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RELATING TO THIS PROXY SOLICITATION</w:t>
      </w:r>
    </w:p>
    <w:p>
      <w:pPr>
        <w:spacing w:after="0" w:line="229"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The following are some of the questions you may have as a stockholder,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making this solicitation?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solicitation for the election of the Nominees to serve as Class I members of the Board and for the other proposal described in this proxy statement at the 2022 Annual Meeting is being made by Mithril. The Participants include (i) Mithril, who submitted the notice of its intent to nominate the Nominees, (ii) Polaris, M28, Adimab and Population Health, or the Participating Stockholders, each of whom has agreed to vote their shares for the Nominees and (iii) the Nominees themselves. For more information regarding the Participants, please see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attached to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we asking you to vote for?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We are asking you to vote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at the 2022 Annual Meeting as follows:</w:t>
      </w:r>
    </w:p>
    <w:p>
      <w:pPr>
        <w:spacing w:after="0" w:line="131" w:lineRule="exact"/>
        <w:rPr>
          <w:sz w:val="20"/>
          <w:szCs w:val="20"/>
          <w:color w:val="auto"/>
        </w:rPr>
      </w:pPr>
    </w:p>
    <w:p>
      <w:pPr>
        <w:ind w:left="1080" w:right="320" w:hanging="532"/>
        <w:spacing w:after="0" w:line="28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until the 2025 Annual Meeting or until their respective successors are duly elected and qualified; and</w:t>
      </w:r>
    </w:p>
    <w:p>
      <w:pPr>
        <w:spacing w:after="0" w:line="60" w:lineRule="exact"/>
        <w:rPr>
          <w:rFonts w:ascii="Times New Roman" w:cs="Times New Roman" w:eastAsia="Times New Roman" w:hAnsi="Times New Roman"/>
          <w:sz w:val="18"/>
          <w:szCs w:val="18"/>
          <w:color w:val="auto"/>
        </w:rPr>
      </w:pPr>
    </w:p>
    <w:p>
      <w:pPr>
        <w:ind w:left="1080" w:right="240" w:hanging="532"/>
        <w:spacing w:after="0" w:line="28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PricewaterhouseCoopers LLP as the Company’s independent registered public accounting firm for the fiscal year ending December 31, 2022.</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are we soliciting your vote?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substantial change is necessary for the Company to achieve its full potential and that this change must begin at the Board level. To that end, Mithril has nominated a slate of three highly-qualified nominees for election to the Board as Class I directors. They are committed to helping identify opportunities to deliver enhanced value. Our Nominees are leading experts in their fields and will be experienced voices on the Board that are able to provide fresh thinking, strong execution skills and greater stockholder alignment.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are the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proposing that Tamsin Berry, Marc Elia and Clive A. Meanwell be elected as Class I members of the Board to serve on the Board until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Annual Meeting or until their respective successors are duly elected and qualified.</w:t>
      </w:r>
    </w:p>
    <w:p>
      <w:pPr>
        <w:spacing w:after="0" w:line="207"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Set forth below is (a) the name, age, any position and office with the Company held by each such Nominee, and the term thereof, business experience during the past five years (including principal occupation and employment during the past five years, the name and principal business of any corporation or other organization in which such occupation or employment was carried on; and whether such corporation or organization is a parent, subsidiary or other affiliate of the Company), a brief discussion of the specific experience, qualifications, attributes or skills that led to the conclusion that the Nominee should serve as a director for the Company as of the date hereof, in light of the Company’s business and structure (including such material information beyond the past five years and information on the Nominee’s particular area of expertise or other relevant qualifications), and</w:t>
      </w:r>
    </w:p>
    <w:p>
      <w:pPr>
        <w:spacing w:after="0" w:line="5" w:lineRule="exact"/>
        <w:rPr>
          <w:sz w:val="20"/>
          <w:szCs w:val="20"/>
          <w:color w:val="auto"/>
        </w:rPr>
      </w:pPr>
    </w:p>
    <w:p>
      <w:pPr>
        <w:ind w:left="120" w:right="280" w:hanging="4"/>
        <w:spacing w:after="0" w:line="255"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directorships held by such person during the past five years in any company with a class of securities registered pursuant to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subject to the requirements of Section 15(d) of the Exchange Act or any company registered as an investment</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company under the Investment Company Act of 1940, as amended. The business address of each of Ms. Berry and Dr. Meanwell is “c/o Population Health Partners, L.P., 1200 Morris Turnpike, Suite 3005, Short Hills, NJ 07078” and the business address of Mr. Elia is “c/o M28 Capital Management LP,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Tamsin Berry (41)</w:t>
            </w: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Tamsin Berry is a Partner and Co-Founder of Population Health Partners, a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depression, and has served in this position since June 2020. Since November 2021,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she has served as Non-Executive Director, and also as a board member, of the Global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Pathogen Analysis Service. Since March 2021, she has served as an adviser to EQRx,</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biotechnology firm. Since December 2020, she has served as Advisor to University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Oxford for the Global Health Security Consortium, which includes University of</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Oxford, the Tony Blair Institute and the Ellison Institute of Transformative Medicine.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February 2019 to March 2020, she served as the Director of the UK Office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Life Sciences, where she worked with Sir John Bell to write the UK’s Life Sciences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Strategy. This work led to £3 billion of investment into UK biotech across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several public and private partnership projects. She previously served as Deputy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of the UK Office for Life Sciences, from November 2015 to February 2019.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Berry has held a number of leadership positions in government, spanning policy,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and communications roles at the Cabinet Office, Department of Health,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 Health England. From March 2020 to June 2020, her final role was in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COVID Taskforce, where Ms. Berry was the senior responsible officer for serology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seroprevalence at the start of the pandemic and was awarded an OBE for her work.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She sits on the board of a not-for-profit pathogen surveillance bioinformatics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supports governments with pandemic preparedness. We believe that Ms. Berry’s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extensive experience in government and health policy, particularly with respect to the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COVID pandemic, qualifies her to serve on the Board.</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Berry does not currently hold, and has not within the past five years held, any</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position or office with the Company.</w:t>
            </w:r>
          </w:p>
        </w:tc>
        <w:tc>
          <w:tcPr>
            <w:tcW w:w="0" w:type="dxa"/>
            <w:vAlign w:val="bottom"/>
          </w:tcPr>
          <w:p>
            <w:pPr>
              <w:spacing w:after="0"/>
              <w:rPr>
                <w:sz w:val="1"/>
                <w:szCs w:val="1"/>
                <w:color w:val="auto"/>
              </w:rPr>
            </w:pPr>
          </w:p>
        </w:tc>
      </w:tr>
      <w:tr>
        <w:trPr>
          <w:trHeight w:val="45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Marc Elia (46)</w:t>
            </w: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 Elia is the Founder and CIO of M28 Capital Management L.P., a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sector investment fund. Prior to that, from January 2012 to September 2022,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served as a partner at Bridger Capital, an investment fund. Mr. Elia serves on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of SQZ Biotechnology (NYSE: SQZ) and Fractyl Health Inc. Prior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his career in investing, Mr. Elia held various roles across the biotechnology industry</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N30 Pharmaceuticals, Chiron Corporation, and L.E.K. Consulting.</w:t>
            </w:r>
          </w:p>
        </w:tc>
        <w:tc>
          <w:tcPr>
            <w:tcW w:w="0" w:type="dxa"/>
            <w:vAlign w:val="bottom"/>
          </w:tcPr>
          <w:p>
            <w:pPr>
              <w:spacing w:after="0"/>
              <w:rPr>
                <w:sz w:val="1"/>
                <w:szCs w:val="1"/>
                <w:color w:val="auto"/>
              </w:rPr>
            </w:pPr>
          </w:p>
        </w:tc>
      </w:tr>
      <w:tr>
        <w:trPr>
          <w:trHeight w:val="365"/>
        </w:trPr>
        <w:tc>
          <w:tcPr>
            <w:tcW w:w="4620" w:type="dxa"/>
            <w:vAlign w:val="bottom"/>
          </w:tcPr>
          <w:p>
            <w:pPr>
              <w:spacing w:after="0"/>
              <w:rPr>
                <w:sz w:val="24"/>
                <w:szCs w:val="24"/>
                <w:color w:val="auto"/>
              </w:rPr>
            </w:pPr>
          </w:p>
        </w:tc>
        <w:tc>
          <w:tcPr>
            <w:tcW w:w="64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120" w:type="dxa"/>
            <w:vAlign w:val="bottom"/>
          </w:tcPr>
          <w:p>
            <w:pPr>
              <w:spacing w:after="0"/>
              <w:rPr>
                <w:sz w:val="13"/>
                <w:szCs w:val="13"/>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or Employment and Public Company</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Directorships, in each case During the Last Five Years</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Elia holds a B.A. in Economics from Carleton College. We believe that Mr. Elia’s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broad operational and transactional experience, particularly in the pharmaceutical and</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biotech industries, qualify him to serve on the Board.</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Mr. Elia served as a director of the Company from July 2020 to April 2021. Mr. Elia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does not currently hold, and (other than the foregoing) has not within the past five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 held, any position or office with the Company.</w:t>
            </w:r>
          </w:p>
        </w:tc>
        <w:tc>
          <w:tcPr>
            <w:tcW w:w="0" w:type="dxa"/>
            <w:vAlign w:val="bottom"/>
          </w:tcPr>
          <w:p>
            <w:pPr>
              <w:spacing w:after="0"/>
              <w:rPr>
                <w:sz w:val="1"/>
                <w:szCs w:val="1"/>
                <w:color w:val="auto"/>
              </w:rPr>
            </w:pPr>
          </w:p>
        </w:tc>
      </w:tr>
      <w:tr>
        <w:trPr>
          <w:trHeight w:val="45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Clive A. Meanwell (64)</w:t>
            </w: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Clive A. Meanwell is Executive Chair and Co-Founder of Population Health Partners,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global investment firm based in New York, San Francisco, and London, focused 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technologies which arrest the drivers of common and burdensome health conditions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such as stroke and heart disease, diabetes, obesity, lung diseases, chronic pain, anxiety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depression. Dr. Meanwell is also the co-founder of Population Health Investment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 Inc. (Nasdaq: PHIC), a special purpose acquisition company, and has been its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 since September 2020. He is also a board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at the following companies: BB Biotech, the Swiss investor in biotechnology,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where he serves as Vice Chairman; EQRx, a firm creating novel, patent-protected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medicines at prices that are more affordable for people and sustainable for healthcare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systems; Fractyl Health, Inc., an organ editing metabolic therapeutics company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focused on pioneering a new approach to the treatment of type-2 diabetes;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Comanche Biopharma, a biotech start-up taking on the global problem of pre-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eclampsia, which is a leading cause of maternal death and premature births,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particularly in low and middle income countries.</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Meanwell was the founder, Chief Executive and Chief Innovation Officer of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Medicines Company, acquired by Novartis in early 2020 for $9.7 billion. Prior to that,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 was a Partner at the venture capital firm MPM Capital, and before then, he held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global executive positions with the Roche group working out of Switzerland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the United States. He trained in medicine, with post-graduate specialization in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cancer treatment, cancer research, clinical trials, statistics, and epidemiology. He holds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MB ChB and MD cum laude degrees from the University of Birmingham, UK.</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We believe Dr. Meanwell is qualified to serve as a member of the Board because of his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expertise in the biopharmaceutical product development, regulatory affairs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commercialization accumulated through his career in pharmaceutical companies, in</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biotech companies, and in biopharmaceutical investment firms.</w:t>
            </w: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Meanwell does not currently hold, and has not within the past five years held, any</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position or office with the Company.</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Board consists of nine directors, divided into three classes. This proxy statement is soliciting proxies to elect Tamsin Berry, Marc Elia and Clive A. Meanwell at the 2022 Annual Meeting to serve as Class I members of the Board.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elected, the Nominees will be a minority of the directors and will not alone be able to adopt resolutions or otherwise cause the Board to act. The Nominees intend to work actively with the other Board members to discuss the issues and challenges facing the Company and resolve them together. By utilizing their respective experience and working constructively with the other Board members, the Nominees believe they can effect positive change at the Company.</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note that two of the Participants, Ajay Royan and Terrance McGuire, are currently members of the Board. Mr. McGuire is a Class II director, whose term is currently scheduled to end at the conclusion of the Company’s 2023 annual stockholder meeting. Mr. Royan is a Class I director, whose term expires at the conclusion of the 2022 Annual Meeting and who is not standing for re-election at the 2022 Annual Meeting.</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Company’s proxy statement for the 2022 Annual Meeting, for the names, background, qualifications and other information concerning the Company’s nominees.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2022 Annual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According to the Company’s public filings, Common Stock is the Company’s only outstanding class of capital stock. Only stockholders of record as shown on the Company’s books at the close of business on the Record Date are entitled to vote at the 2022 Annual Meeting or any adjournment thereof. Each stockholder is entitled to one vote per share of Common Stock on all matters to be voted on at the 2022 Annual Meeting. Holders of shares of Common Stock are not entitled to cumulative voting rights.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Stockholders who sell their shares before the Record Date (or acquire them after the Record Date) may not vote such shares. Stockholders of</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record on the Record Date will retain their voting rights in connection with the 2022 Annual Meeting even if they sell their shares after the Record Date.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proxies work?</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are asking you to appoint [●], [●] and [●] as your proxy holders to vote your shares of Common Stock at the 2022 Annual Meeting. You make this appointment by voting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or by using one of the voting methods described below. Giving us your proxy means you authorize the proxy holder to vote your shares of Common Stock at the 2022 Annual Meeting, according to the directions you provide. You may vote for all, some, or none of our Nominees. Regardless of whether you are able to attend the 2022 Annual Meeting, you are urged to complete the enclosed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and return it in the enclosed self-addressed, prepaid envelope or by instructing us by telephone or via the Internet as to how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would like your shares of Common Stock voted (instructions are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All valid proxies received prior to the meeting will be voted. If you specify a choice with respect to any item by marking the appropriate box on the proxy, the shares of Common Stock will be voted in accordance with that specification.</w:t>
      </w:r>
    </w:p>
    <w:p>
      <w:pPr>
        <w:spacing w:after="0" w:line="18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does not confer voting power with respect to any of the Company’s director nominees, and you will not be able to vote for a slate that includes both our Nominees and the Company’s nominees by use of a proxy card (ours or a proxy card provided by the Company). Even if you make an election with respect to fewer than all of our Nominees on our proxy card, we will not be able to vote your proxy in favor of any of the Company’s nominees. If you submit more than one proxy card, only the later-dated proxy card will be counted.</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IF YOU RETURN A VALID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AND NO SPECIFICATION IS MADE, THE SHARES OF COMMON STOCK REPRESENTED THEREBY WILL BE VOTED: (I)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OF TAMSIN BERRY, MARC ELIA AND CLIVE A. MEANWELL TO BE ELECTED TO SERVE AS CLASS I MEMBERS OF THE BOARD;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COMPANY’S PROPOSAL TO RATIFY THE APPOINTMENT OF PWC AS THE COMPANY’S INDEPENDENT REGISTERED PUBLIC ACCOUNTING FIRM FOR FISCAL YEAR ENDING DECEMBER 31, 2022; AND (III) IN THE PROXY HOLDER’S DISCRETION AS TO OTHER MATTERS THAT MITHRIL DOES NOT KNOW, A REASONABLE TIME BEFORE THE SOLICITATION, ARE TO BE PRESENTED AT THE 2022 ANNUAL MEETING.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Unless you indicate otherwise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you also authorize your proxy holders to vote your shares of Common Stock in their discretion on any matters not known by us at the time this proxy statement was printed and that, under the Company’s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may be properly presented for action by the stockholders at the 2022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2022 Annual Meeting?</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order to carry on the business of the 2022 Annual Meeting, there must be a quorum. This means holders of record of at least a majority of the shares of Common Stock entitled to vote must be represented at the meeting, either by proxy or in person. Abstentions and votes withheld will be counted as present or represented at the 2022 Annual Meeting for purposes of determining the presence or absence of a quorum. As described below, there will not be any “broker non-votes” at the 2022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an abstain vote or the withholding of a vote?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election of directors, stockholders may vote “FOR” a nominee (or “FOR ALL” nominees), or “WITHHOLD” their vote with respect to a nominee. A properly executed proxy marked to “WITHHOLD” a vote with respect to the election of any or all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With regard to all other proposals, a stockholder may vote “FOR,” “AGAINST,” or to “ABSTAIN.” If a stockholder abstains from voting as to any matter, then the shares of Common Stock held by such stockholder shall be deemed present at the meeting for purposes of determining a quorum and for purposes of calculating the vote with respect to such matter, but shall otherwise not be deemed to have been voted on such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“broker non-vote” occurs when a bank, brokerage firm, dealer, trust company or other nominee who holds shares of Common Stock for a beneficial owner withholds its vote on a particular proposal with respect to which it does not have discretionary voting power or instructions from the beneficial owner. Ordinarily, if you are a beneficial owner of shares of Common Stock and the organization holding your account does not receive instructions from you as to how to vote those shares, under the rules of various national and regional securities exchanges, that organization may exercise discretionary authority to vote on “routine” proposals but may not vote on “non-routine” proposals. Because this is a contested proxy solicitation, none of the proposals are considered routine. As a result, there will not be any broker non-votes. If you hold shares of Common Stock through a bank, brokerage firm, dealer, trust company or other nominee and do not submit any voting instructions to such bank, brokerage firm, dealer, trust company or other nominee with respect your shares of Common Stock, your shares will not be counted in determining the outcome of any of the proposals at the 2022 Annual Meeting, nor will your shares be counted for purposes of determining whether a quorum exists. If you submit voting instructions for one proposal but not for another, your shares will be counted as present for purposes of determining whether a quorum exists, but will not be voted with respect to the proposal for which you did not provide instructions. If the item for which you did not provide broker instructions requires approval of the majority of shares present, your failure to provide voting instructions will have the effect of an “AGAINST” vote with respect to that item.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elect the Nominees?</w:t>
      </w:r>
    </w:p>
    <w:p>
      <w:pPr>
        <w:spacing w:after="0" w:line="12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Under the Bylaws, the directors shall be elected (including in contested elections such as this one) by the vote of a plurality of the shares of Common Stock represented, in person or by proxy, at the 2022 Annual Meeting (meaning, assuming that the Board remains the same size as it is currently, those three director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nominees receiving the greatest number of votes cast “FOR” shall be elected). Stockholders do not have the right to cumulate their votes in the election of directors. Votes withheld and broker non-votes are not votes cast and will result in the applicable nominees receiving fewer “FOR” votes for purposes of determining the three nominees receiving the most votes. A properly executed proxy marked to “WITHHOLD” a vote with respect to the election of any or all director nominees will be counted for purposes of determining whether there is a quorum, but will not be considered to have been voted for or against such nominee. Therefore, a proxy marked “WITHHOLD” with respect to a specific nominee will result in such nominee receiving fewer “FOR” votes.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of Common Stock must be voted in favor of the other proposal described in this proxy statement?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ratification of the appointment of PwC as the Company’s independent registered public accounting firm for the fiscal year ending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will require the affirmative vote of a majority of the shares of Common Stock represented at the 2022 Annual Meeting, in person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by proxy, and entitled to vote on the proposal at the 2022 Annual Meeting. You may vote for or against or you may abstain on this proposal. Abstentions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have the same effect as a vote against this proposal.</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other matters are properly brought before the 2022 Annual Meeting, the vote required will be determined in accordance with applicable law, the listing standards and rules of Nasdaq, the Company’s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Bylaws, as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should I do in order to vote for the Nominees?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your shares of Common Stock are held of record in your own name, please authorize a proxy to vote by marking, 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i w:val="1"/>
          <w:iCs w:val="1"/>
          <w:color w:val="auto"/>
        </w:rPr>
        <w:t xml:space="preserve">WHITE </w:t>
      </w:r>
      <w:r>
        <w:rPr>
          <w:rFonts w:ascii="Times New Roman" w:cs="Times New Roman" w:eastAsia="Times New Roman" w:hAnsi="Times New Roman"/>
          <w:sz w:val="18"/>
          <w:szCs w:val="18"/>
          <w:color w:val="auto"/>
        </w:rPr>
        <w:t>proxy card is submitted on your behalf. Please follow the instructions to authorize a proxy to vote provided on the enclosed</w:t>
      </w:r>
      <w:r>
        <w:rPr>
          <w:rFonts w:ascii="Times New Roman" w:cs="Times New Roman" w:eastAsia="Times New Roman" w:hAnsi="Times New Roman"/>
          <w:sz w:val="18"/>
          <w:szCs w:val="18"/>
          <w:b w:val="1"/>
          <w:bCs w:val="1"/>
          <w:i w:val="1"/>
          <w:iCs w:val="1"/>
          <w:color w:val="auto"/>
        </w:rPr>
        <w:t xml:space="preserve"> WHITE </w:t>
      </w:r>
      <w:r>
        <w:rPr>
          <w:rFonts w:ascii="Times New Roman" w:cs="Times New Roman" w:eastAsia="Times New Roman" w:hAnsi="Times New Roman"/>
          <w:sz w:val="18"/>
          <w:szCs w:val="18"/>
          <w:color w:val="auto"/>
        </w:rPr>
        <w:t>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card. If your bank, brokerage firm, dealer, trust company or other nominee provides for voting instructions to be delivered to them by Internet or telephone, instructions will be included on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YOUR VOTE IS VERY IMPORTANT. If you do not plan to attend the 2022 Annual Meeting, we encourage you to read this proxy statement and date, sign and return your completed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prior to the 2022 Annual Meeting so that your shares of Common Stock will be represented and voted in accordance with your instructions. Even if you plan to attend the 2022 Annual Meeting live, we recommend that you authorize a proxy to vote your shares of Common Stock in advance as described above to ensure that your vote will be counted if you later decide not to attend the 2022 Annual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Can I use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 vote for any of the Company’s nominees?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 We have determined to nominate a slate comprised of the three Nominees: Tamsin Berry, Marc Elia and Clive A. Meanwell. This is the total number of directors that, as of the date of this proxy statement, may be elected to serve as Class I directors of the Company. You will not be able to vote for both the Company’s nominees and our Nominees by means of submitting a proxy card. Any proxy card you submit will revoke any earlier-dated proxy card.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revoke a proxy?</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Any stockholder has the power to revoke a previously submitted proxy at any time before it is exercised even if you submitted a proxy card or form sent to you by the Company. If you are a registered holder of shares of Common Stock, you may revoke a previously submitted proxy by:</w:t>
      </w:r>
    </w:p>
    <w:p>
      <w:pPr>
        <w:spacing w:after="0" w:line="63"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signing, dating and returning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or any other later-dated proxy in the postage-paid envelope provided;</w:t>
      </w:r>
    </w:p>
    <w:p>
      <w:pPr>
        <w:spacing w:after="0" w:line="134"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Secretary or any other officer of the Company a written notice of revocation at 1601 Trapelo Road, Suite 178, Waltham, Massachusetts 02451;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2022 Annual Meeting and voting live.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Please note, however, that only your last-dated proxy will count. Any proxy may be revoked at any time prior to its exercise at the 2022 Annual Meeting as described in this proxy statement. Attending the 2022 Annual Meeting alone without taking one of the actions set forth above will not revoke your proxy.</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Stockholders who hold their shares of Common Stock in “street name” with a bank, brokerage firm, dealer, trust company or other institution or nominee will need to notify the person responsible for their account to revoke or withdraw previously given instructions. You may also provide your bank, brokerage firm, dealer, trust company or other nominee with new voting instructions. Only your latest dated instructions will count. Unless revoked in the manner set forth above and subject to the foregoing, duly authorized proxies in the form enclosed will be voted at the 2022 Annual Meeting in accordance with your instructions. We request that a copy of any revocation sent to the Company or any revocation notification sent to the person responsible for a bank or brokerage account also be sent to us, at c/o [●], so that we may be aware of any revocation of a proxy.</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AT THE 2022 ANNUAL MEETING, NOT EVEN AS A PROTEST VOTE. IF YOU HAVE ALREADY SENT A PROXY CARD TO THE COMPANY OR OTHERWISE AUTHORIZED A PROXY TO VOTE YOUR SHARES OF COMMON STOCK AT THE 2022 ANNUAL MEETING, IT IS NOT TOO LATE TO CHANGE YOUR VOTE. TO REVOKE YOUR PRIOR PROXY AND CHANGE YOUR VOTE, SIMPLY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ONLY YOUR LATEST DATED PROXY WILL BE COUNTED.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the solicitation?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entire expense of soliciting proxies for the 2022 Annual Meeting by Mithril is being borne by Mithril and the Participating Stockholders. Mithril and the Participating Stockholders have not yet determined whether they intend to seek reimbursement of such solicitation expenses and may submit the question of such reimbursement to a vote of the Company’s security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call if I have any questions about the solicitation?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in voting your shares of Common Stock, please call our proxy solicitor, [●]. Stockholders, banks and brokers may call toll-free at [●].</w:t>
      </w:r>
    </w:p>
    <w:p>
      <w:pPr>
        <w:spacing w:after="0" w:line="158"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NO MATTER HOW FEW SHARES OF COMMON STOCK YOU OWN. WE URGE YOU TO SIGN, DATE,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TODAY TO VOTE “FOR ALL” OF TAMSIN BERRY, MARC ELIA AND CLIVE A. MEANWELL TO BE ELECTED TO SERVE AS CLASS I MEMBERS OF THE BOARD.</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Annual Meeting: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proxy materials are available at no charge at 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1—ELECTION OF NOMINEES</w:t>
      </w:r>
    </w:p>
    <w:p>
      <w:pPr>
        <w:spacing w:after="0" w:line="229"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We propose that the stockholders elect Tamsin Berry, Marc Elia and Clive A. Meanwell as Class I members of the Board at the 2022 Annual Meeting. According to publicly available information, the Board consists of nine directors. The Company has a classified Board, which is currently divided into three classes. The directors in each class are elected for terms of three years so that the term of office of one class of directors expires at each annual meeting of stockholders. According to publicly available information, the terms of three directors expire at the 2022 Annual Meeting.</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initial term of each Nominee, if elected, would be until the 2025 Annual Meeting or until their successors are duly elected and qualified in accordance with the Charter and Bylaws. Each Nominee has executed a consent to being named as a nominee in this proxy statement and to serving as a director of the Company, if so elected.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Company’s securities are currently undervalued and that the election of directors is the most powerful way that stockholders can influence the strategic direction of the Company. We further believe that Ms. Berry’s, Mr. Elia’s and Dr. Meanwell’s extensive experience, qualifications and skills would add significant value to the Board and that the interests of the Company and stockholders would be best served by the election of Ms. Berry, Mr. Elia and Dr. Meanwell to the Board.</w:t>
      </w:r>
    </w:p>
    <w:p>
      <w:pPr>
        <w:spacing w:after="0" w:line="180"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Corporate Governance Guidelines of the Company, which are available on the Company’s website at </w:t>
      </w:r>
      <w:r>
        <w:rPr>
          <w:rFonts w:ascii="Times New Roman" w:cs="Times New Roman" w:eastAsia="Times New Roman" w:hAnsi="Times New Roman"/>
          <w:sz w:val="18"/>
          <w:szCs w:val="18"/>
          <w:u w:val="single" w:color="auto"/>
          <w:color w:val="auto"/>
        </w:rPr>
        <w:t>https://investors.adagiotx.com/static-files/deeab61b-d814-4912-87f1-880e838632ed</w:t>
      </w:r>
      <w:r>
        <w:rPr>
          <w:rFonts w:ascii="Times New Roman" w:cs="Times New Roman" w:eastAsia="Times New Roman" w:hAnsi="Times New Roman"/>
          <w:sz w:val="18"/>
          <w:szCs w:val="18"/>
          <w:color w:val="auto"/>
        </w:rPr>
        <w:t>, set forth criteria to assist the Board in making a determination whether a director is independent from the Company. We do not have any knowledge of any facts that would reasonably prevent the determination that each of the Nominees is independent under the applicable standards, including those of Nasdaq or the SEC.</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each of the Nominees understands that, if elected as a director of the Company, each Nominee would have an obligation to act in the best interests of the Company and the stockholders in accordance with his or her duties as a director.</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not seeking control of the Board at the 2022 Annual Meeting. If elected, the Nominees will be a minority of the directors and will not alone be able to adopt resolutions or otherwise cause the Board to act. While Mr. McGuire, one of the Participants, is an incumbent Class II director, he has not entered into any agreement to vote as a director in accordance with the Nominees if they are elected. Further, the Nominees and Mr. McGuire would still constitute a minority of the Board. The Nominees intend to work actively with the other Board members to discuss the issues and challenges facing the Company and resolve them together. By utilizing their respective experience and by working constructively with the other Board members, the Nominees believe they can effect positive change at the Company.</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do not expect that the Nominees will be unable to stand for election. If any Nominee is unable to serve or determines not to serve, we may seek to replace such Nominee with a substitute nominee to the extent substitution is permissible under applicable law and the Company’s organizational documents.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reserve the right to nominate additional persons, to the extent this is not prohibited under applicable law or the Company’s organizational documents, if the Company purports to increase the number of directorships, and/or the Company makes or announces any changes to the Bylaws or takes or announces any other action that purports to have, or if consummated would purport to have, the effect of disqualifying any of the Nominees or any additional nominee nominated pursuant to the foregoing, and/or any Nominee is unable to serve or determines not to serve. Additional nominations made pursuant to the foregoing are without prejudice to our position that any attempt to change the size of the Board or disqualify any of the Nominees through Bylaw amendments or otherwise would constitute unlawful manipulation of the Company’s corporate governance. We reserve the right to challenge any action by the Company that has, or if consummated would have, the effect of</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0" w:lineRule="auto"/>
        <w:rPr>
          <w:sz w:val="20"/>
          <w:szCs w:val="20"/>
          <w:color w:val="auto"/>
        </w:rPr>
      </w:pPr>
      <w:r>
        <w:rPr>
          <w:rFonts w:ascii="Times New Roman" w:cs="Times New Roman" w:eastAsia="Times New Roman" w:hAnsi="Times New Roman"/>
          <w:sz w:val="17"/>
          <w:szCs w:val="17"/>
          <w:color w:val="auto"/>
        </w:rPr>
        <w:t xml:space="preserve">disqualifying any Nominee. If we are permitted to substitute a nominee or propose an additional nominee, we will file and deliver supplemental proxy materials, including a revised proxy card, disclosing the information relating to any substitute nominee or additional nominee that is required to be disclosed in solicitations for proxies for election of directors pursuant to Section 14 of the Exchange Act. Only in such case will the shares of Common Stock represented by the enclosed </w:t>
      </w:r>
      <w:r>
        <w:rPr>
          <w:rFonts w:ascii="Times New Roman" w:cs="Times New Roman" w:eastAsia="Times New Roman" w:hAnsi="Times New Roman"/>
          <w:sz w:val="17"/>
          <w:szCs w:val="17"/>
          <w:b w:val="1"/>
          <w:bCs w:val="1"/>
          <w:i w:val="1"/>
          <w:iCs w:val="1"/>
          <w:color w:val="auto"/>
        </w:rPr>
        <w:t>WHITE</w:t>
      </w:r>
      <w:r>
        <w:rPr>
          <w:rFonts w:ascii="Times New Roman" w:cs="Times New Roman" w:eastAsia="Times New Roman" w:hAnsi="Times New Roman"/>
          <w:sz w:val="17"/>
          <w:szCs w:val="17"/>
          <w:color w:val="auto"/>
        </w:rPr>
        <w:t xml:space="preserve"> proxy card be voted for substitute nominees or additional nominees. We further reserve the right to</w:t>
      </w:r>
    </w:p>
    <w:p>
      <w:pPr>
        <w:spacing w:after="0" w:line="3" w:lineRule="exact"/>
        <w:rPr>
          <w:sz w:val="20"/>
          <w:szCs w:val="20"/>
          <w:color w:val="auto"/>
        </w:rPr>
      </w:pPr>
    </w:p>
    <w:p>
      <w:pPr>
        <w:ind w:left="120" w:right="380" w:hanging="4"/>
        <w:spacing w:after="0" w:line="26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or all of the Nominees and/or (ii) nominate fewer than all of the Nominees listed herein and/or to re-designate one or more of such individuals as alternate nominees.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the Nominees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Information pertaining to the Nominees, including the name, age, present principal occupation, business address, and business experience for the past five years and certain other information, is set forth in the question and answer section of the proxy statement under the section entitled “</w:t>
      </w:r>
      <w:r>
        <w:rPr>
          <w:rFonts w:ascii="Times New Roman" w:cs="Times New Roman" w:eastAsia="Times New Roman" w:hAnsi="Times New Roman"/>
          <w:sz w:val="18"/>
          <w:szCs w:val="18"/>
          <w:i w:val="1"/>
          <w:iCs w:val="1"/>
          <w:color w:val="auto"/>
        </w:rPr>
        <w:t>Who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Nominees?</w:t>
      </w:r>
      <w:r>
        <w:rPr>
          <w:rFonts w:ascii="Times New Roman" w:cs="Times New Roman" w:eastAsia="Times New Roman" w:hAnsi="Times New Roman"/>
          <w:sz w:val="18"/>
          <w:szCs w:val="18"/>
          <w:color w:val="auto"/>
        </w:rPr>
        <w:t>”, which we urge you to read. This information has been furnished to us by the Nominees. Other than as disclosed in this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no arrangement or understanding between any of the Nominees and any other person(s) pursuant to which any such Nominee was or is to be selected as a director or nominee of the Company.</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should refer to the Company’s proxy statement for the 2022 Annual Meeting for the names, background, qualifications and other information concerning the Company’s nominees.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between the Nominees and the Other Participants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Nominee has also executed a written consent in favor of Mithril, agreeing to be named as a nominee for election to the Board in our proxy soliciting materials related to the 2022 Annual Meeting, and to serve as a director if elected.</w:t>
      </w:r>
    </w:p>
    <w:p>
      <w:pPr>
        <w:spacing w:after="0" w:line="158" w:lineRule="exact"/>
        <w:rPr>
          <w:sz w:val="20"/>
          <w:szCs w:val="20"/>
          <w:color w:val="auto"/>
        </w:rPr>
      </w:pPr>
    </w:p>
    <w:p>
      <w:pPr>
        <w:jc w:val="both"/>
        <w:ind w:left="120" w:right="600" w:firstLine="440"/>
        <w:spacing w:after="0" w:line="268" w:lineRule="auto"/>
        <w:rPr>
          <w:sz w:val="20"/>
          <w:szCs w:val="20"/>
          <w:color w:val="auto"/>
        </w:rPr>
      </w:pPr>
      <w:r>
        <w:rPr>
          <w:rFonts w:ascii="Times New Roman" w:cs="Times New Roman" w:eastAsia="Times New Roman" w:hAnsi="Times New Roman"/>
          <w:sz w:val="18"/>
          <w:szCs w:val="18"/>
          <w:color w:val="auto"/>
        </w:rPr>
        <w:t>On March 28, 2022, Mithril II and the Participating Stockholders reached an agreement (the “</w:t>
      </w:r>
      <w:r>
        <w:rPr>
          <w:rFonts w:ascii="Times New Roman" w:cs="Times New Roman" w:eastAsia="Times New Roman" w:hAnsi="Times New Roman"/>
          <w:sz w:val="18"/>
          <w:szCs w:val="18"/>
          <w:b w:val="1"/>
          <w:bCs w:val="1"/>
          <w:color w:val="auto"/>
        </w:rPr>
        <w:t>Participating Stockholders Agreement</w:t>
      </w:r>
      <w:r>
        <w:rPr>
          <w:rFonts w:ascii="Times New Roman" w:cs="Times New Roman" w:eastAsia="Times New Roman" w:hAnsi="Times New Roman"/>
          <w:sz w:val="18"/>
          <w:szCs w:val="18"/>
          <w:color w:val="auto"/>
        </w:rPr>
        <w:t>”), memorialized in an email that is on file with the SEC, pursuant to which Mithril and the Participating Stockholders agreed to vote their shares of Common Stock in favor of the Nominees at the 2022 Annual Meeting.</w:t>
      </w:r>
    </w:p>
    <w:p>
      <w:pPr>
        <w:spacing w:after="0" w:line="17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Other than the foregoing, there are no arrangements or understandings between or among any of the participants in this solicitation or any other person or persons pursuant to which the nomination of the Nominees described herein is to be made.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the Company’s Directors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elected to the Board, the Nominees will not receive any compensation from Mithril or the Participating Stockholders to serve as a director. They will, however, receive whatever compensation the Board has established for non-employee directors of the Company unless and until the Board determines to change such compensation.</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According to the Company’s public filings, the Board has adopted a non-employee director compensation policy, which became effective in August 2021, in connection with the Company’s initial public offering. The policy provides that eligible directors will receive an annual cash retainer of $40,000 for serving on the Board, with additional cash retainers of $30,000 for the independent Board chairperson, $15,000 for the chairperson of the Audit Committee, $10,000 for the chairperson of the Compensation Committee and $8,000 for the chairperson of the Nominating and Corporate Governance Committee. In addition, directors not serving as chairperson of a committee are to receive cash retainers of $7,500 for service on the Audit Committee, $5,000 for service on the Compensation Committee and $4,000 for service on the Nominating and Corporate Governance Committee. All cash compensation is payable quarterly, in arrears.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eligible director who joins the Board will also be granted a non-statutory stock option to purchase a number of shares of Common Stock with an aggregate Black-Scholes grant-date fair value of $800,000 (but not to exceed 150,000 shares), with one-third of the shares vesting on the first anniversary of the grant date, and the remaining shares vesting in equal monthly amounts thereafter, subject to continued service as a director. On the date of each annual meeting of stockholders, each continuing eligible director will be granted a stock option with a grant-date fair value of $400,000 (not to exceed 75,000 shares).</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share ownership level of each current non-employee director is expected to be set forth in the Company’s proxy statement for the 2022 Annual Meeting.</w:t>
      </w:r>
    </w:p>
    <w:p>
      <w:pPr>
        <w:spacing w:after="0" w:line="16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Company maintains, at its expense, a policy of insurance which insures its directors and officers. The Bylaws also contain a provision that provides for indemnification of officers and directors to the fullest extent permitted by Delaware law. The Charter also contains a provision eliminating the personal liability of a director for monetary damages to the fullest extent permitted under Delaware law, and to such greater extent as applicable law may thereafter permit. We expect that the Nominees, if elected, will be exculpated and indemnified in connection with their service as directors of the Company to the same extent exculpation and indemnification is provided to the current directors of the Company under the Charter and the Bylaws and be covered by the policy of insurance which insures the Company’s directors and officers.</w:t>
      </w:r>
    </w:p>
    <w:p>
      <w:pPr>
        <w:spacing w:after="0" w:line="187"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None of the Nominees or any of their respective associates has received any cash compensation, cash bonuses, deferred compensation, compensation pursuant to plans, or other compensation, from, or in respect of, services rendered on behalf of the Company that is required to be disclosed under, or is subject to any arrangement described in Item 402 of Regulation S-K promulgated under the Exchange Act (“</w:t>
      </w:r>
      <w:r>
        <w:rPr>
          <w:rFonts w:ascii="Times New Roman" w:cs="Times New Roman" w:eastAsia="Times New Roman" w:hAnsi="Times New Roman"/>
          <w:sz w:val="17"/>
          <w:szCs w:val="17"/>
          <w:b w:val="1"/>
          <w:bCs w:val="1"/>
          <w:color w:val="auto"/>
        </w:rPr>
        <w:t>Regulation S-K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Mr. Elia served on the Board of the Company from July 2020 to April 2021. Other than the foregoing, none of the Nominees has any position or office with the Company, and no occupation or employment with which the Nominees have been involved, during the past five years, was carried on with the Company or any company or organization that is a parent, subsidiary or other affiliate of the Company, and none of the Nominees has ever served on the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the Nominees</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Nominees may be deemed to have an interest in their nominations for election to the Board by virtue of compensation the Nominees will receive from the Company as a director, if elected to the Board, and as described elsewhere in this proxy statement. We expect that the Nominees, if elected, will be indemnified for service as directors of the Company to the same extent indemnification is provided to the current directors of the Company under the Bylaws and the Charter and be covered by the policy of insurance which insures the Company’s directors and officers.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Ms. Berry could be considered to have an indirect interest in the Nomination Proposal as described below. Ms. Berry is a Partner at Population Health, and holds direct or indirect limited partnership interests in certain of the Population Health entities.</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Mr. Elia could be considered to have an indirect interest in the Nomination Proposal as described below. Mr. Elia is the Chief Investment Officer of M28 Capital, and is managing member of M28 Capital GP LLC, the general partner of M28 Capital. Through these roles, Mr. Elia controls the investment and voting decisions of M28 Capital with respect to any securities held by M28 Capital and the funds or accounts to which it acts as investment manager, including any shares of Common Stock of the Company held by M28. Furthermore, Mr. Elia holds direct or indirect limited partnership interests in certain of the M28 entities.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Dr. Meanwell could be considered to have an indirect interest in the Nomination Proposal as described below. Dr. Meanwell is a managing member of PH III GP and PH VII GP. Through these roles, Dr. Meanwell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has shared control over the investment and voting decisions of the applicable Population Health entities with respect to any securities held by such entities, including shares of Common Stock of the Company. Dr. Meanwell additionally directly holds a further 521,858 shares of Common Stock as of the date of this proxy statement, which he received in a pro rata distribution from PH III. Furthermore, Dr. Meanwell holds direct or indirect limited partnership interests in certain of the Population Health entities.</w:t>
      </w:r>
    </w:p>
    <w:p>
      <w:pPr>
        <w:spacing w:after="0" w:line="17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none of the persons listed on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of this proxy statement, including any Nominee, or any associate of the foregoing persons, has any substantial interest, direct or indirect, by security holdings or otherwise, in any matter to be acted upon at the 2022 Annual Meeting.</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herein regarding each Nominee has been furnished to us by such Nominee.</w:t>
      </w:r>
    </w:p>
    <w:p>
      <w:pPr>
        <w:spacing w:after="0" w:line="221" w:lineRule="exact"/>
        <w:rPr>
          <w:sz w:val="20"/>
          <w:szCs w:val="20"/>
          <w:color w:val="auto"/>
        </w:rPr>
      </w:pPr>
    </w:p>
    <w:p>
      <w:pPr>
        <w:ind w:left="120" w:right="14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WE STRONGLY URGE YOU TO VOTE “FOR ALL” OF TAMSIN BERRY, MARC ELIA AND CLIVE A. MEANWELL TO BE ELECTED TO SERVE AS CLASS I MEMBERS OF THE BOARD BY MARKING, SIGNING, DATING AND RETURNING THE ENCLOSED </w:t>
      </w:r>
      <w:r>
        <w:rPr>
          <w:rFonts w:ascii="Times New Roman" w:cs="Times New Roman" w:eastAsia="Times New Roman" w:hAnsi="Times New Roman"/>
          <w:sz w:val="17"/>
          <w:szCs w:val="17"/>
          <w:b w:val="1"/>
          <w:bCs w:val="1"/>
          <w:i w:val="1"/>
          <w:iCs w:val="1"/>
          <w:color w:val="auto"/>
        </w:rPr>
        <w:t>WHITE</w:t>
      </w:r>
      <w:r>
        <w:rPr>
          <w:rFonts w:ascii="Times New Roman" w:cs="Times New Roman" w:eastAsia="Times New Roman" w:hAnsi="Times New Roman"/>
          <w:sz w:val="17"/>
          <w:szCs w:val="17"/>
          <w:b w:val="1"/>
          <w:bCs w:val="1"/>
          <w:color w:val="auto"/>
        </w:rPr>
        <w:t xml:space="preserve"> PROXY CARD IN THE POSTAGE PAID ENVELOPE PROVIDED TO YOU WITH THIS PROXY STATEMENT. IF YOU HAVE SIGNED THE </w:t>
      </w:r>
      <w:r>
        <w:rPr>
          <w:rFonts w:ascii="Times New Roman" w:cs="Times New Roman" w:eastAsia="Times New Roman" w:hAnsi="Times New Roman"/>
          <w:sz w:val="17"/>
          <w:szCs w:val="17"/>
          <w:b w:val="1"/>
          <w:bCs w:val="1"/>
          <w:i w:val="1"/>
          <w:iCs w:val="1"/>
          <w:color w:val="auto"/>
        </w:rPr>
        <w:t>WHITE</w:t>
      </w:r>
      <w:r>
        <w:rPr>
          <w:rFonts w:ascii="Times New Roman" w:cs="Times New Roman" w:eastAsia="Times New Roman" w:hAnsi="Times New Roman"/>
          <w:sz w:val="17"/>
          <w:szCs w:val="17"/>
          <w:b w:val="1"/>
          <w:bCs w:val="1"/>
          <w:color w:val="auto"/>
        </w:rPr>
        <w:t xml:space="preserve"> PROXY CARD AND NO MARKING IS MADE, YOU WILL BE DEEMED TO HAVE GIVEN A DIRECTION TO VOTE ALL THE SHARES OF COMMON STOCK REPRESENTED BY THE </w:t>
      </w:r>
      <w:r>
        <w:rPr>
          <w:rFonts w:ascii="Times New Roman" w:cs="Times New Roman" w:eastAsia="Times New Roman" w:hAnsi="Times New Roman"/>
          <w:sz w:val="17"/>
          <w:szCs w:val="17"/>
          <w:b w:val="1"/>
          <w:bCs w:val="1"/>
          <w:i w:val="1"/>
          <w:iCs w:val="1"/>
          <w:color w:val="auto"/>
        </w:rPr>
        <w:t>WHITE</w:t>
      </w:r>
      <w:r>
        <w:rPr>
          <w:rFonts w:ascii="Times New Roman" w:cs="Times New Roman" w:eastAsia="Times New Roman" w:hAnsi="Times New Roman"/>
          <w:sz w:val="17"/>
          <w:szCs w:val="17"/>
          <w:b w:val="1"/>
          <w:bCs w:val="1"/>
          <w:color w:val="auto"/>
        </w:rPr>
        <w:t xml:space="preserve"> PROXY CARD “FOR ALL” OF TAMSIN BERRY, MARC ELIA AND CLIVE A. MEANWELL TO BE ELECTED TO SERVE AS CLASS I MEMBERS OF THE BOARD.</w:t>
      </w:r>
    </w:p>
    <w:p>
      <w:pPr>
        <w:spacing w:after="0" w:line="168"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Please do not return any proxy card you may receive from the Company or otherwise authorize a proxy (other than on the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delivered by us to you) to vote your shares of Common Stock for the Company’s nominees. If you have already submitted a proxy card that may have been sent to you by the Company or otherwise authorized a proxy to vote your shares of Common Stock for the Company’s nominees, it is not too late to change your vote. To revoke your prior proxy and change your vote, simply sign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in the postage-paid envelope provided. Only your latest dated proxy will be counted.</w:t>
      </w:r>
    </w:p>
    <w:p>
      <w:pPr>
        <w:spacing w:after="0" w:line="395" w:lineRule="exact"/>
        <w:rPr>
          <w:sz w:val="20"/>
          <w:szCs w:val="20"/>
          <w:color w:val="auto"/>
        </w:rPr>
      </w:pPr>
    </w:p>
    <w:p>
      <w:pPr>
        <w:jc w:val="center"/>
        <w:ind w:left="480" w:right="28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2—RATIFICATION OF THE APPOINTMENT OF PRICEWATERHOUSECOOPERS LLP AS THE COMPANY’S INDEPENDENT REGISTERED PUBLIC ACCOUNTING FIRM</w:t>
      </w:r>
    </w:p>
    <w:p>
      <w:pPr>
        <w:spacing w:after="0" w:line="15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includes a proposal that the stockholders vote to ratify the appointment of PwC as the Company’s independent registered public accounting firm for the fiscal year ending December 31, 2022. We recommend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matter and intend to vote our shares of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this proposal.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information regarding this proposal is contained in the Company’s proxy statement for the 2022 Annual Meeting.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PROPOSALS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we do not know of any other matters to be presented for approval by the stockholders at the 2022 Annual Meeting. If, however, we learn of any other proposals made at a reasonable time before the 2022 Annual Meeting, we will either supplement this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color w:val="auto"/>
        </w:rPr>
        <w:t xml:space="preserve"> proxy card will vote the shares of Common Stock represented thereby in accordance with their discretion pursuant to the authority granted in the proxy.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Stockholders will not have rights of appraisal or similar dissenter’s rights with respect to any matters identified in this proxy statement to be acted upon at the 2022 Annual Meeting.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solicitation of proxies for our Nominees will be made by Mithril. By virtue of Instruction 3 of Item 4 of Schedule 14A promulgated under the Exchange Act, Mithril, the Participating Stockholders and the Nominees may be considered participants in the solicitation.</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Proxies may be solicited by mail, facsimile, telephone, telegraph, electronic mail, internet, in person and by advertisements. All written soliciting materials by the Participants, including any emails or scripts to be used in soliciting proxies, will be filed under the cover of Schedule 14A on the date of first use. Solicitations may also be made by certain of the respective partners, directors, officers, members and employees of the members of Mithril and the Participating Stockholders, none of whom will, except as described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attached hereto or elsewhere in this proxy statement, receive additional compensation for such solicitation. The Nominees, in their capacities as such, may make solicitations of proxies but, except as described herein, will not receive compensation for acting as Nominees.</w:t>
      </w:r>
    </w:p>
    <w:p>
      <w:pPr>
        <w:spacing w:after="0" w:line="187" w:lineRule="exact"/>
        <w:rPr>
          <w:sz w:val="20"/>
          <w:szCs w:val="20"/>
          <w:color w:val="auto"/>
        </w:rPr>
      </w:pPr>
    </w:p>
    <w:p>
      <w:pPr>
        <w:ind w:left="120" w:right="140" w:firstLine="436"/>
        <w:spacing w:after="0" w:line="261" w:lineRule="auto"/>
        <w:tabs>
          <w:tab w:leader="none" w:pos="8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retained to provide solicitation and advisory services in connection with the 2022 Annual Meeting. Arrangements will also be made with custodians, nominees and fiduciaries for forwarding proxy solicitation materials to beneficial owners of shares of Common Stock held as of the Record Date. Mithril will reimburse such custodians, nominees and fiduciaries for reasonable and documented expenses incurred in connection therewith.</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entire expense of soliciting proxies for the 2022 Annual Meeting incurred by Mithril or on the Participants’ behalf is being borne by Mithril and the Participating Stockholders. Mithril has not yet determined whether it intends to seek reimbursement of such solicitation expenses and may submit the question of such reimbursement to a vote of the Company’s security holders. The Board, which will include three of the Nominees, if all are elected, would be required to evaluate and consider any requested reimbursement consistent with their fiduciary duties to the Company and the stockholders. We anticipate that the total expenses that Mithril will incur in furtherance of, or in connection with, the solicitation of proxies for the 2022 Annual Meeting will be approximately $[●]. The actual amount could be higher or lower depending on the facts and circumstances arising in connection with any such solicitation. As of the date hereof, we have incurred approximately $[●] of solicitation expenses.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INFORMATION REGARDING THE PARTICIPANTS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One of the Participants, Adimab, is a significant commercial counterparty of the Company, in addition to being the Company’s largest stockholder. Two of the other Participants, Mr. Royan and Mr. McGuire, are also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members of the board of directors of Adimab. Laura Walker, Senior Director of Antibody Sciences at Adimab, also serves on the Company’s senior leadership team.</w:t>
      </w:r>
    </w:p>
    <w:p>
      <w:pPr>
        <w:spacing w:after="0" w:line="67" w:lineRule="exact"/>
        <w:rPr>
          <w:sz w:val="20"/>
          <w:szCs w:val="20"/>
          <w:color w:val="auto"/>
        </w:rPr>
      </w:pPr>
    </w:p>
    <w:p>
      <w:pPr>
        <w:ind w:left="1080" w:right="5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founded in June 2020 by Adimab to focus initially on the development of antibodies for both the prevention and treatment of COVID-19.</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an assignment and license agreement with Adimab. According to the Company’s most recent Annual Report on Form 10-K:</w:t>
      </w:r>
    </w:p>
    <w:p>
      <w:pPr>
        <w:spacing w:after="0" w:line="67" w:lineRule="exact"/>
        <w:rPr>
          <w:rFonts w:ascii="Times New Roman" w:cs="Times New Roman" w:eastAsia="Times New Roman" w:hAnsi="Times New Roman"/>
          <w:sz w:val="18"/>
          <w:szCs w:val="18"/>
          <w:color w:val="auto"/>
        </w:rPr>
      </w:pPr>
    </w:p>
    <w:p>
      <w:pPr>
        <w:ind w:left="1540" w:right="100" w:hanging="331"/>
        <w:spacing w:after="0" w:line="254"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Company entered into an assignment and license agreement with Adimab, or the Adimab Assignment Agreement, with respect to discovery and optimization of coronavirus-specific antibodies, including COVID-19 and SARS. Under the Adimab Assignment Agreement, Adimab assigned to the Company its rights to all existing coronavirus antibodies controlled by it and their derivatives, patents claiming such antibodies, know-how related to such antibodies, and biological and chemical materials specifically related to such antibodies. Adimab also granted the Company a non-exclusive, worldwide, royalty-bearing, sublicensable license to certain of its antibody discovery and optimization platform technology to research, develop, make, use, and sell coronavirus antibodies and products containing or comprising coronavirus antibodies, provided that the Company may not use such licensed rights to discover or optimize antibodies.</w:t>
      </w:r>
    </w:p>
    <w:p>
      <w:pPr>
        <w:spacing w:after="0" w:line="9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obligated to use commercially reasonable efforts to achieve specified development and regulatory milestones for products in certain major markets and to commercialize a product in any country in which the Company obtains marketing approval. The Company is obligated to pay Adimab quarterly for its services performed under the agreement at a specified full-time equivalent rate.</w:t>
      </w:r>
    </w:p>
    <w:p>
      <w:pPr>
        <w:spacing w:after="0" w:line="85" w:lineRule="exact"/>
        <w:rPr>
          <w:rFonts w:ascii="Times New Roman" w:cs="Times New Roman" w:eastAsia="Times New Roman" w:hAnsi="Times New Roman"/>
          <w:sz w:val="18"/>
          <w:szCs w:val="18"/>
          <w:color w:val="auto"/>
        </w:rPr>
      </w:pPr>
    </w:p>
    <w:p>
      <w:pPr>
        <w:ind w:left="1540" w:right="40" w:hanging="331"/>
        <w:spacing w:after="0" w:line="25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the Company issued 5,000,000 shares of its Series A preferred stock, then having a fair value of $40.0 million, to Adimab. In addition, under the Adimab Assignment Agreement, the Company is obligated to pay Adimab up to $24.6 million upon the achievement of specified development and regulatory milestones for the first two products that comprise or contain coronavirus antibodies assigned to the Company, antibodies discovered or optimized under the Adimab Assignment Agreement, or any derivative of such antibody, or the Products. The Company states that through December 31, 2021, the Company had made aggregate milestone payments of $7.5 million to Adimab under the Adimab Assignment Agreement. The Company is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the Company under the Adimab Assignment Agreement or that claims priority to any such patent. If the Company commercializes any products as a diagnostic device (other than a companion diagnostic device) or as a research reagent, we must negotiate reasonable financial terms for such products.</w:t>
      </w:r>
    </w:p>
    <w:p>
      <w:pPr>
        <w:spacing w:after="0" w:line="102"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states that through December 31, 2021, it had made aggregate payments of $9.0 million to Adimab under the Adimab Assignment Agreement, inclusive of the milestone payments.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a collaboration agreement with Adimab. According to the Company’s most recent Annual Report on Form 10-K:</w:t>
      </w:r>
    </w:p>
    <w:p>
      <w:pPr>
        <w:spacing w:after="0" w:line="130" w:lineRule="exact"/>
        <w:rPr>
          <w:rFonts w:ascii="Times New Roman" w:cs="Times New Roman" w:eastAsia="Times New Roman" w:hAnsi="Times New Roman"/>
          <w:sz w:val="18"/>
          <w:szCs w:val="18"/>
          <w:color w:val="auto"/>
        </w:rPr>
      </w:pPr>
    </w:p>
    <w:p>
      <w:pPr>
        <w:jc w:val="both"/>
        <w:ind w:left="1540" w:right="220" w:hanging="331"/>
        <w:spacing w:after="0" w:line="266"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the Company entered into a collaboration agreement with Adimab, or the Adimab Collaboration Agreement, for the discovery and optimization of proprietary antibodies as potential therapeutic product candidates. Under the Adimab Collaboration Agreement, the Company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253" w:lineRule="auto"/>
        <w:rPr>
          <w:sz w:val="20"/>
          <w:szCs w:val="20"/>
          <w:color w:val="auto"/>
        </w:rPr>
      </w:pPr>
      <w:r>
        <w:rPr>
          <w:rFonts w:ascii="Times New Roman" w:cs="Times New Roman" w:eastAsia="Times New Roman" w:hAnsi="Times New Roman"/>
          <w:sz w:val="18"/>
          <w:szCs w:val="18"/>
          <w:color w:val="auto"/>
        </w:rPr>
        <w:t>Adimab expect to collaborate on research programs for a specified number of targets selected by the Company within a specified time period. If Adimab is unable to generate antibodies directed against a target selected by the Company, then the Company may replace such target. Under the Adimab Collaboration Agreement, Adimab granted the Company a worldwide, non-exclusive license to certain of Adimab’s platform patents and technology and antibody patents to perform our responsibilities during the ongoing research period and for a specified evaluation period thereafter, or the Evaluation Term. The Company granted Adimab a non-exclusive, non-sublicensable license to certain of its patents and intellectual property solely to perform Adimab’s responsibilities under the research plans. Under the agreement, the Company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is expected to assign to the Company all right, title and interest in the antibodies of the optioned research program and will grant us a worldwide, royalty-free, fully paid-up, non-exclusive, sublicensable license under the Adimab platform technology to research, develop, make, use, and sell the antibodies for which the Company has exercised its options and products containing or comprising those antibodies.</w:t>
      </w:r>
    </w:p>
    <w:p>
      <w:pPr>
        <w:spacing w:after="0" w:line="93" w:lineRule="exact"/>
        <w:rPr>
          <w:sz w:val="20"/>
          <w:szCs w:val="20"/>
          <w:color w:val="auto"/>
        </w:rPr>
      </w:pPr>
    </w:p>
    <w:p>
      <w:pPr>
        <w:ind w:left="1540" w:right="20" w:hanging="331"/>
        <w:spacing w:after="0" w:line="26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Adimab Collaboration Agreement, the Company are obligated to use commercially reasonable efforts to develop, seek marketing approval for, and commercialize one product that contains an antibody discovered in each research program for which the Company exercise its option to obtain licenses and assignments.</w:t>
      </w:r>
    </w:p>
    <w:p>
      <w:pPr>
        <w:spacing w:after="0" w:line="81" w:lineRule="exact"/>
        <w:rPr>
          <w:rFonts w:ascii="Times New Roman" w:cs="Times New Roman" w:eastAsia="Times New Roman" w:hAnsi="Times New Roman"/>
          <w:sz w:val="18"/>
          <w:szCs w:val="18"/>
          <w:color w:val="auto"/>
        </w:rPr>
      </w:pPr>
    </w:p>
    <w:p>
      <w:pPr>
        <w:ind w:left="1540" w:hanging="331"/>
        <w:spacing w:after="0" w:line="253"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agreement, the Company is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the Company’s option at any time. For so long as the Company is paying such quarterly fee (or earlier (i) if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with limited exception.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95" w:lineRule="exact"/>
        <w:rPr>
          <w:rFonts w:ascii="Times New Roman" w:cs="Times New Roman" w:eastAsia="Times New Roman" w:hAnsi="Times New Roman"/>
          <w:sz w:val="18"/>
          <w:szCs w:val="18"/>
          <w:color w:val="auto"/>
        </w:rPr>
      </w:pPr>
    </w:p>
    <w:p>
      <w:pPr>
        <w:ind w:left="1540" w:right="40" w:hanging="331"/>
        <w:spacing w:after="0" w:line="255"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94" w:lineRule="exact"/>
        <w:rPr>
          <w:rFonts w:ascii="Times New Roman" w:cs="Times New Roman" w:eastAsia="Times New Roman" w:hAnsi="Times New Roman"/>
          <w:sz w:val="18"/>
          <w:szCs w:val="18"/>
          <w:color w:val="auto"/>
        </w:rPr>
      </w:pPr>
    </w:p>
    <w:p>
      <w:pPr>
        <w:ind w:left="1540" w:right="240" w:hanging="331"/>
        <w:spacing w:after="0" w:line="26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annual aggregate worldwide net sales of products that contain such antigens for the same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560"/>
        <w:spacing w:after="0" w:line="282" w:lineRule="auto"/>
        <w:rPr>
          <w:sz w:val="20"/>
          <w:szCs w:val="20"/>
          <w:color w:val="auto"/>
        </w:rPr>
      </w:pPr>
      <w:r>
        <w:rPr>
          <w:rFonts w:ascii="Times New Roman" w:cs="Times New Roman" w:eastAsia="Times New Roman" w:hAnsi="Times New Roman"/>
          <w:sz w:val="18"/>
          <w:szCs w:val="18"/>
          <w:color w:val="auto"/>
        </w:rPr>
        <w:t>royalty term as antibody-based products, but the Company is not obligated to make any milestone payments for such antigen products.</w:t>
      </w:r>
    </w:p>
    <w:p>
      <w:pPr>
        <w:spacing w:after="0" w:line="67" w:lineRule="exact"/>
        <w:rPr>
          <w:sz w:val="20"/>
          <w:szCs w:val="20"/>
          <w:color w:val="auto"/>
        </w:rPr>
      </w:pPr>
    </w:p>
    <w:p>
      <w:pPr>
        <w:ind w:left="1080" w:right="6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Adimab may from time to time enter into other commercial arrangements with the Company in the ordinary course of business.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that certain Amended and Restated Investors’ Rights Agreement between the Company and certain of its stockholders, dated April 16, 2021, the Participating Stockholders are entitled to certain demand and piggyback registration rights with respect to their shares of Common Stock obtained upon the conversion of their shares of the Company’s preferred stock in connection with the Company’s initial public offering.</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Other than as set forth herein, as of the date of this proxy statement, no participant and no associate of any participant has any arrangement or understanding with any person or persons with respect to any future employment by the Company or its affiliates or with respect to any future transactions to which the Company or any of its affiliates will or may be a party.</w:t>
      </w:r>
    </w:p>
    <w:p>
      <w:pPr>
        <w:spacing w:after="0" w:line="174"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Annex A </w:t>
      </w:r>
      <w:r>
        <w:rPr>
          <w:rFonts w:ascii="Times New Roman" w:cs="Times New Roman" w:eastAsia="Times New Roman" w:hAnsi="Times New Roman"/>
          <w:sz w:val="18"/>
          <w:szCs w:val="18"/>
          <w:color w:val="auto"/>
        </w:rPr>
        <w:t>hereto includes information pertaining to the participants in this solicitation, including, as applicable, the name, present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occupation or employment, business address, and certain other information with respect to such participants.</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Information as to any substantial interest, direct or indirect, by security holdings or otherwise of the participants in this solicitation with respect to the Nomination Proposal or the approval of the Stockholder Proposals is set forth in the section entitled “Interests of the Nominees” and/or herein. Except as otherwise set forth herein and in Annex A, which is incorporated herein by reference, none of the participants in this solicitation beneficially owns any securities of the Company or has any personal ownership interest, direct or indirect, in any securities of the Company.</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During the past ten years, no participant in this solicitation has been convicted in a criminal proceeding (excluding traffic violations or similar misdemeanors).</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Company has disclosed that as of March 24, 2022, there were 109,675,173 shares of Common Stock outstanding. The Company’s proxy statement for the 2022 Annual Meeting is expected to provide the current number of shares of Common Stock outstanding and entitled to vote at the 2022 Annual Meeting as of the Record Date. Each share of Common Stock outstanding as of the Record Date is entitled to one vote on all matters presented at the 2022 Annual Meeting.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hereof, the Participants hold securities of the Company in the amounts and manner indicated below.</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203"/>
        </w:trPr>
        <w:tc>
          <w:tcPr>
            <w:tcW w:w="2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Mithril II</w:t>
            </w:r>
          </w:p>
        </w:tc>
        <w:tc>
          <w:tcPr>
            <w:tcW w:w="1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11,241,580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V</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3,120,194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EF V</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60,814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FF V</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21,374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SFF V</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31,198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IX</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4,800,460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HCT</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497,660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M28 Capital</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6,398,250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Adimab</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26,687,906 shares of Common Stock*</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 III</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359,662 shares of Common Stock*</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 VII</w:t>
            </w:r>
          </w:p>
        </w:tc>
        <w:tc>
          <w:tcPr>
            <w:tcW w:w="5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320,160 shares of Common Stock*</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Clive Meanwell</w:t>
            </w:r>
          </w:p>
        </w:tc>
        <w:tc>
          <w:tcPr>
            <w:tcW w:w="5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521,858 shares of Common Stock***</w:t>
            </w:r>
          </w:p>
        </w:tc>
      </w:tr>
      <w:tr>
        <w:trPr>
          <w:trHeight w:val="346"/>
        </w:trPr>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080"/>
          </w:cols>
          <w:pgMar w:left="320" w:top="455" w:right="4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of record.</w:t>
      </w:r>
    </w:p>
    <w:p>
      <w:pPr>
        <w:spacing w:after="0" w:line="27"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certain funds and accounts to which M28 Capital acts as investment manager.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through a brokerage account.</w:t>
      </w:r>
    </w:p>
    <w:p>
      <w:pPr>
        <w:spacing w:after="0" w:line="205"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By virtue of the relationships set forth in </w:t>
      </w:r>
      <w:r>
        <w:rPr>
          <w:rFonts w:ascii="Times New Roman" w:cs="Times New Roman" w:eastAsia="Times New Roman" w:hAnsi="Times New Roman"/>
          <w:sz w:val="17"/>
          <w:szCs w:val="17"/>
          <w:i w:val="1"/>
          <w:iCs w:val="1"/>
          <w:color w:val="auto"/>
        </w:rPr>
        <w:t>Annex A</w:t>
      </w:r>
      <w:r>
        <w:rPr>
          <w:rFonts w:ascii="Times New Roman" w:cs="Times New Roman" w:eastAsia="Times New Roman" w:hAnsi="Times New Roman"/>
          <w:sz w:val="17"/>
          <w:szCs w:val="17"/>
          <w:color w:val="auto"/>
        </w:rPr>
        <w:t>: Mithril II GP, Mithril II UGP, Ajay Royan and Peter Thiel may be deemed to beneficially own the shares held by Mithril II; PMVC V and Jonathan Flint each may be deemed to beneficially own the shares held by Polaris V, Polaris EV F, Polaris</w:t>
      </w:r>
    </w:p>
    <w:p>
      <w:pPr>
        <w:spacing w:after="0" w:line="1" w:lineRule="exact"/>
        <w:rPr>
          <w:sz w:val="20"/>
          <w:szCs w:val="20"/>
          <w:color w:val="auto"/>
        </w:rPr>
      </w:pPr>
    </w:p>
    <w:p>
      <w:pPr>
        <w:ind w:left="120" w:right="160" w:hanging="4"/>
        <w:spacing w:after="0" w:line="251"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and Polaris SFF V; Polaris IX GP may be deemed to beneficially own the shares held by Polaris IX; Polaris HCT GP may be deemed to beneficially own the shares held by Polaris HCT; Terrance McGuire may be deemed to beneficially own the shares that are beneficially owned by PMVC V, Polaris IX GP and Polaris HCT GP; Marc Elia may be deemed to beneficially own the shares owned by M28 Capital; PH III GP may be deemed to beneficially own the shares held by PH III; PH VII GP may be deemed to beneficially own the shares held by PH VII; and Christopher Cox and Clive A. Meanwell each may be deemed to beneficially own the shares held by PH III and PH VIII. The 54,051,113 shares of Common Stock beneficially owned in the aggregate by Participants on the date hereof represents approximately 49.3% of the outstanding shares of Common Stock, based on 109,675,173 shares outstanding as of March 24, 2022, as reported on the Company’s annual report on Form 10-K, filed with the SEC on March 31, 2022.</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Berry is not the record or beneficial owner of any shares of Common Stock.</w:t>
      </w:r>
    </w:p>
    <w:p>
      <w:pPr>
        <w:spacing w:after="0" w:line="223"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date of purchase and number of shares of Common Stock purchased by the Participants in the last two years are 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no participant in this solicitation owns any securities of the Company of record but not beneficially.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are transactions in the Company’s securities effected by the participants in this solicitation within the past two years.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Other than as disclosed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no participant in this solicitation has effected any transaction in securities of the Company in the past two years.</w:t>
      </w:r>
    </w:p>
    <w:p>
      <w:pPr>
        <w:spacing w:after="0" w:line="205" w:lineRule="exact"/>
        <w:rPr>
          <w:sz w:val="20"/>
          <w:szCs w:val="20"/>
          <w:color w:val="auto"/>
        </w:rPr>
      </w:pPr>
    </w:p>
    <w:p>
      <w:pPr>
        <w:ind w:left="120" w:right="120" w:firstLine="440"/>
        <w:spacing w:after="0" w:line="315" w:lineRule="auto"/>
        <w:rPr>
          <w:sz w:val="20"/>
          <w:szCs w:val="20"/>
          <w:color w:val="auto"/>
        </w:rPr>
      </w:pPr>
      <w:r>
        <w:rPr>
          <w:rFonts w:ascii="Times New Roman" w:cs="Times New Roman" w:eastAsia="Times New Roman" w:hAnsi="Times New Roman"/>
          <w:sz w:val="17"/>
          <w:szCs w:val="17"/>
          <w:color w:val="auto"/>
        </w:rPr>
        <w:t xml:space="preserve">Other than as set forth in this proxy statement, no part of the purchase price or market value of any securities of the Company described in </w:t>
      </w:r>
      <w:r>
        <w:rPr>
          <w:rFonts w:ascii="Times New Roman" w:cs="Times New Roman" w:eastAsia="Times New Roman" w:hAnsi="Times New Roman"/>
          <w:sz w:val="17"/>
          <w:szCs w:val="17"/>
          <w:i w:val="1"/>
          <w:iCs w:val="1"/>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 </w:t>
      </w:r>
      <w:r>
        <w:rPr>
          <w:rFonts w:ascii="Times New Roman" w:cs="Times New Roman" w:eastAsia="Times New Roman" w:hAnsi="Times New Roman"/>
          <w:sz w:val="17"/>
          <w:szCs w:val="17"/>
          <w:color w:val="auto"/>
        </w:rPr>
        <w:t>hereto are represented by funds that were borrowed or otherwise obtained for the purpose of acquiring or holding such securities by any participant.</w:t>
      </w:r>
    </w:p>
    <w:p>
      <w:pPr>
        <w:spacing w:after="0" w:line="13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which certain of the Participating Stockholders hold in “street name” may be held in brokerage custodian accounts which, from time to time in the ordinary course, may utilize margin borrowing in connection with purchasing, borrowing or holding of securities, and such shares may thereby have been, or in the future may become, subject to the terms and conditions of such margin debt and terms, together with all other securities held therein.</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Other than as set forth in this proxy statement, no participant is, or has been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 or the giving or withholding of proxies.</w:t>
      </w:r>
    </w:p>
    <w:p>
      <w:pPr>
        <w:spacing w:after="0" w:line="174"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after reasonable inquiry, no participant in this solicitation, and no associate of any participant in this solicitation, owns beneficially, directly or indirectly, or of record but not beneficially, any securities of the Company, or any parent or subsidiary of the Company.</w:t>
      </w:r>
    </w:p>
    <w:p>
      <w:pPr>
        <w:spacing w:after="0" w:line="173"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Other than as set forth in this proxy statement or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 no participant in this solicitation and no associate of any participant in this solicitation has had or will have a direct or indirect material interest in any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transaction since the beginning of the Company’s last fiscal year or any currently proposed transactions in which the Company was or is to be a participant and the amount involved exceeds the lesser of (i) 1% of the Company’s total assets and (ii) $120,000.</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There are no material proceedings in which the Nominees or any of their respective associates is a party adverse to the Company or any of its subsidiaries, or material proceedings in which such Nominee or any such associate has a material interest adverse to the Company or any of its subsidiaries.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exist no family relationships between any Nominee and any director or executive officer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the Nominees has been involved in any legal proceedings during the past ten years that would be required to be disclosed under</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Item 401(f) of Regulation S-K promulgated under the Exchange Act and that are material to an evaluation of the ability or integrity of any such nominee to become a director of the Company.</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None of the Nominees is a current or former officer of the Company and none of the Nominees was an employee of the Company during the fiscal year ended December 31, 2022. During such fiscal year, no executive officer of the Company served as a member of the compensation committee (or other board committee performing equivalent functions or, in the absence of any such committee, the entire board of directors) of another entity of which any Nominee was an executive officer. There exist no interlocking relationships that would have required disclosure under Item 407(e)(4) of Regulation S-K, had the Nominees been directors of the Company.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Some banks, brokerage firms, dealers, trust company and other nominee record holders may be participating in the practice of “householding” proxy statements and annual reports. This means that only one copy of this proxy statement may have been sent to multiple stockholders sharing an address. We will promptly deliver a separate copy of the document to you if you write or call our proxy solicitor, [●]. Stockholders, banks, brokers, dealers, trust companies and other nominees may call toll-free at [●].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is dated [●], 2022. You should not assume that the information contained in this proxy statement is accurate as of any date other than such date, and the mailing of this proxy statement to stockholders shall not create any implication to the contrary.</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You are advised to read this proxy statement and other relevant documents when they become available because they will contain important information. You may obtain a free copy of this proxy statement and other relevant documents that we file with the SEC at the SEC’s website at www.sec.gov or www.[●].com or by calling [●] at the address and phone number indicated above.</w:t>
      </w:r>
    </w:p>
    <w:p>
      <w:pPr>
        <w:spacing w:after="0" w:line="176"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Please refer to the Company’s proxy statement for the 2022 Annual Meeting and annual report filed with the SEC for certain additional information and disclosure required to be made by the Company in connection with the 2022 Annual Meeting and in accordance with applicable law.</w:t>
      </w:r>
    </w:p>
    <w:p>
      <w:pPr>
        <w:spacing w:after="0" w:line="136"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NO MATTER HOW FEW SHARES OF COMMON STOCK YOU OWN. WE URGE YOU TO SIGN, DATE, AND RETURN THE ENCLOSED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b w:val="1"/>
          <w:bCs w:val="1"/>
          <w:color w:val="auto"/>
        </w:rPr>
        <w:t xml:space="preserve"> PROXY CARD TODAY TO VOTE “FOR ALL” OF TAMSIN BERRY, MARC ELIA AND CLIVE A. MEANWELL TO BE ELECTED TO SERVE AS CLASS I MEMBERS OF THE BOARD UNTIL THE 2025 ANNUAL MEETING OR UNTIL THEIR RESPECTIVE SUCCESSORS ARE DULY ELECTED AND QUALIFIED; AND “FOR” THE RATIFICATION OF THE APPOINTMENT OF PWC AS THE COMPANY’S INDEPENDENT REGISTERED AUDITING FIRM.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WE HAVE OMITTED FROM THIS PROXY STATEMENT CERTAIN DISCLOSURE REQUIRED BY APPLICABLE LAW THAT IS EXPECTED TO BE INCLUDED IN THE COMPANY’S PROXY STATEMENT RELATING TO THE 2022 ANNUAL MEETING BASED ON OUR RELIANCE ON RULE 14a-5(c) UNDER THE EXCHANGE ACT. THIS INFORMATION AND DISCLOSURE IS EXPECTED TO INCLUDE: CERTAIN BIOGRAPHICAL INFORMATION AND INFORMATION ABOUT THE BACKGROUNDS AND QUALIFICATIONS OF THE COMPANY’S DIRECTORS AND EXECUTIVE OFFICERS; INFORMATION CONCERNING ALL MATTERS REQUIRING THE APPROVAL OF STOCKHOLDERS, INCLUDING THE ELECTION OF DIRECTORS; INFORMATION CONCERNING EXECUTIVE COMPENSATION; INFORMATION CONCERNING ANY ARRANGEMENTS WHICH MAY RESULT IN A CHANGE IN CONTROL OF THE COMPANY; SECTION 16(a) BENEFICIAL OWNERSHIP REPORTING COMPLIANCE OF THE COMPANY’S DIRECTORS AND EXECUTIVE OFFICERS; INFORMATION CONCERNING CERTAIN RELATIONSHIPS AND RELATED PARTY TRANSACTIONS; INFORMATION CONCERNING THE COMPANY’S PROCEDURES FOR NOMINATING DIRECTORS; INFORMATION CONCERNING THE COMMITTEES OF THE BOARD AND OTHER INFORMATION CONCERNING THE BOARD SUCH AS LEADERSHIP STRUCTURE; BOARD MEETING AND ATTENDANCE; INFORMATION ON HOW TO OBTAIN DIRECTIONS TO BE ABLE TO ATTEND THE 2022 ANNUAL MEETING AND VOTE LIVE; AND PROCEDURES FOR SUBMITTING PROPOSALS FOR INCLUSION IN THE COMPANY’S PROXY STATEMENT AT THE NEXT ANNUAL MEETING. THIS INFORMATION IS CONTAINED IN THE COMPANY’S PUBLIC FILINGS AND STOCKHOLDERS SHOULD REFER TO THE COMPANY’S PROXY STATEMENT FOR THE 2022 ANNUAL MEETING AND ITS OTHER PUBLIC FILINGS IN ORDER TO REVIEW THIS DISCLOSURE. 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OUR KNOWLEDGE. SEE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FOR INFORMATION REGARDING PERSONS WHO MAY BE DEEMED TO BENEFICIALLY OWN MORE THAN 5% OF THE SHARES OF COMMON STOCK AND THE OWNERSHIP OF THE SHARES OF COMMON STOCK BY THE DIRECTORS AND MANAGEMENT OF THE COMPANY.</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2022</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Thank you for your consideration and support.</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LP</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GP LP</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MITHRIL II UGP LLC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PARTICIPANTS IN THE SOLICITATION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Mithril II, Mithril II GP, Mithril II UGP, Ajay Royan, Peter Thiel, Polaris V, Polaris EF V, Polaris FF V, Polaris SFF V, Polaris IX, Polaris HCT, PVMC V, PPGP IX, PHCT GP, Terrance McGuire, Jonathan Flint, M28 Capital, Marc Elia, Adimab, LLC, PH III, PH III GP, PH VII, PH VII GP, Christopher Cox, Clive A. Meanwell and Tamsin Berry may be deemed “participants” under SEC rules in this solicitation. Information regarding the participants in the solicitation is set forth below.</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herein or in the proxy statement, no participant in this solicitation beneficially owns any securities of the Company or has any personal ownership interest, direct or indirect, in any securities of the Company. Set forth in this Annex A are transactions in the Company’s securities effected by the participants in this solicitation within the past two years.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that the Participants hold in “street name” may be held in brokerage custodian accounts which, from time to time in the ordinary course, may utilize margin borrowing in connection with purchasing, borrowing or holding of securities, and such shares of Common Stock may thereby have been, or in the future may become, subject to the terms and conditions of such margin debt and terms, together with all other securities held therein.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Except as described herein or in the proxy statement, as of the date hereof, no part of the purchase price or market value of any securities of the Company described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are represented by funds that were borrowed or otherwise obtained for the purpose of acquiring or holding such securities by any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PERSONS MAKING THE SOLICITATION AND OTHER PARTICIPANTS: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principal business address and the principal occupation or employment of the participants in this solicitation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MITHRIL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principal business address of Mithril II, Mithril II GP, Mithril II UGP, Ajay Royan and Peter Thiel is 600 Congress Avenue, Suite 3100, Austin, TX 78701. Mithril II LP is a venture capital investment entity, and is a Delaware limited partnership. Mithril II GP is a Delaware limited partnership, and is the general partner of Mithril II. Mithril II UGP is a Delaware limited liability company, and is the general partner of Mithril II GP. Mr. Royan is managing member of Mithril II UGP and serves as a Class I member of the Board. Mr. Royan is not standing for re-election to the Board at the 2022 Annual Meeting. Peter Thiel and Ajay Royan are the members of the investment committee of Mithril II GP. All securities of the Company held by Mithril II have been purchased using investment funds provided to Mithril II by its limited partner and general partner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POLARIS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principal business address of Polaris V, Polaris EF V, Polaris FF V, Polaris SFF V, Polaris IX, Polaris HCT, PVMC V, PPGP IX, PHCT GP, Jonathan Flint and Terrance McGuire is One Marina Park Drive,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 02210. Polaris V, Polaris EF V, Polaris FF V, Polaris SFF V, Polaris IX and Polaris HCT are each a venture capital investment entity, and each is a Delaware limited partnership. PVMC V is a Delaware limited liability company, and is the general partner of each of Polaris V, Polaris EF V, Polaris FF V and Polaris SFF V. PPGP IX is a Delaware limited liability company, and is the general partner of Polaris IX. PHCT GP is a Delaware limited liability company, and is the general partner of Polaris HCT. Mr. Flint and Mr. McGuire are the managing members of PVMC V. Mr. McGuire is a Class II member of the Board. All securities of the Company purchased by each Polaris V, Polaris EF V, Polaris FF V, Polaris SF V, Polaris IX and Polaris HCT have been purchased using investment funds provided to such funds by their respective limited partner and general partner investors.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M28</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M28 Capital is 700 Canal Street,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 Stamford, CT 06902. M28 Capital is a Delaware limited partnership and serves as investment manager to certain funds and accounts (the “</w:t>
      </w:r>
      <w:r>
        <w:rPr>
          <w:rFonts w:ascii="Times New Roman" w:cs="Times New Roman" w:eastAsia="Times New Roman" w:hAnsi="Times New Roman"/>
          <w:sz w:val="18"/>
          <w:szCs w:val="18"/>
          <w:b w:val="1"/>
          <w:bCs w:val="1"/>
          <w:color w:val="auto"/>
        </w:rPr>
        <w:t>M28 Funds and Accounts</w:t>
      </w:r>
      <w:r>
        <w:rPr>
          <w:rFonts w:ascii="Times New Roman" w:cs="Times New Roman" w:eastAsia="Times New Roman" w:hAnsi="Times New Roman"/>
          <w:sz w:val="18"/>
          <w:szCs w:val="18"/>
          <w:color w:val="auto"/>
        </w:rPr>
        <w:t>”). Mr. Elia is the Chief Investment Officer of M28 Capital and the managing member of M28 Capital Management GP LLC, the general partner of M28 Capital. Funds for the purchase of the shares of Common Stock were derived from general working capital of the M28 Funds and Accounts.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ADIMAB</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Adimab is 7 Lucent Drive, Lebanon, NH 03766. Adimab is a Delaware limited liability company, the principal occupation of which is to provide therapeutic antibody discovery and engineering technologies. In addition to acquiring Company securities for cash, Adimab acquired securities of the Company in exchange for an assignment of intellectual property and a license. Funds for the Company securities acquired were derived from general working capital of Adimab.</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POPULATION HEALTH</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principal business address of PH III, PH III GP, PH VII and PH VII GP is 1200 Morris Turnpike, Suite 3005, Short Hills, NJ 07078. PH III and PH VII are Delaware limited partnerships engaged in the business of acquiring, holding and disposing of interests in various companies for investment purposes. PH III GP is the general partner of PH III, and PH VII GP is the general partner of PH VII. Mr. Cox and Dr. Meanwell are the managing members of PH III GP and PH VIII GP. All securities of the Company purchased by PH III and PH VII were purchased using investment funds provided to PH III and PH VII by their respective limited partner investors.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the Q&amp;A entitled “Who are the Nominees”, above.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60"/>
          </w:cols>
          <w:pgMar w:left="320" w:top="455" w:right="5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TRANSACTIONS IN THE SECURITIES OF THE COMPANY</w:t>
      </w:r>
    </w:p>
    <w:p>
      <w:pPr>
        <w:spacing w:after="0" w:line="22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all transactions in the Common Stock of the Company effected in the last two (2) years by the Participants. The Company’s Series A Preferred Stock, Series B Preferred Stock and Series C Preferred Stock were acquired by the entities below in private placements, prior to the Company’s initial public offering. Upon the initial public offering, on August 10, 2021, each share of Series A Preferred Stock, Series B Preferred Stock and Series C Preferred Stock converted automatically and by their terms, with no additional consideration paid, into five shares of Common Stock. Common Stock purchased by certain of the Participants on August 10, 2021 were purchased in the Company’s initial public offering. Except as otherwise noted herein, all such transactions were purchases or sales of shares of Common Stock effected in the open market, and the table includes commissions paid in per share prices.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Mithril</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3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1,250,000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176,304</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422,612</w:t>
            </w: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Mithril II</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1,997,000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52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Polaris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3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60" w:type="dxa"/>
            <w:vAlign w:val="bottom"/>
          </w:tcPr>
          <w:p>
            <w:pPr>
              <w:spacing w:after="0"/>
              <w:rPr>
                <w:sz w:val="23"/>
                <w:szCs w:val="2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23"/>
                <w:szCs w:val="23"/>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361,850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85,061</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123,574</w:t>
            </w: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Polaris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267,769</w:t>
            </w:r>
          </w:p>
        </w:tc>
        <w:tc>
          <w:tcPr>
            <w:tcW w:w="166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rPr>
              <w:t>17.00000</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7,052</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1,658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2,409</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EF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5,219</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2,479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583</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846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Polaris 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1,834</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3,619</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850</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1,235</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SFF V</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2,678</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875,000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44,076</w:t>
            </w:r>
          </w:p>
        </w:tc>
        <w:tc>
          <w:tcPr>
            <w:tcW w:w="620" w:type="dxa"/>
            <w:vAlign w:val="bottom"/>
          </w:tcPr>
          <w:p>
            <w:pPr>
              <w:spacing w:after="0"/>
              <w:rPr>
                <w:sz w:val="18"/>
                <w:szCs w:val="18"/>
                <w:color w:val="auto"/>
              </w:rPr>
            </w:pP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32,016</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Polaris IX</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45,000</w:t>
            </w:r>
          </w:p>
        </w:tc>
        <w:tc>
          <w:tcPr>
            <w:tcW w:w="620" w:type="dxa"/>
            <w:vAlign w:val="bottom"/>
          </w:tcPr>
          <w:p>
            <w:pPr>
              <w:spacing w:after="0"/>
              <w:rPr>
                <w:sz w:val="18"/>
                <w:szCs w:val="18"/>
                <w:color w:val="auto"/>
              </w:rPr>
            </w:pPr>
          </w:p>
        </w:tc>
        <w:tc>
          <w:tcPr>
            <w:tcW w:w="166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9"/>
              </w:rPr>
              <w:t>$17.00000</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HCT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64,032</w:t>
            </w:r>
          </w:p>
        </w:tc>
        <w:tc>
          <w:tcPr>
            <w:tcW w:w="6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$78.08578</w:t>
            </w: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Polaris HCT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8/10/2021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177,500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$17.00</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52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M28</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78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Acquisition or</w:t>
            </w:r>
          </w:p>
        </w:tc>
        <w:tc>
          <w:tcPr>
            <w:tcW w:w="2320" w:type="dxa"/>
            <w:vAlign w:val="bottom"/>
            <w:gridSpan w:val="3"/>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8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60" w:type="dxa"/>
            <w:vAlign w:val="bottom"/>
          </w:tcPr>
          <w:p>
            <w:pPr>
              <w:spacing w:after="0"/>
              <w:rPr>
                <w:sz w:val="21"/>
                <w:szCs w:val="2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21"/>
                <w:szCs w:val="2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0" w:type="dxa"/>
            <w:vAlign w:val="bottom"/>
          </w:tcPr>
          <w:p>
            <w:pPr>
              <w:spacing w:after="0"/>
              <w:rPr>
                <w:sz w:val="1"/>
                <w:szCs w:val="1"/>
                <w:color w:val="auto"/>
              </w:rPr>
            </w:pPr>
          </w:p>
        </w:tc>
      </w:tr>
      <w:tr>
        <w:trPr>
          <w:trHeight w:val="173"/>
        </w:trPr>
        <w:tc>
          <w:tcPr>
            <w:tcW w:w="2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 Date</w:t>
            </w:r>
          </w:p>
        </w:tc>
        <w:tc>
          <w:tcPr>
            <w:tcW w:w="232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07/09/2020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937,500</w:t>
            </w: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$8.00</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Series A</w:t>
            </w:r>
          </w:p>
        </w:tc>
        <w:tc>
          <w:tcPr>
            <w:tcW w:w="0" w:type="dxa"/>
            <w:vAlign w:val="bottom"/>
          </w:tcPr>
          <w:p>
            <w:pPr>
              <w:spacing w:after="0"/>
              <w:rPr>
                <w:sz w:val="1"/>
                <w:szCs w:val="1"/>
                <w:color w:val="auto"/>
              </w:rPr>
            </w:pPr>
          </w:p>
        </w:tc>
      </w:tr>
      <w:tr>
        <w:trPr>
          <w:trHeight w:val="216"/>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08/20/2021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225,000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$27.50</w:t>
            </w:r>
          </w:p>
        </w:tc>
        <w:tc>
          <w:tcPr>
            <w:tcW w:w="440" w:type="dxa"/>
            <w:vAlign w:val="bottom"/>
          </w:tcPr>
          <w:p>
            <w:pPr>
              <w:spacing w:after="0"/>
              <w:rPr>
                <w:sz w:val="18"/>
                <w:szCs w:val="18"/>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08/23/2021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1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83,154</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6"/>
              </w:rPr>
              <w:t>$29.11</w:t>
            </w:r>
          </w:p>
        </w:tc>
        <w:tc>
          <w:tcPr>
            <w:tcW w:w="44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34"/>
        </w:trPr>
        <w:tc>
          <w:tcPr>
            <w:tcW w:w="27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M28 Capital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08/24/2021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Purchase</w:t>
            </w: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100,000</w:t>
            </w:r>
          </w:p>
        </w:tc>
        <w:tc>
          <w:tcPr>
            <w:tcW w:w="122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rPr>
              <w:t>$29.17</w:t>
            </w:r>
          </w:p>
        </w:tc>
        <w:tc>
          <w:tcPr>
            <w:tcW w:w="440" w:type="dxa"/>
            <w:vAlign w:val="bottom"/>
          </w:tcPr>
          <w:p>
            <w:pPr>
              <w:spacing w:after="0"/>
              <w:rPr>
                <w:sz w:val="20"/>
                <w:szCs w:val="20"/>
                <w:color w:val="auto"/>
              </w:rPr>
            </w:pP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346"/>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80" w:type="dxa"/>
            <w:vAlign w:val="bottom"/>
            <w:gridSpan w:val="5"/>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Table of Contents</w:t>
              </w:r>
            </w:hyperlink>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08/30/2021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73,116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$31.35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08/31/2021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170,000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$33.84</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09/09/2021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$44.82</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10/01/2021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186,300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$28.00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10/04/2021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94,000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$28.45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10/05/2021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78,800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$30.77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10/13/2021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79,000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$31.88</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10/14/2021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77,345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$30.78</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10/29/2021</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161,800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$29.11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11/29/2021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249,336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$48.22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11/30/2021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57,794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$65.07</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11/30/2021</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50,664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$50.72</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157,000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$5.99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01/14/2022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163,700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$5.69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01/14/2022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188,300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$5.55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01/18/2022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656,497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$5.49</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01/19/2022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872,982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$5.54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01/20/2022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492,800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$6.36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02/09/2022</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$11.11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02/10/2022</w:t>
            </w:r>
          </w:p>
        </w:tc>
        <w:tc>
          <w:tcPr>
            <w:tcW w:w="4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Sale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3,998,250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$9.00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02/23/2022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$6.19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02/24/2022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1,000,000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$6.10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02/25/2022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$6.33</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02/28/2022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1,600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$6.50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03/01/2022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73,400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$6.49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03/02/2022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620,000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$6.17</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03/03/2022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$5.34</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03/04/2022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1,942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$5.00</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03/07/2022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16,842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$5.00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03/08/2022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91,724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$4.96</w:t>
            </w:r>
          </w:p>
        </w:tc>
        <w:tc>
          <w:tcPr>
            <w:tcW w:w="3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M28 Capital</w:t>
            </w:r>
          </w:p>
        </w:tc>
        <w:tc>
          <w:tcPr>
            <w:tcW w:w="2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03/14/2022</w:t>
            </w: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62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89,492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$4.91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540"/>
        </w:trPr>
        <w:tc>
          <w:tcPr>
            <w:tcW w:w="1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Adimab</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300" w:type="dxa"/>
            <w:vAlign w:val="bottom"/>
            <w:gridSpan w:val="2"/>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54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760" w:type="dxa"/>
            <w:vAlign w:val="bottom"/>
          </w:tcPr>
          <w:p>
            <w:pPr>
              <w:spacing w:after="0"/>
              <w:rPr>
                <w:sz w:val="23"/>
                <w:szCs w:val="23"/>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Security</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6/3/2020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r>
              <w:rPr>
                <w:rFonts w:ascii="Times New Roman" w:cs="Times New Roman" w:eastAsia="Times New Roman" w:hAnsi="Times New Roman"/>
                <w:sz w:val="15"/>
                <w:szCs w:val="15"/>
                <w:color w:val="auto"/>
              </w:rPr>
              <w:t>(1)</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21,250,000</w:t>
            </w:r>
          </w:p>
        </w:tc>
        <w:tc>
          <w:tcPr>
            <w:tcW w:w="10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$0.00002</w:t>
            </w: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6/22/2020</w:t>
            </w:r>
          </w:p>
        </w:tc>
        <w:tc>
          <w:tcPr>
            <w:tcW w:w="1300" w:type="dxa"/>
            <w:vAlign w:val="bottom"/>
            <w:gridSpan w:val="2"/>
          </w:tcPr>
          <w:p>
            <w:pPr>
              <w:jc w:val="center"/>
              <w:ind w:left="292"/>
              <w:spacing w:after="0"/>
              <w:rPr>
                <w:sz w:val="20"/>
                <w:szCs w:val="20"/>
                <w:color w:val="auto"/>
              </w:rPr>
            </w:pPr>
            <w:r>
              <w:rPr>
                <w:rFonts w:ascii="Times New Roman" w:cs="Times New Roman" w:eastAsia="Times New Roman" w:hAnsi="Times New Roman"/>
                <w:sz w:val="15"/>
                <w:szCs w:val="15"/>
                <w:color w:val="auto"/>
                <w:w w:val="91"/>
              </w:rPr>
              <w:t>(2)</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1,985,295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w:t>
            </w:r>
          </w:p>
        </w:tc>
        <w:tc>
          <w:tcPr>
            <w:tcW w:w="320" w:type="dxa"/>
            <w:vAlign w:val="bottom"/>
          </w:tcPr>
          <w:p>
            <w:pPr>
              <w:spacing w:after="0"/>
              <w:rPr>
                <w:sz w:val="18"/>
                <w:szCs w:val="18"/>
                <w:color w:val="auto"/>
              </w:rPr>
            </w:pPr>
          </w:p>
        </w:tc>
        <w:tc>
          <w:tcPr>
            <w:tcW w:w="26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Restricted Common Stock</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7/9/2020</w:t>
            </w:r>
          </w:p>
        </w:tc>
        <w:tc>
          <w:tcPr>
            <w:tcW w:w="130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5"/>
                <w:szCs w:val="15"/>
                <w:color w:val="auto"/>
                <w:w w:val="91"/>
              </w:rPr>
              <w:t>(3)</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21,250,000</w:t>
            </w: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$0.004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7/9/2020</w:t>
            </w:r>
          </w:p>
        </w:tc>
        <w:tc>
          <w:tcPr>
            <w:tcW w:w="1300" w:type="dxa"/>
            <w:vAlign w:val="bottom"/>
            <w:gridSpan w:val="2"/>
          </w:tcPr>
          <w:p>
            <w:pPr>
              <w:jc w:val="center"/>
              <w:ind w:left="292"/>
              <w:spacing w:after="0"/>
              <w:rPr>
                <w:sz w:val="20"/>
                <w:szCs w:val="20"/>
                <w:color w:val="auto"/>
              </w:rPr>
            </w:pPr>
            <w:r>
              <w:rPr>
                <w:rFonts w:ascii="Times New Roman" w:cs="Times New Roman" w:eastAsia="Times New Roman" w:hAnsi="Times New Roman"/>
                <w:sz w:val="15"/>
                <w:szCs w:val="15"/>
                <w:color w:val="auto"/>
                <w:w w:val="91"/>
              </w:rPr>
              <w:t>(3)</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68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8"/>
              </w:rPr>
              <w:t>$8.00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Series A</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10/30/2020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10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44,076</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$56.72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rPr>
              <w:t>Series B</w:t>
            </w:r>
          </w:p>
        </w:tc>
      </w:tr>
      <w:tr>
        <w:trPr>
          <w:trHeight w:val="216"/>
        </w:trPr>
        <w:tc>
          <w:tcPr>
            <w:tcW w:w="120" w:type="dxa"/>
            <w:vAlign w:val="bottom"/>
          </w:tcPr>
          <w:p>
            <w:pPr>
              <w:spacing w:after="0"/>
              <w:rPr>
                <w:sz w:val="18"/>
                <w:szCs w:val="18"/>
                <w:color w:val="auto"/>
              </w:rPr>
            </w:pPr>
          </w:p>
        </w:tc>
        <w:tc>
          <w:tcPr>
            <w:tcW w:w="24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4/16/2021</w:t>
            </w:r>
          </w:p>
        </w:tc>
        <w:tc>
          <w:tcPr>
            <w:tcW w:w="4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128,064</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$78.08578</w:t>
            </w:r>
          </w:p>
        </w:tc>
        <w:tc>
          <w:tcPr>
            <w:tcW w:w="760" w:type="dxa"/>
            <w:vAlign w:val="bottom"/>
          </w:tcPr>
          <w:p>
            <w:pPr>
              <w:spacing w:after="0"/>
              <w:rPr>
                <w:sz w:val="18"/>
                <w:szCs w:val="18"/>
                <w:color w:val="auto"/>
              </w:rPr>
            </w:pPr>
          </w:p>
        </w:tc>
        <w:tc>
          <w:tcPr>
            <w:tcW w:w="18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Series C</w:t>
            </w:r>
          </w:p>
        </w:tc>
      </w:tr>
      <w:tr>
        <w:trPr>
          <w:trHeight w:val="216"/>
        </w:trPr>
        <w:tc>
          <w:tcPr>
            <w:tcW w:w="120" w:type="dxa"/>
            <w:vAlign w:val="bottom"/>
          </w:tcPr>
          <w:p>
            <w:pPr>
              <w:spacing w:after="0"/>
              <w:rPr>
                <w:sz w:val="18"/>
                <w:szCs w:val="18"/>
                <w:color w:val="auto"/>
              </w:rPr>
            </w:pPr>
          </w:p>
        </w:tc>
        <w:tc>
          <w:tcPr>
            <w:tcW w:w="2460" w:type="dxa"/>
            <w:vAlign w:val="bottom"/>
            <w:gridSpan w:val="4"/>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Adimab LLC</w:t>
            </w:r>
          </w:p>
        </w:tc>
        <w:tc>
          <w:tcPr>
            <w:tcW w:w="20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3/3/2022</w:t>
            </w:r>
          </w:p>
        </w:tc>
        <w:tc>
          <w:tcPr>
            <w:tcW w:w="130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5"/>
                <w:szCs w:val="15"/>
                <w:color w:val="auto"/>
                <w:w w:val="91"/>
              </w:rPr>
              <w:t>(4)</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1,158,089</w:t>
            </w:r>
          </w:p>
        </w:tc>
        <w:tc>
          <w:tcPr>
            <w:tcW w:w="68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$0.002</w:t>
            </w:r>
          </w:p>
        </w:tc>
        <w:tc>
          <w:tcPr>
            <w:tcW w:w="3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Restricted Common stock</w:t>
            </w:r>
          </w:p>
        </w:tc>
      </w:tr>
    </w:tbl>
    <w:p>
      <w:pPr>
        <w:spacing w:after="0" w:line="22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Adimab in connection with the Company’s formation.</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Common Stock issued to Tillman U. Gerngross, then Chief Executive Officer of the Company, upon exercise of a stock option award on December 31, 2020, were transferred to Adimab in exchange for no consideration. Such shares were subject to vesting, with 25% vesting on June 15, 2021, and the remainder vesting in 36 equal monthly installments thereafter.</w:t>
      </w:r>
    </w:p>
    <w:p>
      <w:pPr>
        <w:spacing w:after="0" w:line="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Adimab Assignment Agreement (as defined in the Company’s proxy statement), and in exchange for the fair value of the rights granted by Adimab to the Company thereunder, the Company issued 5,000,000 shares of Series A Preferred Stock having an aggregate fair value of $40.0 million to</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40"/>
          </w:cols>
          <w:pgMar w:left="320" w:top="446"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Adimab, and Adimab relinquished to the Company 21,250,000 shares of Common Stock having a fair value of $85,000.</w:t>
      </w:r>
    </w:p>
    <w:p>
      <w:pPr>
        <w:spacing w:after="0" w:line="27"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unvested shares of restricted Common Stock by the Company for aggregate consideration of $2,316.18.</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Population Health</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760" w:type="dxa"/>
            <w:vAlign w:val="bottom"/>
            <w:gridSpan w:val="2"/>
          </w:tcPr>
          <w:p>
            <w:pPr>
              <w:jc w:val="center"/>
              <w:ind w:left="826"/>
              <w:spacing w:after="0"/>
              <w:rPr>
                <w:sz w:val="20"/>
                <w:szCs w:val="20"/>
                <w:color w:val="auto"/>
              </w:rPr>
            </w:pPr>
            <w:r>
              <w:rPr>
                <w:rFonts w:ascii="Times New Roman" w:cs="Times New Roman" w:eastAsia="Times New Roman" w:hAnsi="Times New Roman"/>
                <w:sz w:val="14"/>
                <w:szCs w:val="14"/>
                <w:b w:val="1"/>
                <w:bCs w:val="1"/>
                <w:color w:val="auto"/>
              </w:rPr>
              <w:t>Purchase/Sale</w:t>
            </w:r>
          </w:p>
        </w:tc>
        <w:tc>
          <w:tcPr>
            <w:tcW w:w="114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8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Unit cost</w:t>
            </w:r>
          </w:p>
        </w:tc>
        <w:tc>
          <w:tcPr>
            <w:tcW w:w="62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Security</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PH III</w:t>
            </w:r>
          </w:p>
        </w:tc>
        <w:tc>
          <w:tcPr>
            <w:tcW w:w="1740" w:type="dxa"/>
            <w:vAlign w:val="bottom"/>
            <w:gridSpan w:val="2"/>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10/30/2020</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2300" w:type="dxa"/>
            <w:vAlign w:val="bottom"/>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176,304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B</w:t>
            </w:r>
          </w:p>
        </w:tc>
      </w:tr>
      <w:tr>
        <w:trPr>
          <w:trHeight w:val="216"/>
        </w:trPr>
        <w:tc>
          <w:tcPr>
            <w:tcW w:w="2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PH VII</w:t>
            </w:r>
          </w:p>
        </w:tc>
        <w:tc>
          <w:tcPr>
            <w:tcW w:w="174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rPr>
              <w:t>4/16/2021</w:t>
            </w:r>
          </w:p>
        </w:tc>
        <w:tc>
          <w:tcPr>
            <w:tcW w:w="9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w:t>
            </w:r>
          </w:p>
        </w:tc>
        <w:tc>
          <w:tcPr>
            <w:tcW w:w="17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64,032</w:t>
            </w:r>
          </w:p>
        </w:tc>
        <w:tc>
          <w:tcPr>
            <w:tcW w:w="60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$78.08578</w:t>
            </w:r>
          </w:p>
        </w:tc>
        <w:tc>
          <w:tcPr>
            <w:tcW w:w="14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Series C</w:t>
            </w:r>
          </w:p>
        </w:tc>
      </w:tr>
      <w:tr>
        <w:trPr>
          <w:trHeight w:val="216"/>
        </w:trPr>
        <w:tc>
          <w:tcPr>
            <w:tcW w:w="208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PH III</w:t>
            </w:r>
          </w:p>
        </w:tc>
        <w:tc>
          <w:tcPr>
            <w:tcW w:w="1740" w:type="dxa"/>
            <w:vAlign w:val="bottom"/>
            <w:gridSpan w:val="2"/>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9"/>
              </w:rPr>
              <w:t>3/9/2022</w:t>
            </w:r>
          </w:p>
        </w:tc>
        <w:tc>
          <w:tcPr>
            <w:tcW w:w="1760" w:type="dxa"/>
            <w:vAlign w:val="bottom"/>
            <w:gridSpan w:val="2"/>
            <w:shd w:val="clear" w:color="auto" w:fill="CCEEFF"/>
          </w:tcPr>
          <w:p>
            <w:pPr>
              <w:jc w:val="center"/>
              <w:ind w:left="786"/>
              <w:spacing w:after="0"/>
              <w:rPr>
                <w:sz w:val="20"/>
                <w:szCs w:val="20"/>
                <w:color w:val="auto"/>
              </w:rPr>
            </w:pPr>
            <w:r>
              <w:rPr>
                <w:rFonts w:ascii="Times New Roman" w:cs="Times New Roman" w:eastAsia="Times New Roman" w:hAnsi="Times New Roman"/>
                <w:sz w:val="15"/>
                <w:szCs w:val="15"/>
                <w:color w:val="auto"/>
              </w:rPr>
              <w:t>(1)</w:t>
            </w:r>
          </w:p>
        </w:tc>
        <w:tc>
          <w:tcPr>
            <w:tcW w:w="2300" w:type="dxa"/>
            <w:vAlign w:val="bottom"/>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521,858</w:t>
            </w:r>
          </w:p>
        </w:tc>
        <w:tc>
          <w:tcPr>
            <w:tcW w:w="12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5"/>
                <w:szCs w:val="15"/>
                <w:color w:val="auto"/>
              </w:rPr>
              <w:t>(1)</w:t>
            </w:r>
          </w:p>
        </w:tc>
        <w:tc>
          <w:tcPr>
            <w:tcW w:w="4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w:t>
            </w:r>
          </w:p>
        </w:tc>
      </w:tr>
    </w:tbl>
    <w:p>
      <w:pPr>
        <w:spacing w:after="0" w:line="225" w:lineRule="exact"/>
        <w:rPr>
          <w:sz w:val="20"/>
          <w:szCs w:val="20"/>
          <w:color w:val="auto"/>
        </w:rPr>
      </w:pPr>
    </w:p>
    <w:p>
      <w:pPr>
        <w:ind w:left="540" w:right="180" w:hanging="424"/>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shares to Clive A. Meanwell in proportion to his limited partnership interest in PH III. Dr. Meanwell directly owns such shares in his personal capacity.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Transactions by Nominees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transactions with respect to which Mr. Elia may be deemed to be a beneficial owner by virtue of his positions with M28 Capital have been set forth above. The transactions with respect to which Dr. Meanwell may be deemed to be a beneficial owner by virtue of his positions with Population Health, and in his personal capacity, have been set forth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Berry has had no transactions with respect to the Company’s securities during the past two years.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noted otherwise in the footnotes following the table, the following table is reprinted from the Company’s preliminary proxy statement filed with the SEC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2022.</w:t>
      </w: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contains information regarding the beneficial ownership of the company’s common stock by (i) each director and nominee for director of the company, (ii) each of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included in the Summary Compensation Table below, (iii) all company directors and executive officers as a group (including the NEOs) and (iv) all stockholders that are known to the company to be the beneficial owners of more than 5% of the outstanding shares of the company’s common stock. Unless otherwise noted in the footnotes following the table, each person listed below has sole voting and investment power over the shares of common stock reflected in the table. Unless otherwise noted in the footnotes following the table, the information in the table is as of [●], 2022 and the address of each person named is [●].</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6360" w:type="dxa"/>
            <w:vAlign w:val="bottom"/>
          </w:tcPr>
          <w:p>
            <w:pPr>
              <w:spacing w:after="0"/>
              <w:rPr>
                <w:sz w:val="13"/>
                <w:szCs w:val="13"/>
                <w:color w:val="auto"/>
              </w:rPr>
            </w:pPr>
          </w:p>
        </w:tc>
        <w:tc>
          <w:tcPr>
            <w:tcW w:w="252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7"/>
        </w:trPr>
        <w:tc>
          <w:tcPr>
            <w:tcW w:w="1620" w:type="dxa"/>
            <w:vAlign w:val="bottom"/>
            <w:vMerge w:val="continue"/>
          </w:tcPr>
          <w:p>
            <w:pPr>
              <w:spacing w:after="0"/>
              <w:rPr>
                <w:sz w:val="14"/>
                <w:szCs w:val="14"/>
                <w:color w:val="auto"/>
              </w:rPr>
            </w:pPr>
          </w:p>
        </w:tc>
        <w:tc>
          <w:tcPr>
            <w:tcW w:w="6360" w:type="dxa"/>
            <w:vAlign w:val="bottom"/>
          </w:tcPr>
          <w:p>
            <w:pPr>
              <w:spacing w:after="0"/>
              <w:rPr>
                <w:sz w:val="14"/>
                <w:szCs w:val="14"/>
                <w:color w:val="auto"/>
              </w:rPr>
            </w:pPr>
          </w:p>
        </w:tc>
        <w:tc>
          <w:tcPr>
            <w:tcW w:w="2520" w:type="dxa"/>
            <w:vAlign w:val="bottom"/>
            <w:gridSpan w:val="2"/>
          </w:tcPr>
          <w:p>
            <w:pPr>
              <w:jc w:val="center"/>
              <w:ind w:right="1100"/>
              <w:spacing w:after="0" w:line="160" w:lineRule="exact"/>
              <w:rPr>
                <w:sz w:val="20"/>
                <w:szCs w:val="20"/>
                <w:color w:val="auto"/>
              </w:rPr>
            </w:pPr>
            <w:r>
              <w:rPr>
                <w:rFonts w:ascii="Times New Roman" w:cs="Times New Roman" w:eastAsia="Times New Roman" w:hAnsi="Times New Roman"/>
                <w:sz w:val="14"/>
                <w:szCs w:val="14"/>
                <w:b w:val="1"/>
                <w:bCs w:val="1"/>
                <w:color w:val="auto"/>
              </w:rPr>
              <w:t>Beneficial Ownership</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5" w:name="page36"/>
    <w:bookmarkEnd w:id="3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2"/>
      <w:numFmt w:val="upperLetter"/>
      <w:start w:val="35"/>
    </w:lvl>
  </w:abstractNum>
  <w:abstractNum w:abstractNumId="5">
    <w:nsid w:val="6B68079A"/>
    <w:multiLevelType w:val="hybridMultilevel"/>
    <w:lvl w:ilvl="0">
      <w:lvlJc w:val="left"/>
      <w:lvlText w:val="•"/>
      <w:numFmt w:val="bullet"/>
      <w:start w:val="1"/>
    </w:lvl>
    <w:lvl w:ilvl="1">
      <w:lvlJc w:val="left"/>
      <w:lvlText w:val="%2"/>
      <w:numFmt w:val="upperLetter"/>
      <w:start w:val="32"/>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Roman"/>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upperLetter"/>
      <w:start w:val="32"/>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4"/>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2022-04-11T05:45:53Z</dcterms:created>
  <dcterms:modified xsi:type="dcterms:W3CDTF">2022-04-11T05:45:53Z</dcterms:modified>
</cp:coreProperties>
</file>