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0001891047</w:t>
            </w: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835"/>
        </w:trPr>
        <w:tc>
          <w:tcPr>
            <w:tcW w:w="70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Invivyd,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001-40703</w:t>
            </w:r>
          </w:p>
        </w:tc>
      </w:tr>
      <w:tr>
        <w:trPr>
          <w:trHeight w:val="258"/>
        </w:trPr>
        <w:tc>
          <w:tcPr>
            <w:tcW w:w="300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1601 Trapelo Road</w:t>
            </w:r>
          </w:p>
        </w:tc>
      </w:tr>
      <w:tr>
        <w:trPr>
          <w:trHeight w:val="243"/>
        </w:trPr>
        <w:tc>
          <w:tcPr>
            <w:tcW w:w="30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18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Suite 178</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80" w:type="dxa"/>
            <w:vAlign w:val="bottom"/>
          </w:tcPr>
          <w:p>
            <w:pPr>
              <w:spacing w:after="0"/>
              <w:rPr>
                <w:sz w:val="21"/>
                <w:szCs w:val="21"/>
                <w:color w:val="auto"/>
              </w:rPr>
            </w:pPr>
          </w:p>
        </w:tc>
        <w:tc>
          <w:tcPr>
            <w:tcW w:w="318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Waltham</w:t>
            </w:r>
          </w:p>
        </w:tc>
      </w:tr>
      <w:tr>
        <w:trPr>
          <w:trHeight w:val="243"/>
        </w:trPr>
        <w:tc>
          <w:tcPr>
            <w:tcW w:w="30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18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w w:val="97"/>
              </w:rPr>
              <w:t>MASSACHUSETTS</w:t>
            </w:r>
          </w:p>
        </w:tc>
      </w:tr>
      <w:tr>
        <w:trPr>
          <w:trHeight w:val="282"/>
        </w:trPr>
        <w:tc>
          <w:tcPr>
            <w:tcW w:w="30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02451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781-819-0080</w:t>
            </w:r>
          </w:p>
        </w:tc>
      </w:tr>
      <w:tr>
        <w:trPr>
          <w:trHeight w:val="297"/>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Andersen Jill</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66000</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46668.6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137"/>
              <w:spacing w:after="0"/>
              <w:rPr>
                <w:sz w:val="20"/>
                <w:szCs w:val="20"/>
                <w:color w:val="auto"/>
              </w:rPr>
            </w:pPr>
            <w:r>
              <w:rPr>
                <w:rFonts w:ascii="Times New Roman" w:cs="Times New Roman" w:eastAsia="Times New Roman" w:hAnsi="Times New Roman"/>
                <w:sz w:val="22"/>
                <w:szCs w:val="22"/>
                <w:color w:val="auto"/>
                <w:w w:val="94"/>
              </w:rPr>
              <w:t>120142811</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08/18/2025</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9" w:lineRule="exact"/>
        <w:rPr>
          <w:sz w:val="20"/>
          <w:szCs w:val="20"/>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ind w:left="2820"/>
        <w:spacing w:after="0"/>
        <w:tabs>
          <w:tab w:leader="none" w:pos="4640" w:val="left"/>
          <w:tab w:leader="none" w:pos="5900" w:val="left"/>
          <w:tab w:leader="none" w:pos="6260" w:val="left"/>
          <w:tab w:leader="none" w:pos="736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Common Stock</w:t>
      </w:r>
    </w:p>
    <w:p>
      <w:pPr>
        <w:spacing w:after="0" w:line="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acquired upon</w:t>
      </w:r>
    </w:p>
    <w:p>
      <w:pPr>
        <w:ind w:left="2540"/>
        <w:spacing w:after="0" w:line="230" w:lineRule="auto"/>
        <w:rPr>
          <w:sz w:val="20"/>
          <w:szCs w:val="20"/>
          <w:color w:val="auto"/>
        </w:rPr>
      </w:pPr>
      <w:r>
        <w:rPr>
          <w:rFonts w:ascii="Times New Roman" w:cs="Times New Roman" w:eastAsia="Times New Roman" w:hAnsi="Times New Roman"/>
          <w:sz w:val="22"/>
          <w:szCs w:val="22"/>
          <w:color w:val="auto"/>
        </w:rPr>
        <w:t>vesting of</w:t>
      </w:r>
    </w:p>
    <w:p>
      <w:pPr>
        <w:ind w:left="40"/>
        <w:spacing w:after="0" w:line="181" w:lineRule="auto"/>
        <w:tabs>
          <w:tab w:leader="none" w:pos="4220" w:val="left"/>
          <w:tab w:leader="none" w:pos="7180" w:val="left"/>
          <w:tab w:leader="none" w:pos="8460" w:val="left"/>
        </w:tabs>
        <w:rPr>
          <w:sz w:val="20"/>
          <w:szCs w:val="20"/>
          <w:color w:val="auto"/>
        </w:rPr>
      </w:pPr>
      <w:r>
        <w:rPr>
          <w:rFonts w:ascii="Times New Roman" w:cs="Times New Roman" w:eastAsia="Times New Roman" w:hAnsi="Times New Roman"/>
          <w:sz w:val="16"/>
          <w:szCs w:val="16"/>
          <w:color w:val="auto"/>
        </w:rPr>
        <w:t xml:space="preserve">Common Stock 08/15/2025 </w:t>
      </w:r>
      <w:r>
        <w:rPr>
          <w:rFonts w:ascii="Times New Roman" w:cs="Times New Roman" w:eastAsia="Times New Roman" w:hAnsi="Times New Roman"/>
          <w:sz w:val="28"/>
          <w:szCs w:val="28"/>
          <w:color w:val="auto"/>
          <w:vertAlign w:val="superscript"/>
        </w:rPr>
        <w:t>restricted stock</w:t>
      </w:r>
      <w:r>
        <w:rPr>
          <w:sz w:val="20"/>
          <w:szCs w:val="20"/>
          <w:color w:val="auto"/>
        </w:rPr>
        <w:tab/>
      </w:r>
      <w:r>
        <w:rPr>
          <w:rFonts w:ascii="Times New Roman" w:cs="Times New Roman" w:eastAsia="Times New Roman" w:hAnsi="Times New Roman"/>
          <w:sz w:val="16"/>
          <w:szCs w:val="16"/>
          <w:color w:val="auto"/>
        </w:rPr>
        <w:t>Issuer</w:t>
      </w:r>
      <w:r>
        <w:rPr>
          <w:sz w:val="20"/>
          <w:szCs w:val="20"/>
          <w:color w:val="auto"/>
        </w:rPr>
        <w:tab/>
      </w:r>
      <w:r>
        <w:rPr>
          <w:rFonts w:ascii="Times New Roman" w:cs="Times New Roman" w:eastAsia="Times New Roman" w:hAnsi="Times New Roman"/>
          <w:sz w:val="16"/>
          <w:szCs w:val="16"/>
          <w:color w:val="auto"/>
        </w:rPr>
        <w:t>165000</w:t>
      </w:r>
      <w:r>
        <w:rPr>
          <w:sz w:val="20"/>
          <w:szCs w:val="20"/>
          <w:color w:val="auto"/>
        </w:rPr>
        <w:tab/>
      </w:r>
      <w:r>
        <w:rPr>
          <w:rFonts w:ascii="Times New Roman" w:cs="Times New Roman" w:eastAsia="Times New Roman" w:hAnsi="Times New Roman"/>
          <w:sz w:val="16"/>
          <w:szCs w:val="16"/>
          <w:color w:val="auto"/>
        </w:rPr>
        <w:t xml:space="preserve">08/15/2025 </w:t>
      </w:r>
      <w:r>
        <w:rPr>
          <w:rFonts w:ascii="Times New Roman" w:cs="Times New Roman" w:eastAsia="Times New Roman" w:hAnsi="Times New Roman"/>
          <w:sz w:val="28"/>
          <w:szCs w:val="28"/>
          <w:color w:val="auto"/>
          <w:vertAlign w:val="superscript"/>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-65405</wp:posOffset>
            </wp:positionV>
            <wp:extent cx="128905" cy="128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ind w:left="2540"/>
        <w:spacing w:after="0"/>
        <w:tabs>
          <w:tab w:leader="none" w:pos="9500" w:val="left"/>
        </w:tabs>
        <w:rPr>
          <w:sz w:val="20"/>
          <w:szCs w:val="20"/>
          <w:color w:val="auto"/>
        </w:rPr>
      </w:pPr>
      <w:r>
        <w:rPr>
          <w:rFonts w:ascii="Times New Roman" w:cs="Times New Roman" w:eastAsia="Times New Roman" w:hAnsi="Times New Roman"/>
          <w:sz w:val="22"/>
          <w:szCs w:val="22"/>
          <w:color w:val="auto"/>
        </w:rPr>
        <w:t>units granted</w:t>
      </w:r>
      <w:r>
        <w:rPr>
          <w:sz w:val="20"/>
          <w:szCs w:val="20"/>
          <w:color w:val="auto"/>
        </w:rPr>
        <w:tab/>
      </w:r>
      <w:r>
        <w:rPr>
          <w:rFonts w:ascii="Times New Roman" w:cs="Times New Roman" w:eastAsia="Times New Roman" w:hAnsi="Times New Roman"/>
          <w:sz w:val="21"/>
          <w:szCs w:val="21"/>
          <w:color w:val="auto"/>
        </w:rPr>
        <w:t>Compensation</w:t>
      </w:r>
    </w:p>
    <w:p>
      <w:pPr>
        <w:ind w:left="2540"/>
        <w:spacing w:after="0" w:line="230" w:lineRule="auto"/>
        <w:rPr>
          <w:sz w:val="20"/>
          <w:szCs w:val="20"/>
          <w:color w:val="auto"/>
        </w:rPr>
      </w:pPr>
      <w:r>
        <w:rPr>
          <w:rFonts w:ascii="Times New Roman" w:cs="Times New Roman" w:eastAsia="Times New Roman" w:hAnsi="Times New Roman"/>
          <w:sz w:val="22"/>
          <w:szCs w:val="22"/>
          <w:color w:val="auto"/>
        </w:rPr>
        <w:t>under the Issuer's</w:t>
      </w:r>
    </w:p>
    <w:p>
      <w:pPr>
        <w:ind w:left="2540"/>
        <w:spacing w:after="0" w:line="231" w:lineRule="auto"/>
        <w:rPr>
          <w:sz w:val="20"/>
          <w:szCs w:val="20"/>
          <w:color w:val="auto"/>
        </w:rPr>
      </w:pPr>
      <w:r>
        <w:rPr>
          <w:rFonts w:ascii="Times New Roman" w:cs="Times New Roman" w:eastAsia="Times New Roman" w:hAnsi="Times New Roman"/>
          <w:sz w:val="22"/>
          <w:szCs w:val="22"/>
          <w:color w:val="auto"/>
        </w:rPr>
        <w:t>2021 Equity</w:t>
      </w:r>
    </w:p>
    <w:p>
      <w:pPr>
        <w:ind w:left="2540"/>
        <w:spacing w:after="0"/>
        <w:rPr>
          <w:sz w:val="20"/>
          <w:szCs w:val="20"/>
          <w:color w:val="auto"/>
        </w:rPr>
      </w:pPr>
      <w:r>
        <w:rPr>
          <w:rFonts w:ascii="Times New Roman" w:cs="Times New Roman" w:eastAsia="Times New Roman" w:hAnsi="Times New Roman"/>
          <w:sz w:val="22"/>
          <w:szCs w:val="22"/>
          <w:color w:val="auto"/>
        </w:rPr>
        <w:t>Incentive 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1420" w:right="80"/>
        <w:spacing w:after="0" w:line="253" w:lineRule="auto"/>
        <w:rPr>
          <w:sz w:val="20"/>
          <w:szCs w:val="20"/>
          <w:color w:val="auto"/>
        </w:rPr>
      </w:pPr>
      <w:r>
        <w:rPr>
          <w:rFonts w:ascii="Times New Roman" w:cs="Times New Roman" w:eastAsia="Times New Roman" w:hAnsi="Times New Roman"/>
          <w:sz w:val="21"/>
          <w:szCs w:val="21"/>
          <w:color w:val="auto"/>
        </w:rPr>
        <w:t>This Form 144 reports shares to be sold to satisfy the Reporting Person's tax withholding obligations upon vesting of a restricted stock unit award in non-discretionary "sell-to-cover" transactions pursuant to a Rule 10b5-</w:t>
      </w:r>
    </w:p>
    <w:p>
      <w:pPr>
        <w:ind w:left="40"/>
        <w:spacing w:after="0" w:line="231" w:lineRule="auto"/>
        <w:tabs>
          <w:tab w:leader="none" w:pos="140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1 plan applicable to the Reporting Person. Aggregate Market Value of the sale is based on a closing price of</w:t>
      </w:r>
    </w:p>
    <w:p>
      <w:pPr>
        <w:ind w:left="1420"/>
        <w:spacing w:after="0"/>
        <w:rPr>
          <w:sz w:val="20"/>
          <w:szCs w:val="20"/>
          <w:color w:val="auto"/>
        </w:rPr>
      </w:pPr>
      <w:r>
        <w:rPr>
          <w:rFonts w:ascii="Times New Roman" w:cs="Times New Roman" w:eastAsia="Times New Roman" w:hAnsi="Times New Roman"/>
          <w:sz w:val="21"/>
          <w:szCs w:val="21"/>
          <w:color w:val="auto"/>
        </w:rPr>
        <w:t>$0.7071 for the Issuer's common stock on August 15, 2025. The actual number of shares sold will depend on the</w:t>
      </w:r>
    </w:p>
    <w:p>
      <w:pPr>
        <w:spacing w:after="0" w:line="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sale price of the Issuer's common stock at the time of sale. Exhibit List: Exhibit 24.1 - Power of Attorney.</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 08/18/2025</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Plan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Adoption or</w:t>
      </w:r>
    </w:p>
    <w:p>
      <w:pPr>
        <w:ind w:left="40"/>
        <w:spacing w:after="0" w:line="189" w:lineRule="auto"/>
        <w:tabs>
          <w:tab w:leader="none" w:pos="1400" w:val="left"/>
        </w:tabs>
        <w:rPr>
          <w:sz w:val="20"/>
          <w:szCs w:val="20"/>
          <w:color w:val="auto"/>
        </w:rPr>
      </w:pPr>
      <w:r>
        <w:rPr>
          <w:rFonts w:ascii="Times New Roman" w:cs="Times New Roman" w:eastAsia="Times New Roman" w:hAnsi="Times New Roman"/>
          <w:sz w:val="28"/>
          <w:szCs w:val="28"/>
          <w:color w:val="auto"/>
          <w:vertAlign w:val="superscript"/>
        </w:rPr>
        <w:t>Giving of</w:t>
      </w:r>
      <w:r>
        <w:rPr>
          <w:sz w:val="20"/>
          <w:szCs w:val="20"/>
          <w:color w:val="auto"/>
        </w:rPr>
        <w:tab/>
      </w:r>
      <w:r>
        <w:rPr>
          <w:rFonts w:ascii="Times New Roman" w:cs="Times New Roman" w:eastAsia="Times New Roman" w:hAnsi="Times New Roman"/>
          <w:sz w:val="16"/>
          <w:szCs w:val="16"/>
          <w:color w:val="auto"/>
        </w:rPr>
        <w:t>02/20/2025</w:t>
      </w:r>
    </w:p>
    <w:p>
      <w:pPr>
        <w:ind w:left="40"/>
        <w:spacing w:after="0" w:line="230" w:lineRule="auto"/>
        <w:rPr>
          <w:sz w:val="20"/>
          <w:szCs w:val="20"/>
          <w:color w:val="auto"/>
        </w:rPr>
      </w:pPr>
      <w:r>
        <w:rPr>
          <w:rFonts w:ascii="Times New Roman" w:cs="Times New Roman" w:eastAsia="Times New Roman" w:hAnsi="Times New Roman"/>
          <w:sz w:val="22"/>
          <w:szCs w:val="22"/>
          <w:color w:val="auto"/>
        </w:rPr>
        <w:t>Instruction, If</w:t>
      </w:r>
    </w:p>
    <w:p>
      <w:pPr>
        <w:ind w:left="40"/>
        <w:spacing w:after="0" w:line="231" w:lineRule="auto"/>
        <w:rPr>
          <w:sz w:val="20"/>
          <w:szCs w:val="20"/>
          <w:color w:val="auto"/>
        </w:rPr>
      </w:pPr>
      <w:r>
        <w:rPr>
          <w:rFonts w:ascii="Times New Roman" w:cs="Times New Roman" w:eastAsia="Times New Roman" w:hAnsi="Times New Roman"/>
          <w:sz w:val="22"/>
          <w:szCs w:val="22"/>
          <w:color w:val="auto"/>
        </w:rPr>
        <w:t>Relying on</w:t>
      </w:r>
    </w:p>
    <w:p>
      <w:pPr>
        <w:ind w:left="40"/>
        <w:spacing w:after="0"/>
        <w:rPr>
          <w:sz w:val="20"/>
          <w:szCs w:val="20"/>
          <w:color w:val="auto"/>
        </w:rPr>
      </w:pPr>
      <w:r>
        <w:rPr>
          <w:rFonts w:ascii="Times New Roman" w:cs="Times New Roman" w:eastAsia="Times New Roman" w:hAnsi="Times New Roman"/>
          <w:sz w:val="22"/>
          <w:szCs w:val="22"/>
          <w:color w:val="auto"/>
        </w:rPr>
        <w:t>Rule 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Jill Andersen</w:t>
      </w:r>
    </w:p>
    <w:p>
      <w:pPr>
        <w:sectPr>
          <w:pgSz w:w="11900" w:h="16838" w:orient="portrait"/>
          <w:cols w:equalWidth="0" w:num="1">
            <w:col w:w="11240"/>
          </w:cols>
          <w:pgMar w:left="320" w:top="10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108" w:right="339" w:bottom="1440" w:gutter="0" w:footer="0" w:header="0"/>
          <w:type w:val="continuous"/>
        </w:sectPr>
      </w:pPr>
    </w:p>
    <w:bookmarkStart w:id="2" w:name="page3"/>
    <w:bookmarkEnd w:id="2"/>
    <w:p>
      <w:pPr>
        <w:jc w:val="right"/>
        <w:spacing w:after="0"/>
        <w:rPr>
          <w:sz w:val="20"/>
          <w:szCs w:val="20"/>
          <w:color w:val="auto"/>
        </w:rPr>
      </w:pPr>
      <w:r>
        <w:rPr>
          <w:rFonts w:ascii="Times New Roman" w:cs="Times New Roman" w:eastAsia="Times New Roman" w:hAnsi="Times New Roman"/>
          <w:sz w:val="20"/>
          <w:szCs w:val="20"/>
          <w:b w:val="1"/>
          <w:bCs w:val="1"/>
          <w:color w:val="auto"/>
        </w:rPr>
        <w:t>Exhibit 24.1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LIMITED POWER OF ATTORNEY</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SECTION 16 AND RULE 144 REPORTING OBLIGATIONS</w:t>
      </w:r>
    </w:p>
    <w:p>
      <w:pPr>
        <w:spacing w:after="0" w:line="241" w:lineRule="exact"/>
        <w:rPr>
          <w:sz w:val="20"/>
          <w:szCs w:val="20"/>
          <w:color w:val="auto"/>
        </w:rPr>
      </w:pPr>
    </w:p>
    <w:p>
      <w:pPr>
        <w:jc w:val="both"/>
        <w:ind w:right="120" w:firstLine="648"/>
        <w:spacing w:after="0" w:line="245" w:lineRule="exact"/>
        <w:rPr>
          <w:sz w:val="20"/>
          <w:szCs w:val="20"/>
          <w:color w:val="auto"/>
        </w:rPr>
      </w:pPr>
      <w:r>
        <w:rPr>
          <w:rFonts w:ascii="Times New Roman" w:cs="Times New Roman" w:eastAsia="Times New Roman" w:hAnsi="Times New Roman"/>
          <w:sz w:val="20"/>
          <w:szCs w:val="20"/>
          <w:color w:val="auto"/>
        </w:rPr>
        <w:t>Know all by these presents, that the undersigned hereby makes, constitutes and appoints each of William E. Duke, Katherine Fisher, Kiernan Decker, Stephen Nicolai, Steve Abrams and Amanda Brown, signing singly and each acting individually, as the undersigned’s true and lawful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with full power and authority as hereinafter described to:</w:t>
      </w:r>
    </w:p>
    <w:p>
      <w:pPr>
        <w:spacing w:after="0" w:line="171" w:lineRule="exact"/>
        <w:rPr>
          <w:sz w:val="20"/>
          <w:szCs w:val="20"/>
          <w:color w:val="auto"/>
        </w:rPr>
      </w:pPr>
    </w:p>
    <w:p>
      <w:pPr>
        <w:ind w:left="340" w:right="140" w:hanging="332"/>
        <w:spacing w:after="0" w:line="247" w:lineRule="auto"/>
        <w:tabs>
          <w:tab w:leader="none" w:pos="664"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Invivyd, Inc. (the “Company”), Forms 3, 4, and 5 (including any amendments thereto) in accordance with Section 16(a) of the Securities Exchange Act of 1934, as amended, and the rules thereunder (the “Exchange Act”);</w:t>
      </w:r>
    </w:p>
    <w:p>
      <w:pPr>
        <w:spacing w:after="0" w:line="329" w:lineRule="exact"/>
        <w:rPr>
          <w:rFonts w:ascii="Times New Roman" w:cs="Times New Roman" w:eastAsia="Times New Roman" w:hAnsi="Times New Roman"/>
          <w:sz w:val="20"/>
          <w:szCs w:val="20"/>
          <w:color w:val="auto"/>
        </w:rPr>
      </w:pPr>
    </w:p>
    <w:p>
      <w:pPr>
        <w:ind w:left="340" w:right="140" w:hanging="332"/>
        <w:spacing w:after="0" w:line="254" w:lineRule="auto"/>
        <w:tabs>
          <w:tab w:leader="none" w:pos="664"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the Company, Forms 144 (including any amendments thereto) in accordance with Rule 144 (“Rule 144”) under the Securities Act of 1933, as amended, and the rules thereunder;</w:t>
      </w:r>
    </w:p>
    <w:p>
      <w:pPr>
        <w:spacing w:after="0" w:line="322" w:lineRule="exact"/>
        <w:rPr>
          <w:rFonts w:ascii="Times New Roman" w:cs="Times New Roman" w:eastAsia="Times New Roman" w:hAnsi="Times New Roman"/>
          <w:sz w:val="20"/>
          <w:szCs w:val="20"/>
          <w:color w:val="auto"/>
        </w:rPr>
      </w:pPr>
    </w:p>
    <w:p>
      <w:pPr>
        <w:ind w:left="340" w:right="60" w:hanging="332"/>
        <w:spacing w:after="0" w:line="242" w:lineRule="auto"/>
        <w:tabs>
          <w:tab w:leader="none" w:pos="664"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prepare, complete and execute any such Form 3, 4, or 5 or Form 144, prepare, complete and execute any amendment or amendments thereto, and timely deliver and file such form with the United States Securities and Exchange Commission (the “SEC”) and any stock exchange or similar authority, including without limitation (i) the filing of a Form ID, Update Passphrase, or any other application materials to enable the undersigned to gain or maintain access to the Electronic Data Gathering, Analysis and Retrieval system of the SEC (“EDGAR”) and (ii) enrolling the undersigned in EDGAR Next;</w:t>
      </w:r>
    </w:p>
    <w:p>
      <w:pPr>
        <w:spacing w:after="0" w:line="336"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 as an account administrator for the undersigned’s EDGAR account, including to: (i) appoint, remove and replace account</w:t>
      </w:r>
    </w:p>
    <w:p>
      <w:pPr>
        <w:spacing w:after="0" w:line="8" w:lineRule="exact"/>
        <w:rPr>
          <w:rFonts w:ascii="Times New Roman" w:cs="Times New Roman" w:eastAsia="Times New Roman" w:hAnsi="Times New Roman"/>
          <w:sz w:val="20"/>
          <w:szCs w:val="20"/>
          <w:color w:val="auto"/>
        </w:rPr>
      </w:pPr>
    </w:p>
    <w:p>
      <w:pPr>
        <w:ind w:left="340" w:right="400"/>
        <w:spacing w:after="0" w:line="24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spacing w:after="0" w:line="323" w:lineRule="exact"/>
        <w:rPr>
          <w:rFonts w:ascii="Times New Roman" w:cs="Times New Roman" w:eastAsia="Times New Roman" w:hAnsi="Times New Roman"/>
          <w:sz w:val="20"/>
          <w:szCs w:val="20"/>
          <w:color w:val="auto"/>
        </w:rPr>
      </w:pPr>
    </w:p>
    <w:p>
      <w:pPr>
        <w:ind w:left="340" w:right="180" w:hanging="332"/>
        <w:spacing w:after="0" w:line="254" w:lineRule="auto"/>
        <w:tabs>
          <w:tab w:leader="none" w:pos="664"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w:t>
      </w:r>
    </w:p>
    <w:p>
      <w:pPr>
        <w:spacing w:after="0" w:line="322" w:lineRule="exact"/>
        <w:rPr>
          <w:rFonts w:ascii="Times New Roman" w:cs="Times New Roman" w:eastAsia="Times New Roman" w:hAnsi="Times New Roman"/>
          <w:sz w:val="20"/>
          <w:szCs w:val="20"/>
          <w:color w:val="auto"/>
        </w:rPr>
      </w:pPr>
    </w:p>
    <w:p>
      <w:pPr>
        <w:ind w:left="340" w:right="160" w:hanging="332"/>
        <w:spacing w:after="0" w:line="233" w:lineRule="exact"/>
        <w:tabs>
          <w:tab w:leader="none" w:pos="664"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and approves and ratifies any such release of information; and</w:t>
      </w:r>
    </w:p>
    <w:p>
      <w:pPr>
        <w:spacing w:after="0" w:line="305" w:lineRule="exact"/>
        <w:rPr>
          <w:rFonts w:ascii="Times New Roman" w:cs="Times New Roman" w:eastAsia="Times New Roman" w:hAnsi="Times New Roman"/>
          <w:sz w:val="20"/>
          <w:szCs w:val="20"/>
          <w:color w:val="auto"/>
        </w:rPr>
      </w:pPr>
    </w:p>
    <w:p>
      <w:pPr>
        <w:ind w:left="340" w:right="100" w:hanging="332"/>
        <w:spacing w:after="0" w:line="253" w:lineRule="exact"/>
        <w:tabs>
          <w:tab w:leader="none" w:pos="664"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may be of benefit to, in the best interest of, or legally required by, the undersigned, it being understood that the documents executed by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on behalf of the undersigned pursuant to this Power of Attorney shall be in such form and shall contain such terms and conditions as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may approve in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fact’s discretion.</w:t>
      </w:r>
    </w:p>
    <w:p>
      <w:pPr>
        <w:spacing w:after="0" w:line="261" w:lineRule="exact"/>
        <w:rPr>
          <w:sz w:val="20"/>
          <w:szCs w:val="20"/>
          <w:color w:val="auto"/>
        </w:rPr>
      </w:pPr>
    </w:p>
    <w:p>
      <w:pPr>
        <w:ind w:right="60" w:firstLine="648"/>
        <w:spacing w:after="0" w:line="234" w:lineRule="exact"/>
        <w:rPr>
          <w:sz w:val="20"/>
          <w:szCs w:val="20"/>
          <w:color w:val="auto"/>
        </w:rPr>
      </w:pPr>
      <w:r>
        <w:rPr>
          <w:rFonts w:ascii="Times New Roman" w:cs="Times New Roman" w:eastAsia="Times New Roman" w:hAnsi="Times New Roman"/>
          <w:sz w:val="20"/>
          <w:szCs w:val="20"/>
          <w:color w:val="auto"/>
        </w:rPr>
        <w:t>The undersigned hereby grants to each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or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fact’s substitute or substitutes, shall lawfully do or cause to be done by virtue of this power of attorney and the rights and powers herein granted. The undersigned acknowledges that the foregoing attorneys</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in serving in such capacity at the request of the undersigned, are not assuming nor relieving, nor is the Company assuming nor relieving, any of the undersigned’s responsibilities to comply with Section 16 of the Exchange Act or Rule 144. The undersigned acknowledges that neither the Company nor the foregoing attorneys</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assume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w:t>
      </w:r>
    </w:p>
    <w:p>
      <w:pPr>
        <w:spacing w:after="0" w:line="191" w:lineRule="exact"/>
        <w:rPr>
          <w:sz w:val="20"/>
          <w:szCs w:val="20"/>
          <w:color w:val="auto"/>
        </w:rPr>
      </w:pPr>
    </w:p>
    <w:p>
      <w:pPr>
        <w:ind w:right="60"/>
        <w:spacing w:after="0" w:line="232" w:lineRule="exact"/>
        <w:rPr>
          <w:sz w:val="20"/>
          <w:szCs w:val="20"/>
          <w:color w:val="auto"/>
        </w:rPr>
      </w:pPr>
      <w:r>
        <w:rPr>
          <w:rFonts w:ascii="Times New Roman" w:cs="Times New Roman" w:eastAsia="Times New Roman" w:hAnsi="Times New Roman"/>
          <w:sz w:val="20"/>
          <w:szCs w:val="20"/>
          <w:color w:val="auto"/>
        </w:rPr>
        <w:t>This Power of Attorney shall remain in full force and effect until the earliest to occur of (a) the undersigned is no longer required to file Forms 3, 4, and 5 or Forms 144 with respect to the undersigned’s holdings of and transactions in securities issued by the Company, (b) revocation by the undersigned in a signed writing filed with the SEC or delivered to the foregoing attorneys</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or the Company, or (c) as to any attorney-in-fact individually, until such attorney-in-fact is (x) no longer employed by the Company or (y) no longer an attorney representing the Company with respect to matters related to this Power of Attorney. This Power of Attorney revokes all previous powers of attorney with respect to the subject matter of this Power of Attorney.</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IN WITNESS WHEREOF, the undersigned has caused this Power of Attorney to be executed as of this </w:t>
      </w:r>
      <w:r>
        <w:rPr>
          <w:rFonts w:ascii="Times New Roman" w:cs="Times New Roman" w:eastAsia="Times New Roman" w:hAnsi="Times New Roman"/>
          <w:sz w:val="20"/>
          <w:szCs w:val="20"/>
          <w:u w:val="single" w:color="auto"/>
          <w:color w:val="auto"/>
        </w:rPr>
        <w:t>13th</w:t>
      </w:r>
      <w:r>
        <w:rPr>
          <w:rFonts w:ascii="Times New Roman" w:cs="Times New Roman" w:eastAsia="Times New Roman" w:hAnsi="Times New Roman"/>
          <w:sz w:val="20"/>
          <w:szCs w:val="20"/>
          <w:color w:val="auto"/>
        </w:rPr>
        <w:t xml:space="preserve"> day of August, 2025.</w:t>
      </w:r>
    </w:p>
    <w:p>
      <w:pPr>
        <w:spacing w:after="0" w:line="200" w:lineRule="exact"/>
        <w:rPr>
          <w:sz w:val="20"/>
          <w:szCs w:val="20"/>
          <w:color w:val="auto"/>
        </w:rPr>
      </w:pPr>
    </w:p>
    <w:p>
      <w:pPr>
        <w:spacing w:after="0" w:line="245" w:lineRule="exact"/>
        <w:rPr>
          <w:sz w:val="20"/>
          <w:szCs w:val="20"/>
          <w:color w:val="auto"/>
        </w:rPr>
      </w:pPr>
    </w:p>
    <w:p>
      <w:pPr>
        <w:ind w:left="9760"/>
        <w:spacing w:after="0"/>
        <w:rPr>
          <w:sz w:val="20"/>
          <w:szCs w:val="20"/>
          <w:color w:val="auto"/>
        </w:rPr>
      </w:pPr>
      <w:r>
        <w:rPr>
          <w:rFonts w:ascii="Times New Roman" w:cs="Times New Roman" w:eastAsia="Times New Roman" w:hAnsi="Times New Roman"/>
          <w:sz w:val="20"/>
          <w:szCs w:val="20"/>
          <w:color w:val="auto"/>
        </w:rPr>
        <w:t>/s/ Jill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6195060</wp:posOffset>
            </wp:positionH>
            <wp:positionV relativeFrom="paragraph">
              <wp:posOffset>-10795</wp:posOffset>
            </wp:positionV>
            <wp:extent cx="942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42340" cy="8255"/>
                    </a:xfrm>
                    <a:prstGeom prst="rect">
                      <a:avLst/>
                    </a:prstGeom>
                    <a:noFill/>
                  </pic:spPr>
                </pic:pic>
              </a:graphicData>
            </a:graphic>
          </wp:anchor>
        </w:drawing>
      </w:r>
    </w:p>
    <w:p>
      <w:pPr>
        <w:spacing w:after="0" w:line="2" w:lineRule="exact"/>
        <w:rPr>
          <w:sz w:val="20"/>
          <w:szCs w:val="20"/>
          <w:color w:val="auto"/>
        </w:rPr>
      </w:pPr>
    </w:p>
    <w:p>
      <w:pPr>
        <w:ind w:left="9740"/>
        <w:spacing w:after="0"/>
        <w:rPr>
          <w:sz w:val="20"/>
          <w:szCs w:val="20"/>
          <w:color w:val="auto"/>
        </w:rPr>
      </w:pPr>
      <w:r>
        <w:rPr>
          <w:rFonts w:ascii="Times New Roman" w:cs="Times New Roman" w:eastAsia="Times New Roman" w:hAnsi="Times New Roman"/>
          <w:sz w:val="20"/>
          <w:szCs w:val="20"/>
          <w:color w:val="auto"/>
        </w:rPr>
        <w:t>Jill Andersen</w:t>
      </w:r>
    </w:p>
    <w:sectPr>
      <w:pgSz w:w="11900" w:h="16838" w:orient="portrait"/>
      <w:cols w:equalWidth="0" w:num="1">
        <w:col w:w="11240"/>
      </w:cols>
      <w:pgMar w:left="320" w:top="126" w:right="339" w:bottom="13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2025-08-18T17:57:43Z</dcterms:created>
  <dcterms:modified xsi:type="dcterms:W3CDTF">2025-08-18T17:57:43Z</dcterms:modified>
</cp:coreProperties>
</file>