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28850ds3.htm"/>
        <w:bookmarkStart w:id="1" w:name="ksd28850ds3"/>
        <w:bookmarkEnd w:id="0"/>
        <w:bookmarkEnd w:id="1"/>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filed with the Securities and Exchange Commission on October 2, 2025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28"/>
        </w:rPr>
      </w:pPr>
      <w:r>
        <w:rPr>
          <w:rFonts w:ascii="Times New Roman" w:hAnsi="Times New Roman"/>
          <w:b/>
          <w:sz w:val="28"/>
        </w:rPr>
        <w:t xml:space="preserve">UNITED STATES </w:t>
      </w:r>
    </w:p>
    <w:p>
      <w:pPr>
        <w:pStyle w:val="TextBody"/>
        <w:bidi w:val="0"/>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8"/>
        </w:rPr>
      </w:pPr>
      <w:r>
        <w:rPr>
          <w:rFonts w:ascii="Times New Roman" w:hAnsi="Times New Roman"/>
          <w:b/>
          <w:sz w:val="28"/>
        </w:rPr>
        <w:t xml:space="preserve">FORM S-3 </w:t>
      </w:r>
    </w:p>
    <w:p>
      <w:pPr>
        <w:pStyle w:val="TextBody"/>
        <w:bidi w:val="0"/>
        <w:spacing w:before="0" w:after="0"/>
        <w:jc w:val="center"/>
        <w:rPr>
          <w:rFonts w:ascii="Times New Roman" w:hAnsi="Times New Roman"/>
          <w:b/>
          <w:sz w:val="28"/>
        </w:rPr>
      </w:pPr>
      <w:r>
        <w:rPr>
          <w:rFonts w:ascii="Times New Roman" w:hAnsi="Times New Roman"/>
          <w:b/>
          <w:sz w:val="28"/>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0"/>
        </w:rPr>
      </w:pPr>
      <w:r>
        <w:rPr>
          <w:rFonts w:ascii="Times New Roman" w:hAnsi="Times New Roman"/>
          <w:b/>
          <w:sz w:val="40"/>
        </w:rPr>
        <w:t xml:space="preserve">Invivyd, Inc.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1"/>
        <w:gridCol w:w="4950"/>
      </w:tblGrid>
      <w:tr>
        <w:trPr/>
        <w:tc>
          <w:tcPr>
            <w:tcW w:w="51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50"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283"/>
              <w:jc w:val="center"/>
              <w:rPr>
                <w:b/>
              </w:rPr>
            </w:pPr>
            <w:r>
              <w:rPr>
                <w:b/>
              </w:rPr>
              <w:t>85-1403134</w:t>
            </w:r>
          </w:p>
        </w:tc>
      </w:tr>
      <w:tr>
        <w:trPr/>
        <w:tc>
          <w:tcPr>
            <w:tcW w:w="5154" w:type="dxa"/>
            <w:tcBorders/>
          </w:tcPr>
          <w:p>
            <w:pPr>
              <w:pStyle w:val="TableContents"/>
              <w:bidi w:val="0"/>
              <w:spacing w:before="0" w:after="0"/>
              <w:jc w:val="center"/>
              <w:rPr>
                <w:rFonts w:ascii="Times New Roman" w:hAnsi="Times New Roman"/>
                <w:b/>
                <w:sz w:val="14"/>
              </w:rPr>
            </w:pPr>
            <w:r>
              <w:rPr>
                <w:rFonts w:ascii="Times New Roman" w:hAnsi="Times New Roman"/>
                <w:b/>
                <w:sz w:val="14"/>
              </w:rPr>
              <w:t>(State or other jurisdiction of</w:t>
            </w:r>
          </w:p>
          <w:p>
            <w:pPr>
              <w:pStyle w:val="TableContents"/>
              <w:bidi w:val="0"/>
              <w:spacing w:before="0" w:after="20"/>
              <w:jc w:val="center"/>
              <w:rPr>
                <w:rFonts w:ascii="Times New Roman" w:hAnsi="Times New Roman"/>
                <w:b/>
                <w:sz w:val="14"/>
              </w:rPr>
            </w:pPr>
            <w:r>
              <w:rPr>
                <w:rFonts w:ascii="Times New Roman" w:hAnsi="Times New Roman"/>
                <w:b/>
                <w:sz w:val="14"/>
              </w:rPr>
              <w:t>incorporation or organization)</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0"/>
              <w:jc w:val="center"/>
              <w:rPr>
                <w:rFonts w:ascii="Times New Roman" w:hAnsi="Times New Roman"/>
                <w:b/>
                <w:sz w:val="14"/>
              </w:rPr>
            </w:pPr>
            <w:r>
              <w:rPr>
                <w:rFonts w:ascii="Times New Roman" w:hAnsi="Times New Roman"/>
                <w:b/>
                <w:sz w:val="14"/>
              </w:rPr>
              <w:t>(I.R.S. Employer</w:t>
            </w:r>
          </w:p>
          <w:p>
            <w:pPr>
              <w:pStyle w:val="TableContents"/>
              <w:bidi w:val="0"/>
              <w:spacing w:before="0" w:after="20"/>
              <w:jc w:val="center"/>
              <w:rPr>
                <w:rFonts w:ascii="Times New Roman" w:hAnsi="Times New Roman"/>
                <w:b/>
                <w:sz w:val="14"/>
              </w:rPr>
            </w:pPr>
            <w:r>
              <w:rPr>
                <w:rFonts w:ascii="Times New Roman" w:hAnsi="Times New Roman"/>
                <w:b/>
                <w:sz w:val="14"/>
              </w:rPr>
              <w:t>Identification Number)</w:t>
            </w:r>
          </w:p>
        </w:tc>
      </w:tr>
    </w:tbl>
    <w:p>
      <w:pPr>
        <w:pStyle w:val="TextBody"/>
        <w:bidi w:val="0"/>
        <w:spacing w:before="120" w:after="0"/>
        <w:jc w:val="center"/>
        <w:rPr>
          <w:rFonts w:ascii="Times New Roman" w:hAnsi="Times New Roman"/>
          <w:b/>
          <w:sz w:val="16"/>
        </w:rPr>
      </w:pPr>
      <w:r>
        <w:rPr>
          <w:rFonts w:ascii="Times New Roman" w:hAnsi="Times New Roman"/>
          <w:b/>
          <w:sz w:val="16"/>
        </w:rPr>
        <w:t xml:space="preserve">209 Church Street </w:t>
      </w:r>
    </w:p>
    <w:p>
      <w:pPr>
        <w:pStyle w:val="TextBody"/>
        <w:bidi w:val="0"/>
        <w:spacing w:before="0" w:after="0"/>
        <w:jc w:val="center"/>
        <w:rPr>
          <w:rFonts w:ascii="Times New Roman" w:hAnsi="Times New Roman"/>
          <w:b/>
          <w:sz w:val="16"/>
        </w:rPr>
      </w:pPr>
      <w:r>
        <w:rPr>
          <w:rFonts w:ascii="Times New Roman" w:hAnsi="Times New Roman"/>
          <w:b/>
          <w:sz w:val="16"/>
        </w:rPr>
        <w:t xml:space="preserve">New Haven, CT 06510 </w:t>
      </w:r>
    </w:p>
    <w:p>
      <w:pPr>
        <w:pStyle w:val="TextBody"/>
        <w:bidi w:val="0"/>
        <w:spacing w:before="0" w:after="0"/>
        <w:jc w:val="center"/>
        <w:rPr>
          <w:rFonts w:ascii="Times New Roman" w:hAnsi="Times New Roman"/>
          <w:b/>
          <w:sz w:val="16"/>
        </w:rPr>
      </w:pPr>
      <w:r>
        <w:rPr>
          <w:rFonts w:ascii="Times New Roman" w:hAnsi="Times New Roman"/>
          <w:b/>
          <w:sz w:val="16"/>
        </w:rPr>
        <w:t xml:space="preserve">(781) 819-0080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6"/>
        </w:rPr>
      </w:pPr>
      <w:r>
        <w:rPr>
          <w:rFonts w:ascii="Times New Roman" w:hAnsi="Times New Roman"/>
          <w:b/>
          <w:sz w:val="16"/>
        </w:rPr>
        <w:t xml:space="preserve">William Duke, Jr. </w:t>
      </w:r>
    </w:p>
    <w:p>
      <w:pPr>
        <w:pStyle w:val="TextBody"/>
        <w:bidi w:val="0"/>
        <w:spacing w:before="0" w:after="0"/>
        <w:jc w:val="center"/>
        <w:rPr>
          <w:rFonts w:ascii="Times New Roman" w:hAnsi="Times New Roman"/>
          <w:b/>
          <w:sz w:val="16"/>
        </w:rPr>
      </w:pPr>
      <w:r>
        <w:rPr>
          <w:rFonts w:ascii="Times New Roman" w:hAnsi="Times New Roman"/>
          <w:b/>
          <w:sz w:val="16"/>
        </w:rPr>
        <w:t xml:space="preserve">Chief Financial Officer </w:t>
      </w:r>
    </w:p>
    <w:p>
      <w:pPr>
        <w:pStyle w:val="TextBody"/>
        <w:bidi w:val="0"/>
        <w:spacing w:before="0" w:after="0"/>
        <w:jc w:val="center"/>
        <w:rPr>
          <w:rFonts w:ascii="Times New Roman" w:hAnsi="Times New Roman"/>
          <w:b/>
          <w:sz w:val="16"/>
        </w:rPr>
      </w:pPr>
      <w:r>
        <w:rPr>
          <w:rFonts w:ascii="Times New Roman" w:hAnsi="Times New Roman"/>
          <w:b/>
          <w:sz w:val="16"/>
        </w:rPr>
        <w:t xml:space="preserve">Invivyd, Inc. </w:t>
      </w:r>
    </w:p>
    <w:p>
      <w:pPr>
        <w:pStyle w:val="TextBody"/>
        <w:bidi w:val="0"/>
        <w:spacing w:before="0" w:after="0"/>
        <w:jc w:val="center"/>
        <w:rPr>
          <w:rFonts w:ascii="Times New Roman" w:hAnsi="Times New Roman"/>
          <w:b/>
          <w:sz w:val="16"/>
        </w:rPr>
      </w:pPr>
      <w:r>
        <w:rPr>
          <w:rFonts w:ascii="Times New Roman" w:hAnsi="Times New Roman"/>
          <w:b/>
          <w:sz w:val="16"/>
        </w:rPr>
        <w:t xml:space="preserve">209 Church Street </w:t>
      </w:r>
    </w:p>
    <w:p>
      <w:pPr>
        <w:pStyle w:val="TextBody"/>
        <w:bidi w:val="0"/>
        <w:spacing w:before="0" w:after="0"/>
        <w:jc w:val="center"/>
        <w:rPr>
          <w:rFonts w:ascii="Times New Roman" w:hAnsi="Times New Roman"/>
          <w:b/>
          <w:sz w:val="16"/>
        </w:rPr>
      </w:pPr>
      <w:r>
        <w:rPr>
          <w:rFonts w:ascii="Times New Roman" w:hAnsi="Times New Roman"/>
          <w:b/>
          <w:sz w:val="16"/>
        </w:rPr>
        <w:t xml:space="preserve">New Haven, CT 06510 </w:t>
      </w:r>
    </w:p>
    <w:p>
      <w:pPr>
        <w:pStyle w:val="TextBody"/>
        <w:bidi w:val="0"/>
        <w:spacing w:before="0" w:after="0"/>
        <w:jc w:val="center"/>
        <w:rPr>
          <w:rFonts w:ascii="Times New Roman" w:hAnsi="Times New Roman"/>
          <w:b/>
          <w:sz w:val="16"/>
        </w:rPr>
      </w:pPr>
      <w:r>
        <w:rPr>
          <w:rFonts w:ascii="Times New Roman" w:hAnsi="Times New Roman"/>
          <w:b/>
          <w:sz w:val="16"/>
        </w:rPr>
        <w:t xml:space="preserve">(781) 819-0080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16"/>
        </w:rPr>
      </w:pPr>
      <w:r>
        <w:rPr>
          <w:rFonts w:ascii="Times New Roman" w:hAnsi="Times New Roman"/>
          <w:b/>
          <w:i/>
          <w:sz w:val="16"/>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Steven J. Abrams, Esq.</w:t>
            </w:r>
          </w:p>
          <w:p>
            <w:pPr>
              <w:pStyle w:val="TableContents"/>
              <w:bidi w:val="0"/>
              <w:spacing w:before="0" w:after="0"/>
              <w:jc w:val="center"/>
              <w:rPr>
                <w:rFonts w:ascii="Times New Roman" w:hAnsi="Times New Roman"/>
                <w:b/>
                <w:sz w:val="16"/>
              </w:rPr>
            </w:pPr>
            <w:r>
              <w:rPr>
                <w:rFonts w:ascii="Times New Roman" w:hAnsi="Times New Roman"/>
                <w:b/>
                <w:sz w:val="16"/>
              </w:rPr>
              <w:t>Stephen M. Nicolai, Esq.</w:t>
            </w:r>
          </w:p>
          <w:p>
            <w:pPr>
              <w:pStyle w:val="TableContents"/>
              <w:bidi w:val="0"/>
              <w:spacing w:before="0" w:after="0"/>
              <w:jc w:val="center"/>
              <w:rPr>
                <w:rFonts w:ascii="Times New Roman" w:hAnsi="Times New Roman"/>
                <w:b/>
                <w:sz w:val="16"/>
              </w:rPr>
            </w:pPr>
            <w:r>
              <w:rPr>
                <w:rFonts w:ascii="Times New Roman" w:hAnsi="Times New Roman"/>
                <w:b/>
                <w:sz w:val="16"/>
              </w:rPr>
              <w:t>Hogan Lovells US LLP</w:t>
            </w:r>
          </w:p>
          <w:p>
            <w:pPr>
              <w:pStyle w:val="TableContents"/>
              <w:bidi w:val="0"/>
              <w:spacing w:before="0" w:after="0"/>
              <w:jc w:val="center"/>
              <w:rPr>
                <w:rFonts w:ascii="Times New Roman" w:hAnsi="Times New Roman"/>
                <w:b/>
                <w:sz w:val="16"/>
              </w:rPr>
            </w:pPr>
            <w:r>
              <w:rPr>
                <w:rFonts w:ascii="Times New Roman" w:hAnsi="Times New Roman"/>
                <w:b/>
                <w:sz w:val="16"/>
              </w:rPr>
              <w:t>1735 Market Street, 23rd Floor</w:t>
            </w:r>
          </w:p>
          <w:p>
            <w:pPr>
              <w:pStyle w:val="TableContents"/>
              <w:bidi w:val="0"/>
              <w:spacing w:before="0" w:after="0"/>
              <w:jc w:val="center"/>
              <w:rPr>
                <w:rFonts w:ascii="Times New Roman" w:hAnsi="Times New Roman"/>
                <w:b/>
                <w:sz w:val="16"/>
              </w:rPr>
            </w:pPr>
            <w:r>
              <w:rPr>
                <w:rFonts w:ascii="Times New Roman" w:hAnsi="Times New Roman"/>
                <w:b/>
                <w:sz w:val="16"/>
              </w:rPr>
              <w:t>Philadelphia, PA 19103</w:t>
            </w:r>
          </w:p>
          <w:p>
            <w:pPr>
              <w:pStyle w:val="TableContents"/>
              <w:bidi w:val="0"/>
              <w:spacing w:before="0" w:after="20"/>
              <w:jc w:val="center"/>
              <w:rPr>
                <w:rFonts w:ascii="Times New Roman" w:hAnsi="Times New Roman"/>
                <w:b/>
                <w:sz w:val="16"/>
              </w:rPr>
            </w:pPr>
            <w:r>
              <w:rPr>
                <w:rFonts w:ascii="Times New Roman" w:hAnsi="Times New Roman"/>
                <w:b/>
                <w:sz w:val="16"/>
              </w:rPr>
              <w:t>(267) 675-4600</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Jill Andersen</w:t>
            </w:r>
          </w:p>
          <w:p>
            <w:pPr>
              <w:pStyle w:val="TableContents"/>
              <w:bidi w:val="0"/>
              <w:spacing w:before="0" w:after="0"/>
              <w:jc w:val="center"/>
              <w:rPr>
                <w:rFonts w:ascii="Times New Roman" w:hAnsi="Times New Roman"/>
                <w:b/>
                <w:sz w:val="16"/>
              </w:rPr>
            </w:pPr>
            <w:r>
              <w:rPr>
                <w:rFonts w:ascii="Times New Roman" w:hAnsi="Times New Roman"/>
                <w:b/>
                <w:sz w:val="16"/>
              </w:rPr>
              <w:t>Chief Legal Officer and Corporate Secretary</w:t>
            </w:r>
          </w:p>
          <w:p>
            <w:pPr>
              <w:pStyle w:val="TableContents"/>
              <w:bidi w:val="0"/>
              <w:spacing w:before="0" w:after="0"/>
              <w:jc w:val="center"/>
              <w:rPr>
                <w:rFonts w:ascii="Times New Roman" w:hAnsi="Times New Roman"/>
                <w:b/>
                <w:sz w:val="16"/>
              </w:rPr>
            </w:pPr>
            <w:r>
              <w:rPr>
                <w:rFonts w:ascii="Times New Roman" w:hAnsi="Times New Roman"/>
                <w:b/>
                <w:sz w:val="16"/>
              </w:rPr>
              <w:t>Invivyd, Inc.</w:t>
            </w:r>
          </w:p>
          <w:p>
            <w:pPr>
              <w:pStyle w:val="TableContents"/>
              <w:bidi w:val="0"/>
              <w:spacing w:before="0" w:after="0"/>
              <w:jc w:val="center"/>
              <w:rPr>
                <w:rFonts w:ascii="Times New Roman" w:hAnsi="Times New Roman"/>
                <w:b/>
                <w:sz w:val="16"/>
              </w:rPr>
            </w:pPr>
            <w:r>
              <w:rPr>
                <w:rFonts w:ascii="Times New Roman" w:hAnsi="Times New Roman"/>
                <w:b/>
                <w:sz w:val="16"/>
              </w:rPr>
              <w:t>209 Church Street</w:t>
            </w:r>
          </w:p>
          <w:p>
            <w:pPr>
              <w:pStyle w:val="TableContents"/>
              <w:bidi w:val="0"/>
              <w:spacing w:before="0" w:after="0"/>
              <w:jc w:val="center"/>
              <w:rPr>
                <w:rFonts w:ascii="Times New Roman" w:hAnsi="Times New Roman"/>
                <w:b/>
                <w:sz w:val="16"/>
              </w:rPr>
            </w:pPr>
            <w:r>
              <w:rPr>
                <w:rFonts w:ascii="Times New Roman" w:hAnsi="Times New Roman"/>
                <w:b/>
                <w:sz w:val="16"/>
              </w:rPr>
              <w:t>New Haven, CT 06510</w:t>
            </w:r>
          </w:p>
          <w:p>
            <w:pPr>
              <w:pStyle w:val="TableContents"/>
              <w:bidi w:val="0"/>
              <w:spacing w:before="0" w:after="20"/>
              <w:jc w:val="center"/>
              <w:rPr>
                <w:rFonts w:ascii="Times New Roman" w:hAnsi="Times New Roman"/>
                <w:b/>
                <w:sz w:val="16"/>
              </w:rPr>
            </w:pPr>
            <w:r>
              <w:rPr>
                <w:rFonts w:ascii="Times New Roman" w:hAnsi="Times New Roman"/>
                <w:b/>
                <w:sz w:val="16"/>
              </w:rPr>
              <w:t>(781) 819-0080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b/>
          <w:sz w:val="16"/>
        </w:rPr>
      </w:pPr>
      <w:r>
        <w:rPr>
          <w:rFonts w:ascii="Times New Roman" w:hAnsi="Times New Roman"/>
          <w:b/>
          <w:sz w:val="16"/>
        </w:rPr>
        <w:t xml:space="preserve">Approximate date of commencement of proposed sale to the public: From time to time after the effective date of this Registration Statement. </w:t>
      </w:r>
    </w:p>
    <w:p>
      <w:pPr>
        <w:pStyle w:val="TextBody"/>
        <w:bidi w:val="0"/>
        <w:spacing w:before="12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75"/>
        <w:gridCol w:w="103"/>
        <w:gridCol w:w="4676"/>
        <w:gridCol w:w="130"/>
        <w:gridCol w:w="2758"/>
        <w:gridCol w:w="103"/>
        <w:gridCol w:w="260"/>
      </w:tblGrid>
      <w:tr>
        <w:trPr/>
        <w:tc>
          <w:tcPr>
            <w:tcW w:w="217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676"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175"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676"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758"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w:t>
            </w:r>
          </w:p>
        </w:tc>
      </w:tr>
      <w:tr>
        <w:trPr>
          <w:trHeight w:val="120" w:hRule="atLeast"/>
        </w:trPr>
        <w:tc>
          <w:tcPr>
            <w:tcW w:w="2175" w:type="dxa"/>
            <w:tcBorders/>
            <w:vAlign w:val="center"/>
          </w:tcPr>
          <w:p>
            <w:pPr>
              <w:pStyle w:val="TableContents"/>
              <w:bidi w:val="0"/>
              <w:spacing w:before="0" w:after="283"/>
              <w:jc w:val="left"/>
              <w:rPr>
                <w:sz w:val="4"/>
                <w:szCs w:val="4"/>
              </w:rPr>
            </w:pPr>
            <w:r>
              <w:rPr>
                <w:sz w:val="4"/>
                <w:szCs w:val="4"/>
              </w:rPr>
            </w:r>
          </w:p>
        </w:tc>
        <w:tc>
          <w:tcPr>
            <w:tcW w:w="4779" w:type="dxa"/>
            <w:gridSpan w:val="2"/>
            <w:tcBorders/>
            <w:vAlign w:val="center"/>
          </w:tcPr>
          <w:p>
            <w:pPr>
              <w:pStyle w:val="TableContents"/>
              <w:bidi w:val="0"/>
              <w:spacing w:before="0" w:after="283"/>
              <w:jc w:val="left"/>
              <w:rPr>
                <w:sz w:val="4"/>
                <w:szCs w:val="4"/>
              </w:rPr>
            </w:pPr>
            <w:r>
              <w:rPr>
                <w:sz w:val="4"/>
                <w:szCs w:val="4"/>
              </w:rPr>
            </w:r>
          </w:p>
        </w:tc>
        <w:tc>
          <w:tcPr>
            <w:tcW w:w="2888" w:type="dxa"/>
            <w:gridSpan w:val="2"/>
            <w:tcBorders/>
            <w:vAlign w:val="center"/>
          </w:tcPr>
          <w:p>
            <w:pPr>
              <w:pStyle w:val="TableContents"/>
              <w:bidi w:val="0"/>
              <w:spacing w:before="0" w:after="283"/>
              <w:jc w:val="left"/>
              <w:rPr>
                <w:sz w:val="4"/>
                <w:szCs w:val="4"/>
              </w:rPr>
            </w:pPr>
            <w:r>
              <w:rPr>
                <w:sz w:val="4"/>
                <w:szCs w:val="4"/>
              </w:rPr>
            </w:r>
          </w:p>
        </w:tc>
        <w:tc>
          <w:tcPr>
            <w:tcW w:w="363" w:type="dxa"/>
            <w:gridSpan w:val="2"/>
            <w:tcBorders/>
            <w:vAlign w:val="center"/>
          </w:tcPr>
          <w:p>
            <w:pPr>
              <w:pStyle w:val="TableContents"/>
              <w:bidi w:val="0"/>
              <w:spacing w:before="0" w:after="283"/>
              <w:jc w:val="left"/>
              <w:rPr>
                <w:sz w:val="4"/>
                <w:szCs w:val="4"/>
              </w:rPr>
            </w:pPr>
            <w:r>
              <w:rPr>
                <w:sz w:val="4"/>
                <w:szCs w:val="4"/>
              </w:rPr>
            </w:r>
          </w:p>
        </w:tc>
      </w:tr>
      <w:tr>
        <w:trPr/>
        <w:tc>
          <w:tcPr>
            <w:tcW w:w="2175"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676"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758"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w:t>
            </w:r>
          </w:p>
        </w:tc>
      </w:tr>
      <w:tr>
        <w:trPr>
          <w:trHeight w:val="120" w:hRule="atLeast"/>
        </w:trPr>
        <w:tc>
          <w:tcPr>
            <w:tcW w:w="2175" w:type="dxa"/>
            <w:tcBorders/>
            <w:vAlign w:val="center"/>
          </w:tcPr>
          <w:p>
            <w:pPr>
              <w:pStyle w:val="TableContents"/>
              <w:bidi w:val="0"/>
              <w:spacing w:before="0" w:after="283"/>
              <w:jc w:val="left"/>
              <w:rPr>
                <w:sz w:val="4"/>
                <w:szCs w:val="4"/>
              </w:rPr>
            </w:pPr>
            <w:r>
              <w:rPr>
                <w:sz w:val="4"/>
                <w:szCs w:val="4"/>
              </w:rPr>
            </w:r>
          </w:p>
        </w:tc>
        <w:tc>
          <w:tcPr>
            <w:tcW w:w="4779" w:type="dxa"/>
            <w:gridSpan w:val="2"/>
            <w:tcBorders/>
            <w:vAlign w:val="center"/>
          </w:tcPr>
          <w:p>
            <w:pPr>
              <w:pStyle w:val="TableContents"/>
              <w:bidi w:val="0"/>
              <w:spacing w:before="0" w:after="283"/>
              <w:jc w:val="left"/>
              <w:rPr>
                <w:sz w:val="4"/>
                <w:szCs w:val="4"/>
              </w:rPr>
            </w:pPr>
            <w:r>
              <w:rPr>
                <w:sz w:val="4"/>
                <w:szCs w:val="4"/>
              </w:rPr>
            </w:r>
          </w:p>
        </w:tc>
        <w:tc>
          <w:tcPr>
            <w:tcW w:w="2888" w:type="dxa"/>
            <w:gridSpan w:val="2"/>
            <w:tcBorders/>
            <w:vAlign w:val="center"/>
          </w:tcPr>
          <w:p>
            <w:pPr>
              <w:pStyle w:val="TableContents"/>
              <w:bidi w:val="0"/>
              <w:spacing w:before="0" w:after="283"/>
              <w:jc w:val="left"/>
              <w:rPr>
                <w:sz w:val="4"/>
                <w:szCs w:val="4"/>
              </w:rPr>
            </w:pPr>
            <w:r>
              <w:rPr>
                <w:sz w:val="4"/>
                <w:szCs w:val="4"/>
              </w:rPr>
            </w:r>
          </w:p>
        </w:tc>
        <w:tc>
          <w:tcPr>
            <w:tcW w:w="363" w:type="dxa"/>
            <w:gridSpan w:val="2"/>
            <w:tcBorders/>
            <w:vAlign w:val="center"/>
          </w:tcPr>
          <w:p>
            <w:pPr>
              <w:pStyle w:val="TableContents"/>
              <w:bidi w:val="0"/>
              <w:spacing w:before="0" w:after="283"/>
              <w:jc w:val="left"/>
              <w:rPr>
                <w:sz w:val="4"/>
                <w:szCs w:val="4"/>
              </w:rPr>
            </w:pPr>
            <w:r>
              <w:rPr>
                <w:sz w:val="4"/>
                <w:szCs w:val="4"/>
              </w:rPr>
            </w:r>
          </w:p>
        </w:tc>
      </w:tr>
      <w:tr>
        <w:trPr/>
        <w:tc>
          <w:tcPr>
            <w:tcW w:w="217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676"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758"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is a new registration statement being filed pursuant to Rule 415(a)(6) under the Securities Act of 1933, as amended, or the Securities Act, with respect to $297,379,054.80 of securities which remain unsold by the registrant, or the Unsold Securities, under the registration statement on Form S-3 (File No. 333-267643), which was declared effective on October 5, 2022, or the Prior Registration Statement. Filing fees of $27,567.03 were previously paid with respect to the Unsold Securities (calculated at the filing fee rate in effect at the time of the filing of the Prior Registration Statement). Pursuant to Rule 415(a)(5)(ii) under the Securities Act, by filing this registration statement, the registrant may issue and sell securities under the Prior Registration Statement until the earlier of (i) the effective date of this registration statement and (ii) April 3, 2026, which is 180 days after the third anniversary of the initial effective date of the Prior Registration Statement, the earlier being the Expiration Date. Until the Expiration Date, the registrant may continue to use the Prior Registration Statement and related prospectus supplement for its offerings thereunder. All offers and sales by the registrant under the Prior Registration Statement will be deemed terminated on the Expiration Date, except to the extent covered by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contains two prospectuses: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base prospectus, which covers the offering, issuance and sale by the registrant of up to a maximum aggregate offering price of $350,000,000 of the registrant’s common stock, preferred stock, warrants, debt securities and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an “at the market offering” sales agreement prospectus supplement covering the offering, issuance and sale by the registrant of up to a maximum aggregate offering price of $75,000,000 of the registrant’s common stock that may be issued and sold from time to time under that certain Controlled Equity OfferingSM Sales Agreement, dated as of December 22, 2023, or the Sales Agreement, with Cantor Fitzgerald &amp; Co., as sales agent.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base prospectus immediately follows this explanatory note. The specific terms of any securities to be offered pursuant to the base prospectus, other than the shares under the Sales Agreement, will be specified in a prospectus supplement to the base prospectus. The “at the market offering” prospectus supplement immediately follows the base prospectus. The common stock that may be offered, issued and sold by the registrant under the “at the market offering” prospectus supplement is included in the $350,000,000 of securities that may be offered, issued and sold by the registrant under the base prospectus. Upon any termination of the offering under the Sales Agreement, any portion of the $75,000,000 included in the “at the market offering” prospectus supplement that has not been sold pursuant to the Sales Agreement will become available for sale in other offerings pursuant to the base prospectus and a corresponding prospectus supplement, and if no shares of common stock are sold under the Sales Agreement, the full $75,000,000 of securities may be sold in other offerings pursuant to the base prospectus and a corresponding prospectus supplement.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FF4338"/>
          <w:sz w:val="20"/>
        </w:rPr>
      </w:pPr>
      <w:r>
        <w:rPr>
          <w:rFonts w:ascii="ARIAL" w:hAnsi="ARIAL"/>
          <w:b/>
          <w:color w:val="FF4338"/>
          <w:sz w:val="20"/>
        </w:rPr>
        <w:t xml:space="preserve">The information contained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such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16"/>
        </w:rPr>
      </w:pPr>
      <w:r>
        <w:rPr>
          <w:rFonts w:ascii="Times New Roman" w:hAnsi="Times New Roman"/>
          <w:b/>
          <w:color w:val="FF4338"/>
          <w:sz w:val="16"/>
        </w:rPr>
        <w:t xml:space="preserve">SUBJECT TO COMPLETION, DATED OCTOBER 2, 2025 </w:t>
      </w:r>
    </w:p>
    <w:p>
      <w:pPr>
        <w:pStyle w:val="TextBody"/>
        <w:bidi w:val="0"/>
        <w:spacing w:before="120" w:after="0"/>
        <w:ind w:left="960" w:right="960" w:hanging="0"/>
        <w:jc w:val="left"/>
        <w:rPr>
          <w:rFonts w:ascii="Times New Roman" w:hAnsi="Times New Roman"/>
          <w:b/>
          <w:sz w:val="16"/>
        </w:rPr>
      </w:pPr>
      <w:r>
        <w:rPr>
          <w:rFonts w:ascii="Times New Roman" w:hAnsi="Times New Roman"/>
          <w:b/>
          <w:sz w:val="16"/>
        </w:rPr>
        <w:t xml:space="preserve">PROSPECTUS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859405" cy="4324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9405" cy="432435"/>
                    </a:xfrm>
                    <a:prstGeom prst="rect">
                      <a:avLst/>
                    </a:prstGeom>
                  </pic:spPr>
                </pic:pic>
              </a:graphicData>
            </a:graphic>
          </wp:inline>
        </w:drawing>
      </w:r>
      <w:r>
        <w:rPr/>
        <w:t xml:space="preserve"> </w:t>
      </w:r>
    </w:p>
    <w:p>
      <w:pPr>
        <w:pStyle w:val="TextBody"/>
        <w:bidi w:val="0"/>
        <w:spacing w:before="120" w:after="0"/>
        <w:ind w:left="960" w:right="960" w:hanging="0"/>
        <w:jc w:val="center"/>
        <w:rPr>
          <w:rFonts w:ascii="Times New Roman" w:hAnsi="Times New Roman"/>
          <w:b/>
          <w:sz w:val="32"/>
        </w:rPr>
      </w:pPr>
      <w:r>
        <w:rPr>
          <w:rFonts w:ascii="Times New Roman" w:hAnsi="Times New Roman"/>
          <w:b/>
          <w:sz w:val="32"/>
        </w:rPr>
        <w:t xml:space="preserve">$350,000,000 </w:t>
      </w:r>
    </w:p>
    <w:p>
      <w:pPr>
        <w:pStyle w:val="TextBody"/>
        <w:bidi w:val="0"/>
        <w:spacing w:before="120" w:after="0"/>
        <w:ind w:left="960" w:right="960" w:hanging="0"/>
        <w:jc w:val="center"/>
        <w:rPr>
          <w:rFonts w:ascii="Times New Roman" w:hAnsi="Times New Roman"/>
          <w:b/>
          <w:sz w:val="24"/>
        </w:rPr>
      </w:pPr>
      <w:r>
        <w:rPr>
          <w:rFonts w:ascii="Times New Roman" w:hAnsi="Times New Roman"/>
          <w:b/>
          <w:sz w:val="24"/>
        </w:rPr>
        <w:t xml:space="preserve">Common Stock </w:t>
      </w:r>
    </w:p>
    <w:p>
      <w:pPr>
        <w:pStyle w:val="TextBody"/>
        <w:bidi w:val="0"/>
        <w:spacing w:before="0" w:after="0"/>
        <w:ind w:left="960" w:right="960" w:hanging="0"/>
        <w:jc w:val="center"/>
        <w:rPr>
          <w:rFonts w:ascii="Times New Roman" w:hAnsi="Times New Roman"/>
          <w:b/>
          <w:sz w:val="24"/>
        </w:rPr>
      </w:pPr>
      <w:r>
        <w:rPr>
          <w:rFonts w:ascii="Times New Roman" w:hAnsi="Times New Roman"/>
          <w:b/>
          <w:sz w:val="24"/>
        </w:rPr>
        <w:t xml:space="preserve">Preferred Stock </w:t>
      </w:r>
    </w:p>
    <w:p>
      <w:pPr>
        <w:pStyle w:val="TextBody"/>
        <w:bidi w:val="0"/>
        <w:spacing w:before="0" w:after="0"/>
        <w:ind w:left="960" w:right="960" w:hanging="0"/>
        <w:jc w:val="center"/>
        <w:rPr>
          <w:rFonts w:ascii="Times New Roman" w:hAnsi="Times New Roman"/>
          <w:b/>
          <w:sz w:val="24"/>
        </w:rPr>
      </w:pPr>
      <w:r>
        <w:rPr>
          <w:rFonts w:ascii="Times New Roman" w:hAnsi="Times New Roman"/>
          <w:b/>
          <w:sz w:val="24"/>
        </w:rPr>
        <w:t xml:space="preserve">Warrants </w:t>
      </w:r>
    </w:p>
    <w:p>
      <w:pPr>
        <w:pStyle w:val="TextBody"/>
        <w:bidi w:val="0"/>
        <w:spacing w:before="0" w:after="0"/>
        <w:ind w:left="960" w:right="960" w:hanging="0"/>
        <w:jc w:val="center"/>
        <w:rPr>
          <w:rFonts w:ascii="Times New Roman" w:hAnsi="Times New Roman"/>
          <w:b/>
          <w:sz w:val="24"/>
        </w:rPr>
      </w:pPr>
      <w:r>
        <w:rPr>
          <w:rFonts w:ascii="Times New Roman" w:hAnsi="Times New Roman"/>
          <w:b/>
          <w:sz w:val="24"/>
        </w:rPr>
        <w:t xml:space="preserve">Debt Securities </w:t>
      </w:r>
    </w:p>
    <w:p>
      <w:pPr>
        <w:pStyle w:val="TextBody"/>
        <w:bidi w:val="0"/>
        <w:spacing w:before="0" w:after="0"/>
        <w:ind w:left="960" w:right="960" w:hanging="0"/>
        <w:jc w:val="center"/>
        <w:rPr>
          <w:rFonts w:ascii="Times New Roman" w:hAnsi="Times New Roman"/>
          <w:b/>
          <w:sz w:val="24"/>
        </w:rPr>
      </w:pPr>
      <w:r>
        <w:rPr>
          <w:rFonts w:ascii="Times New Roman" w:hAnsi="Times New Roman"/>
          <w:b/>
          <w:sz w:val="24"/>
        </w:rPr>
        <w:t xml:space="preserve">Units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We may offer to the public from time to time in one or more series or issuances and on terms that we will determine at the time of the offering: </w:t>
      </w:r>
    </w:p>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407"/>
        <w:gridCol w:w="203"/>
        <w:gridCol w:w="101"/>
        <w:gridCol w:w="9494"/>
      </w:tblGrid>
      <w:tr>
        <w:trPr/>
        <w:tc>
          <w:tcPr>
            <w:tcW w:w="40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shares of our common stock; </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407"/>
        <w:gridCol w:w="203"/>
        <w:gridCol w:w="102"/>
        <w:gridCol w:w="9493"/>
      </w:tblGrid>
      <w:tr>
        <w:trPr/>
        <w:tc>
          <w:tcPr>
            <w:tcW w:w="40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shares of our preferred stock; </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408"/>
        <w:gridCol w:w="204"/>
        <w:gridCol w:w="102"/>
        <w:gridCol w:w="9491"/>
      </w:tblGrid>
      <w:tr>
        <w:trPr/>
        <w:tc>
          <w:tcPr>
            <w:tcW w:w="40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1"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warrants to purchase shares of our common stock, preferred stock and/or debt securities; </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407"/>
        <w:gridCol w:w="203"/>
        <w:gridCol w:w="101"/>
        <w:gridCol w:w="9494"/>
      </w:tblGrid>
      <w:tr>
        <w:trPr/>
        <w:tc>
          <w:tcPr>
            <w:tcW w:w="40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debt securities consisting of debentures, notes or other evidences of indebtedness; </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408"/>
        <w:gridCol w:w="203"/>
        <w:gridCol w:w="101"/>
        <w:gridCol w:w="9493"/>
      </w:tblGrid>
      <w:tr>
        <w:trPr/>
        <w:tc>
          <w:tcPr>
            <w:tcW w:w="40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units consisting of a combination of the foregoing securities; or </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408"/>
        <w:gridCol w:w="203"/>
        <w:gridCol w:w="101"/>
        <w:gridCol w:w="9493"/>
      </w:tblGrid>
      <w:tr>
        <w:trPr/>
        <w:tc>
          <w:tcPr>
            <w:tcW w:w="40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any combination of these securities. </w:t>
            </w:r>
          </w:p>
        </w:tc>
      </w:tr>
    </w:tbl>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The aggregate initial offering price of all securities sold by us pursuant to this prospectus will not exceed $350,000,000.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This prospectus provides a general description of the securities that we may offer. Each time that we offer securities under this prospectus, we will provide the specific terms of the securities offered, including the public offering price, in a supplement to this prospectus. Any prospectus supplement may add to, update or change information contained or incorporated by reference in this prospectus.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The securities may be sold by us to or through underwriters or dealers, directly to purchasers or through agents designated from time to time. For additional information on the methods of sale, you should refer to the section entitled “Plan of Distribution” in this prospectus and the comparable section of any applicable prospectus supplement. If any underwriters are involved in the sale of the securities with respect to which this prospectus is being delivered, the names of such underwriters and any applicable discounts, commissions and purchase options will be set forth in the applicable prospectus supplement.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Our common stock trades on The Nasdaq Global Market under the ticker symbol “IVVD”. On September 30, 2025, the last reported sale price per share of our common stock was $1.10. We have not yet determined whether the other securities that may be offered by this prospectus will be listed on any exchange, interdealer quotation system or over-the-counter market. If we decide to seek the listing of any such securities upon issuance, the prospectus supplement relating to those securities will disclose the exchange, quotation system or market on which those securities will be listed.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We are (i) an “emerging growth company” as defined by the Jumpstart Our Business Startups Act of 2012, or the JOBS Act, and (ii) a “smaller reporting company” as defined by the Securities Exchange Act of 1934, as amended, or the Exchange Act, and, as such, we are subject to reduced public company reporting requirements for this prospectus and future filings. Refer to the section entitled “Implications of Being an Emerging Growth Company and a Smaller Reporting Company” beginning on page 5 of this prospectus for more information.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pPr>
      <w:r>
        <w:rPr>
          <w:rFonts w:ascii="Times New Roman" w:hAnsi="Times New Roman"/>
          <w:b/>
          <w:sz w:val="20"/>
        </w:rPr>
        <w:t>INVESTING IN OUR SECURITIES INVOLVES A HIGH DEGREE OF RISK. RISKS ASSOCIATED WITH AN INVESTMENT IN OUR SECURITIES WILL BE DESCRIBED IN THE APPLICABLE PROSPECTUS SUPPLEMENT AND CERTAIN OF OUR FILINGS WITH THE SECURITIES AND EXCHANGE COMMISSION INCORPORATED BY REFERENCE INTO THIS PROSPECTUS, AS DESCRIBED UNDER “</w:t>
      </w:r>
      <w:hyperlink w:anchor="txa28850_5">
        <w:r>
          <w:rPr>
            <w:rStyle w:val="InternetLink"/>
            <w:rFonts w:ascii="Times New Roman" w:hAnsi="Times New Roman"/>
            <w:b/>
            <w:sz w:val="20"/>
          </w:rPr>
          <w:t>RISK FACTORS</w:t>
        </w:r>
      </w:hyperlink>
      <w:r>
        <w:rPr>
          <w:rFonts w:ascii="Times New Roman" w:hAnsi="Times New Roman"/>
          <w:b/>
          <w:sz w:val="20"/>
        </w:rPr>
        <w:t xml:space="preserve">” ON PAGE 7. </w:t>
      </w:r>
    </w:p>
    <w:p>
      <w:pPr>
        <w:pStyle w:val="TextBody"/>
        <w:bidi w:val="0"/>
        <w:spacing w:before="120" w:after="0"/>
        <w:ind w:left="960" w:right="960" w:hanging="0"/>
        <w:jc w:val="left"/>
        <w:rPr>
          <w:rFonts w:ascii="Times New Roman" w:hAnsi="Times New Roman"/>
          <w:b/>
          <w:sz w:val="16"/>
        </w:rPr>
      </w:pPr>
      <w:r>
        <w:rPr>
          <w:rFonts w:ascii="Times New Roman" w:hAnsi="Times New Roman"/>
          <w:b/>
          <w:sz w:val="16"/>
        </w:rPr>
        <w:t xml:space="preserve">You should read this prospectus and any applicable prospectus supplement together with additional information described under the heading “Where You Can Find More Information” before you make your investment decision. </w:t>
      </w:r>
    </w:p>
    <w:p>
      <w:pPr>
        <w:pStyle w:val="TextBody"/>
        <w:bidi w:val="0"/>
        <w:spacing w:before="120" w:after="0"/>
        <w:ind w:left="960" w:right="960" w:hanging="0"/>
        <w:jc w:val="left"/>
        <w:rPr>
          <w:rFonts w:ascii="Times New Roman" w:hAnsi="Times New Roman"/>
          <w:b/>
          <w:sz w:val="16"/>
        </w:rPr>
      </w:pPr>
      <w:r>
        <w:rPr>
          <w:rFonts w:ascii="Times New Roman" w:hAnsi="Times New Roman"/>
          <w:b/>
          <w:sz w:val="16"/>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center"/>
        <w:rPr>
          <w:rFonts w:ascii="Times New Roman" w:hAnsi="Times New Roman"/>
          <w:b/>
          <w:sz w:val="16"/>
        </w:rPr>
      </w:pPr>
      <w:r>
        <w:rPr>
          <w:rFonts w:ascii="Times New Roman" w:hAnsi="Times New Roman"/>
          <w:b/>
          <w:sz w:val="16"/>
        </w:rPr>
        <w:t xml:space="preserve">The date of this prospectus is     , 2025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bookmarkStart w:id="2" w:name="toc"/>
      <w:bookmarkEnd w:id="2"/>
      <w:r>
        <w:rPr>
          <w:rFonts w:ascii="Times New Roman" w:hAnsi="Times New Roman"/>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a28850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a28850_2">
              <w:r>
                <w:rPr>
                  <w:rStyle w:val="InternetLink"/>
                  <w:rFonts w:ascii="Times New Roman" w:hAnsi="Times New Roman"/>
                  <w:sz w:val="20"/>
                </w:rPr>
                <w:t>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a28850_3">
              <w:r>
                <w:rPr>
                  <w:rStyle w:val="InternetLink"/>
                  <w:rFonts w:ascii="Times New Roman" w:hAnsi="Times New Roman"/>
                  <w:sz w:val="20"/>
                </w:rPr>
                <w:t>MARKET, INDUSTRY AND OTHER DATA</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a28850_4">
              <w:r>
                <w:rPr>
                  <w:rStyle w:val="InternetLink"/>
                  <w:rFonts w:ascii="Times New Roman" w:hAnsi="Times New Roman"/>
                  <w:sz w:val="20"/>
                </w:rPr>
                <w:t>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a28850_5">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a28850_6">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a28850_7">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a28850_8">
              <w:r>
                <w:rPr>
                  <w:rStyle w:val="InternetLink"/>
                  <w:rFonts w:ascii="Times New Roman" w:hAnsi="Times New Roman"/>
                  <w:sz w:val="20"/>
                </w:rPr>
                <w:t>GENERAL DESCRIPTION OF OUR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a28850_9">
              <w:r>
                <w:rPr>
                  <w:rStyle w:val="InternetLink"/>
                  <w:rFonts w:ascii="Times New Roman" w:hAnsi="Times New Roman"/>
                  <w:sz w:val="20"/>
                </w:rPr>
                <w:t>DESCRIPTION OF OUR COMMON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a28850_10">
              <w:r>
                <w:rPr>
                  <w:rStyle w:val="InternetLink"/>
                  <w:rFonts w:ascii="Times New Roman" w:hAnsi="Times New Roman"/>
                  <w:sz w:val="20"/>
                </w:rPr>
                <w:t>DESCRIPTION OF OUR PREFERRED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a28850_11">
              <w:r>
                <w:rPr>
                  <w:rStyle w:val="InternetLink"/>
                  <w:rFonts w:ascii="Times New Roman" w:hAnsi="Times New Roman"/>
                  <w:sz w:val="20"/>
                </w:rPr>
                <w:t>DESCRIPTION OF OUR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a28850_12">
              <w:r>
                <w:rPr>
                  <w:rStyle w:val="InternetLink"/>
                  <w:rFonts w:ascii="Times New Roman" w:hAnsi="Times New Roman"/>
                  <w:sz w:val="20"/>
                </w:rPr>
                <w:t>DESCRIPTION OF OUR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a28850_13">
              <w:r>
                <w:rPr>
                  <w:rStyle w:val="InternetLink"/>
                  <w:rFonts w:ascii="Times New Roman" w:hAnsi="Times New Roman"/>
                  <w:sz w:val="20"/>
                </w:rPr>
                <w:t>DESCRIPTION OF OUR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a28850_14">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a28850_15">
              <w:r>
                <w:rPr>
                  <w:rStyle w:val="InternetLink"/>
                  <w:rFonts w:ascii="Times New Roman" w:hAnsi="Times New Roman"/>
                  <w:sz w:val="20"/>
                </w:rPr>
                <w:t>INCORPORATION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a28850_16">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a28850_17">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a28850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a part of a registration statement on Form S-3 that we filed with the Securities and Exchange Commission, or the SEC, using a “shelf” registration process. Under this shelf registration process, we may offer to sell any of the securities, or any combination of the securities, described in this prospectus, in each case in one or more offerings, up to a total dollar amount of $350,000,000.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only with a general description of the securities that we may offer. Each time securities are sold under this shelf registration statement, we will provide an accompanying prospectus supplement that will contain specific information about the terms of those securities and the terms of that offering. The accompanying prospectus supplement may also add, update or change information contained in this prospectus. If there is any inconsistency between the information in this prospectus and any accompanying prospectus supplement, you should rely on the information in the accompanying prospectus supplement. You should read both this prospectus and any accompanying prospectus supplement, including all documents incorporated by reference herein and therein, together with the additional information described under “Where You Can Find More Information” below.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prospectus is not complete and may be changed. You should rely only on the information provided in or incorporated by reference in this prospectus or in any accompanying prospectus supplement, or documents to which we otherwise refer you. We have not authorized anyone else to provide you with different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We have not authorized any dealer, agent or other person to give any information or to make any representation other than those contained or incorporated by reference in this prospectus and any accompanying prospectus supplement. You must not rely upon any information or representation not contained or incorporated by reference in this prospectus or an accompanying prospectus supplement. This prospectus and the accompanying prospectus supplement, if any, do not constitute an offer to sell or the solicitation of an offer to buy any securities other than the registered securities to which they relate, nor do this prospectus and the accompanying prospectus supplement, if any, constitute an offer to sell or the solicitation of an offer to buy securities in any jurisdiction to any person to whom it is unlawful to make such offer or solicitation in such jurisdiction. You should not assume that the information contained in this prospectus and the accompanying prospectus supplement, if any, is accurate on any date subsequent to the date set forth on the front of such document or that any information we have incorporated by reference is correct on any date subsequent to the date of the document incorporated by reference, even though this prospectus and any accompanying prospectus supplement is delivered or securities are sold on a later date. </w:t>
      </w:r>
    </w:p>
    <w:p>
      <w:pPr>
        <w:pStyle w:val="TextBody"/>
        <w:bidi w:val="0"/>
        <w:spacing w:before="240" w:after="0"/>
        <w:jc w:val="left"/>
        <w:rPr>
          <w:rFonts w:ascii="Times New Roman" w:hAnsi="Times New Roman"/>
          <w:sz w:val="20"/>
        </w:rPr>
      </w:pPr>
      <w:r>
        <w:rPr>
          <w:rFonts w:ascii="Times New Roman" w:hAnsi="Times New Roman"/>
          <w:sz w:val="20"/>
        </w:rPr>
        <w:t xml:space="preserve">References in this prospectus to the terms “the Company,” “Invivyd,” “we,” “our” and “us” or other similar terms mean Invivyd, Inc. and our wholly-owned subsidiaries, unless we state otherwise or the context indicates otherwise. </w:t>
      </w:r>
    </w:p>
    <w:p>
      <w:pPr>
        <w:pStyle w:val="TextBody"/>
        <w:bidi w:val="0"/>
        <w:spacing w:before="240" w:after="0"/>
        <w:jc w:val="left"/>
        <w:rPr/>
      </w:pPr>
      <w:r>
        <w:rPr/>
        <w:t>“</w:t>
      </w:r>
      <w:r>
        <w:rPr>
          <w:rFonts w:ascii="Times New Roman" w:hAnsi="Times New Roman"/>
          <w:sz w:val="20"/>
        </w:rPr>
        <w:t xml:space="preserve">Invivyd,” “PEMGARDA,” “INVYMAB” as well as logos and certain stylized versions of these word marks are registered trademarks of Invivyd, Inc.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a28850_2"/>
      <w:bookmarkEnd w:id="4"/>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herein contain, and any prospectus supplement and the documents incorporated therein may contain, forward-looking statements that involve substantial risks and uncertainties. All statements, other than statements of historical facts, included in this prospectus, any prospectus supplement or the documents incorporated herein and therein by reference, including statements regarding our future financial condition, results of operations, business strategy and plans and objectives of management for future operations, industry trends and other future events, are forward-looking statements. In some cases, you can identify forward-looking statements by terminology such as “may,” “anticipate,” “believe,” “could,” “expect,” “intends,” “might,” “plan,” “possible,” “potential,” “aim,” “predict,” “project” “should,” “will,” “would” or the negative of these terms or other similar expressions, although not all forward-looking statements contain these identifying terms. The forward-looking statements in this prospectus and the documents incorporated herein by reference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related to the commercialization of PEMGARDA® (pemivibart), which received emergency use authorization, or EUA, from the U.S. Food and Drug Administration, or the FDA, in March 2024, including our expectations about the potential market opportunity;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 of PEMGARDA to keep pace with SARS-CoV-2 viral evolution;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VYD2311, our next generation monoclonal antibody, or mAb, candidate for COVID-19, and the potential of VYD2311 to offer the ability to deliver clinically meaningful titer levels through more system- and patient-friendly means;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availability of a rapid pathway to potential Biologics License Application, or BLA, approval for VYD2311 for the prevention of COVID-19 and the compact pivotal clinical trial that could support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timing, design, progress and results of preclinical studies and clinical trials of our product candidates, including statements regarding initiation or completion of studies or trials and related preparatory work, the period during which results of any studies or trials will become available, and potential regulatory submissions;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devotion to delivering protection from serious viral infectious diseases, and our aim to develop mAbs that could be used in prevention or treatment of serious viral diseases, starting with COVID-19 and potentially expanding into other high-need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discovery efforts to assess pipeline expansion beyond SARS-CoV-2, including potential targets such as respiratory syncytial virus and measles;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goal of establishing streamlined development pathways to efficiently introduce new mAb candidates targeting SARS-CoV-2;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regulatory pathway for our product candidates, the anticipated timing of any submission of filings for regulatory authorization or approval of, and our ability to obtain and maintain regulatory authorizations or approvals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regarding SARS-CoV-2 variant monitoring of antiviral activity as part of our ongoing industrial virology effort;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size of the patient populations, market acceptance and opportunity for and clinical utility of our product candidates, if authorized or approved for commercial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manufacturing capabilities and strategy, and our expectations regarding supply and demand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commercialize our product candidates, if authorized or approved, including our distribution capabilities and strategy;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and develop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SPEAR (Spike Protein Elimination and Recovery) Study Group, including its anticipated focus, goals and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our expenses, ongoing losses, future potential revenue, capital requirements and our need for or ability to obtain additional funding;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ability to continue as a going concern;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position and the development of and projections relating to our competitors or our industry;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intended use of proceeds.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cannot guarantee that the results and other expectations expressed, anticipated or implied in any forward-looking statement will be realized. The risks set forth under Item 1A of our Annual Report on Form 10-K for the fiscal year ended December 31, 2024, as revised or supplemented by our Quarterly Reports on Form 10-Q and other documents we file with the SEC, describe material risks to our business, and you should read and interpret any forward-looking statements together with these risks.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any prospectus supplement and the documents that we incorporate by reference herein and therein completely and with the understanding that our actual future results may be materially different from what we expect. The forward-looking statements contained in this prospectus are made as of the date of this prospectus and we do not assume any obligation to update any forward-looking statements, whether as a result of new information, future events or otherwise, except as required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a28850_3"/>
      <w:bookmarkEnd w:id="5"/>
      <w:r>
        <w:rPr>
          <w:rFonts w:ascii="Times New Roman" w:hAnsi="Times New Roman"/>
          <w:b/>
          <w:sz w:val="20"/>
        </w:rPr>
        <w:t xml:space="preserve">MARKET, INDUSTRY AND OTHER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applicable prospectus supplement and the documents incorporated by reference herein and therein contain estimates, projections, market research and other information concerning, among other things, our industry, our business, and markets for our product candidates. Unless otherwise expressly stated, we obtain this information from reports, research surveys, studies and similar data prepared by market research firms and other third parties, industry, medical and general publications, government data and similar sources as well as from our own internal estimates and research and from publications, research, surveys and studies conducted by third parties on our behalf. Information that is based on estimates, projections, market research or similar methodologies is inherently subject to uncertainties and actual events or circumstances may differ materially from events and circumstances that are reflected in this information. As a result, you are cautioned not to give undue weight to such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txa28850_4"/>
      <w:bookmarkEnd w:id="6"/>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biopharmaceutical company devoted to delivering protection from serious viral infectious diseases, beginning with SARS-CoV-2. PEMGARDA® (pemivibart) is our first mAb to receive regulatory authorization and was designed to keep pace with SARS-CoV-2 viral evolution.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March 22, 2024, we received an EUA from the FDA for PEMGARDA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January 2024, we nominated VYD2311, a next generation mAb candidate for COVID-19, as a drug candidate, and in September 2024, we announced dosing of the first participants in a Phase 1/2 clinical trial of VYD2311. VYD2311 is a mAb with high in vitro neutralization potency shown against prominent SARS-CoV-2 variants tested to date. The Phase 1/2 randomized, blinded, placebo-controlled clinical trial evaluated escalating dosing as well as safety, tolerability, pharmacokinetics and immunogenicity of VYD2311 in healthy trial participants. The Phase 1/2 clinical trial was conducted in Australia and evaluated multiple dose levels of VYD2311 through various routes of administration, including exploration of intramuscular administration and subcutaneous administration, which are designed to be more system- and patient-friendly than intravenous administration. In June 2025, we announced positive full Phase 1/2 clinical data for VYD2311 for both safety and pharmacokinetics. In August 2025, we announced alignment with advice from the FDA on a compact and, therefore, rapid pathway to potential BLA approval for VYD2311 for the prevention of COVID-19. As part of a recent Type C meeting, the FDA advised us that a single, Phase 2/3 randomized, double-blind, placebo-controlled trial evaluating mAb efficacy from a relatively modest number of RT-PCR-confirmed symptomatic COVID-19 disease events could support a BLA submission for VYD2311 for the prevention of COVID-19 in a broad population of Americans (12 years of age and older, weighing at least 40kg), including immunocompromised people, subject to agreement on safety database size and pending full protocol review. Like pemivibart, VYD2311 was engineered from adintrevimab, our investigational mAb that has a robust safety data package and demonstrated clinically meaningful results in global Phase 2/3 clinical trials for both the prevention and treatment of COVID-19.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July 2025, we announced that we had formed the SPEAR (Spike Protein Elimination and Recovery) Study Group with leading investigators to structure and guide anticipated clinical trials evaluating the effects of broadly neutralizing anti-SARS-CoV-2 spike protein mAb therapy in people suffering from Long COVID or Post-Vaccination Syndrome, or PVS. The SPEAR Study Group intends to launch multi-center translational clinical research on Long COVID and PVS using next-generation antibodies like our investigational mAb candidate VYD2311.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Globally, COVID-19 has caused millions of deaths and lasting health problems in many survivors and remains a significant global health concern, particularly for immunocompromised individuals. Isolation and mental health impacts, absenteeism from work, and educational losses for children have been profound consequences of this crisis. COVID-19 persists and continues to impact patients, notably those who are immunocompromised, and combating this disease will require a variety of effective and safe prevention and treatment options for years to come. By leveraging our capabilities, which we have developed through our experience with adintrevimab and pemivibart and over five years in the COVID-19 space, we aim to develop mAbs that could be used in prevention or treatment of serious viral diseases, starting with COVID-19 and potentially expanding into other high-need indications.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PEMGARDA has not been approved, but has been authorized for emergency use by the FDA under an EUA, for pre-exposure prophylaxis of COVID-19 in certain adults and adolescent individuals (12 years of age and older weighing at least 40 kg). 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engage in active SARS-CoV-2 variant monitoring of antiviral activity as part of our ongoing industrial virology effort, which leverages a consistent, high-quality, independent, third-party pseudoviral system that routinely tests authentic Invivyd-produced molecules and is supported by structure-based analytics. In September 2024, we announced continued neutralizing activity of PEMGARDA against SARS-CoV-2 variants KP.3.1.1 and LB.1, and attractive neutralization potency of VYD2311 against the same contemporary viruses, and also provided an update to ongoing structural analysis showing no meaningful mutational change in the pemivibart binding site since the Omicron shift late in 2021. In January 2025, March 2025 and August 2025, we announced continued neutralizing activity of PEMGARDA and VYD2311 against dominant SARS-CoV-2 variants XEC, LP.8.1 and XFG, respectively.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about our company, please refer to other documents that we have filed with the SEC and that are incorporated by reference into this prospectus, as listed under the heading “Incorporation By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in June 2020. We operate as a hybrid company. Our principal executive offices are located at 209 Church Street, New Haven, CT 06510 and our telephone number is (781) 819-0080. Our website address is www.invivyd.com. We do not incorporate the information on, or accessible through, our website into this prospectus, and you should not consider any information on, or accessible through, our website as part of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the JOBS Act, and may remain an emerging growth company until the last day of the fiscal year following the fifth anniversary of the completion of our initial public offering. However, if certain events occur prior to the end of such five-year period, including if we become a “large accelerated filer,” our annual gross revenues exceed $1.235 billion or we issue more than $1.0 billion of non-convertible debt in the previous three-year period, we will cease to be an emerging growth company prior to the end of such five-year period. For so long as we remain an emerging growth company, we are permitted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intend to rely on exemptions from certain disclosure requirements that are applicable to other public companies that are not emerging growth companies. These exemptions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compliance with the auditor attestation requirement in the assessment of our internal control over financial reporting;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obligations regarding executive compensation;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a non-binding advisory vote on executive compensation and stockholder approval of any golden parachute payments not previously approved;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compliance with the requirements of the Public Company Accounting Oversight Board regarding the communication of critical audit matters in the auditor’s report on the financial statements.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from new or revised accounting standards and, therefore, may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as defined in the Exchange Act. We may continue to be a smaller reporting company even after we are no longer an emerging growth company, which would allow us to take advantage of many of the same exemptions available to emerging growth companies.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In addition, if we are a smaller reporting company with less than $100.0 million in annual revenue, we would not be required to comply with the auditor attestation requirements of Section 404 of the Sarbanes-Oxley Act of 2002.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a28850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 our most recent Annual Report on Form 10-K and our Quarterly Reports on Form 10-Q and other documents that we file with the SEC, which are incorporated herein by reference as described in this prospectus under the heading “Where You Can Find More Information”. The risks and uncertainties we have described in such documents are not the only risks that we face. Additional risks and uncertainties not presently known to us or that we currently deem immaterial may also affect our operations. </w:t>
      </w:r>
    </w:p>
    <w:p>
      <w:pPr>
        <w:pStyle w:val="TextBody"/>
        <w:bidi w:val="0"/>
        <w:spacing w:before="480" w:after="0"/>
        <w:jc w:val="center"/>
        <w:rPr>
          <w:rFonts w:ascii="Times New Roman" w:hAnsi="Times New Roman"/>
          <w:b/>
          <w:sz w:val="20"/>
        </w:rPr>
      </w:pPr>
      <w:bookmarkStart w:id="8" w:name="txa28850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the applicable prospectus supplement relating to a specific offering, we intend to use the net proceeds from the sale of securities by us under this prospectus and any applicable prospectus supplement for general corporate purposes, which may include research and development expenditures, preclinical study and clinical trial expenditures, manufacturing expenditures, commercialization expenditures, working capital, capital expenditures, acquisitions of new technologies, products or businesses, and investments. We may also use a portion of the net proceeds from the sale of securities under this prospectus and any applicable prospectus supplement to acquire or invest in complementary businesses, technologies, product candidates or other intellectual property, although we have no present commitments or agreements to do so. Additional information on the use of net proceeds from the sale of securities by us under this prospectus may be set forth in the accompanying prospectus supplement relating to the specific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a28850_7"/>
      <w:bookmarkEnd w:id="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from time to time pursuant to public offerings, negotiated transactions, block trades, “At the Market Offerings,” within the meaning of Rule 415(a)(4) of the Securities Act of 1933, as amended, or the Securities Act, into an existing trading market, at prevailing market prices, or a combination of these methods. We may sell the securities to or through underwriters or dealers, through agents or remarketing firms, or directly to one or more purchasers. We may distribute securities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or supplements (and any related free writing prospectus that we may authorize to be provided to you) will describe the terms of the offering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the underwriters, dealers or agents,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to be offered through the selling efforts of brokers or dealers, the plan of distribution and the terms of any agreement, arrangement, or understanding entered into with broker(s) or dealer(s) prior to the effective date of the registration statement, and, if known, the identity of any broker(s) or dealer(s) who will participate in the offering and the amount to be offered through 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or other consideration therefor, and the proceeds, if any, we will receive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of the securities being registered are to be offered otherwise than for cash, the general purposes of the distribution, the basis upon which the securities are to be offered, the amount of compensation and other expenses of distribution, and by whom they are to be borne;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options under which underwriters may purchase additional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commissions or concessions allowed or reallowed or paid to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and relationships of any finders, if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underwriters named in the prospectus supplement will be underwriters of the securities offered by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Unless otherwise indicated in the prospectus supplement, subject to certain conditions, the underwriters will be obligated to purchase all of the securities offered by the prospectus supplement, other than securities covered by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purchase option. Any public offering price and any discounts or concessions allowed or reallowed or paid to dealers may change from time to time. We may use underwriters, dealers or agents with whom we have a material relationship. We will describe in the prospectus supplement, naming the underwriter, dealer or agent, the nature of any such relationship. </w:t>
      </w:r>
    </w:p>
    <w:p>
      <w:pPr>
        <w:pStyle w:val="TextBody"/>
        <w:bidi w:val="0"/>
        <w:spacing w:before="240" w:after="0"/>
        <w:jc w:val="left"/>
        <w:rPr>
          <w:rFonts w:ascii="Times New Roman" w:hAnsi="Times New Roman"/>
          <w:sz w:val="20"/>
        </w:rPr>
      </w:pPr>
      <w:r>
        <w:rPr>
          <w:rFonts w:ascii="Times New Roman" w:hAnsi="Times New Roman"/>
          <w:sz w:val="20"/>
        </w:rPr>
        <w:t xml:space="preserve">We may use a remarketing firm to offer the securities in connection with a remarketing arrangement upon their purchase. Remarketing firms will act as principals for their own account or as agents for us. These remarketing firms will offer or sell the securities pursuant to the terms of the securities. A prospectus supplement will identify any remarketing firm and the terms of its agreement, if any, with us and will describe the remarketing firm’s compensation. Remarketing firms may be deemed to be underwriters in connection with the securities they remarket. </w:t>
      </w:r>
    </w:p>
    <w:p>
      <w:pPr>
        <w:pStyle w:val="TextBody"/>
        <w:bidi w:val="0"/>
        <w:spacing w:before="240" w:after="0"/>
        <w:jc w:val="left"/>
        <w:rPr>
          <w:rFonts w:ascii="Times New Roman" w:hAnsi="Times New Roman"/>
          <w:sz w:val="20"/>
        </w:rPr>
      </w:pPr>
      <w:r>
        <w:rPr>
          <w:rFonts w:ascii="Times New Roman" w:hAnsi="Times New Roman"/>
          <w:sz w:val="20"/>
        </w:rPr>
        <w:t xml:space="preserve">If we offer and sell securities through a dealer, we or an underwriter will sell the securities to the dealer, as principal. The dealer may then resell the securities to the public at varying prices to be determined by the dealer at the time of resale. The name of the dealer and the terms of the transaction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we will pay to the agent in the prospectus supplement. Unless the prospectus supplement states otherwise, our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directly to one or more purchasers without using underwriters or agents. 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respective affiliates,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we may offer, other than common stock, will be new issues of securities with no established trading market. Any underwriter may make a market in these securities, but will not be obligated to do so and may discontinue any market making at any time without notice.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purchase options, stabilizing transactions, short-covering transactions and penalty bids in accordance with Regulation M under the Exchange Act. Purchase options involve sales in excess of the offering size, which create a short position. Stabilizing transactions permit bids to purchase the underlying security so long as the stabilizing bids do not exceed a specified maximum price. Syndicate-covering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short-covering transactions involve purchases of the securities, either through exercise of the purchase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that are qualified market makers on The Nasdaq Stock Market may engage in passive market making transactions in our common stock on The Nasdaq Stock Market in accordance with Regulation M under the Exchange Act during the business day prior to the pricing of the offering, before the commencement of offers or sales of our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a28850_8"/>
      <w:bookmarkEnd w:id="10"/>
      <w:r>
        <w:rPr>
          <w:rFonts w:ascii="Times New Roman" w:hAnsi="Times New Roman"/>
          <w:b/>
          <w:sz w:val="20"/>
        </w:rPr>
        <w:t xml:space="preserve">GENERAL DESCRIPTION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at any time and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to purchase shares of our common stock, preferred stock and/or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 securities consisting of debentures, notes or other evidences of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units consisting of a combination of the foregoing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these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terms of any securities we offer will be determined at the time of sale. We may issue debt securities that are exchangeable for and/or convertible into common stock or any of the other securities that may be sold under this prospectus. When particular securities are offered by us, a supplement to this prospectus will be filed with the SEC, which will describe the terms of the offering and sale of the offered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a28850_9"/>
      <w:bookmarkEnd w:id="11"/>
      <w:r>
        <w:rPr>
          <w:rFonts w:ascii="Times New Roman" w:hAnsi="Times New Roman"/>
          <w:b/>
          <w:sz w:val="20"/>
        </w:rPr>
        <w:t xml:space="preserve">DESCRIPTION OF OUR COMMON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summary of general terms and provisions of our common stock set forth below does not purport to be complete and is subject to and qualified by reference to our Amended and Restated Certificate of Incorporation, as amended, or the Certificate of Incorporation, and Amended and Restated Bylaws, as amended, or the Bylaws, and together with the Certificate of Incorporation, the Charter Documents, each of which is included as an exhibit to our most recent Annual Report on Form 10-K filed with the SEC and incorporated by reference herein. For additional information, please read the Charter Documents and the applicable provisions of the Delaware General Corporation Law, or the DGCL.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are authorized to issue up to 1,010,000,000 shares, of which 1,000,000,000 have been designated common stock, par value $0.0001 per share. As of September 22, 2025, there were 214,409,450 shares of our common stock outstanding. As of September 22, 2025, we had approximately 9 stockholders of record. This figure does not reflect the number of beneficial owners of shares of our common stock as a single stockholder of record often holds shares in nominee name (also referred to as, in “street name”) on behalf of multiple beneficial owners.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our common stock is entitled to one vote for each share on all matters submitted to a vote of the stockholders, including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by statute or by applicable stock exchange rules, or by the Certificate of Incorporation or the Bylaws, in all matters other than the election of directors, the affirmative vote of the majority of shares present in person, by remote communication, if applicable, or represented by proxy at the meeting and entitled to vote generally on the subject matter shall be the act of the stockholders. Except as otherwise provided by statute, the Certificate of Incorporation or the Bylaws, directors are elected by a plurality of the votes of the shares present in person, by remote communication, if applicable, or represented by proxy at the meeting and entitled to vote generally on the election of directors. Where a separate vote by a class or classes or series is required, except where otherwise provided by the statute or by the Certificate of Incorporation or the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 </w:t>
      </w:r>
    </w:p>
    <w:p>
      <w:pPr>
        <w:pStyle w:val="TextBody"/>
        <w:bidi w:val="0"/>
        <w:spacing w:before="240" w:after="0"/>
        <w:jc w:val="left"/>
        <w:rPr>
          <w:rFonts w:ascii="Times New Roman" w:hAnsi="Times New Roman"/>
          <w:sz w:val="20"/>
        </w:rPr>
      </w:pPr>
      <w:r>
        <w:rPr>
          <w:rFonts w:ascii="Times New Roman" w:hAnsi="Times New Roman"/>
          <w:sz w:val="20"/>
        </w:rPr>
        <w:t xml:space="preserve">The affirmative vote of holders of at least 66 2/3% of the voting power of all of the then-outstanding shares of capital stock entitled to vote generally in the election of directors, voting as a single class, is required to alter, amend or repeal certain provisions of the Certificate of Incorporation, including provisions relating to amending the Bylaws, the size of our board of directors, removal of directors, director liability, vacancies on our board of directors, stockholder notices, actions by written consent and exclusive forum.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be applicable to any then-outstanding preferred stock, holders of common stock are entitled to receive ratably those dividends, if any, as may be declared from time to time by our board of directors out of legally available funds.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Rights and Preferences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 of the holders of shares of any series of preferred stock that we may designate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Stock Options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22, 2025, we had outstanding options to purchase 21,672,173 shares of our common stock at a weighted-average exercise price of $3.06 per share, pursuant to our 2020 Equity Incentive Plan and 2021 Equity Incentive Plan. As of September 22, 2025, there were no shares of our common stock reserved for future issuance under the 2020 Equity Incentive Plan and 12,658,886 shares of our common stock reserved for future issuance under our 2021 Equity Incentive Plan.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22, 2025, we had reserved 1,539,000 shares of our common stock for issuance upon the settlement of outstanding restricted stock units, pursuant to our 2021 Equity Incentive Plan. </w:t>
      </w:r>
    </w:p>
    <w:p>
      <w:pPr>
        <w:pStyle w:val="TextBody"/>
        <w:bidi w:val="0"/>
        <w:spacing w:before="360" w:after="0"/>
        <w:jc w:val="left"/>
        <w:rPr>
          <w:rFonts w:ascii="Times New Roman" w:hAnsi="Times New Roman"/>
          <w:b/>
          <w:sz w:val="20"/>
        </w:rPr>
      </w:pPr>
      <w:r>
        <w:rPr>
          <w:rFonts w:ascii="Times New Roman" w:hAnsi="Times New Roman"/>
          <w:b/>
          <w:sz w:val="20"/>
        </w:rPr>
        <w:t xml:space="preserve">2021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22, 2025, there were 589,957 shares of our common stock reserved for future issuance under our 2021 Employee Stock Purchase Plan.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Warrants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22, 2025, we had (i) an outstanding warrant exercisable for up to an aggregate of 6,824,712 shares of our common stock, no portion of which was vested as of such date and (ii) an outstanding pre-funded warrant exercisable for up to an aggregate of 21,342,442 shares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b/>
          <w:i/>
          <w:sz w:val="20"/>
        </w:rPr>
      </w:pPr>
      <w:r>
        <w:rPr>
          <w:rFonts w:ascii="Times New Roman" w:hAnsi="Times New Roman"/>
          <w:b/>
          <w:i/>
          <w:sz w:val="20"/>
        </w:rPr>
        <w:t xml:space="preserve">Second Amended and Restated Investors’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We and certain holders of our common stock have entered into a second amended and restated investors’ rights agreement, or the investors’ rights agreement. The registration rights provisions of this agreement provide those holders with demand, piggyback and Form S-3 registration rights with respect to the shares of common stock covered by the investors’ rights agreement. These shares are collectively referred to herein as registrable securities.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Demand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of the registrable securities then outstanding have the right to demand that we file a Form S-1 registration statement for which the anticipated aggregate offering price would exceed $10 million. Upon such demand, we are required to, as soon as practicable, and in any event within 60 days after the date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request is given by the initiating holders, file a Form S-1 registration statement covering all registrable securities that the initiating holders requested to be registered and any additional registrable securities requested to be included in such registration by any other holders, subject to the terms and conditions included in such investors’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at least 30% of the registrable securities then outstanding have the right to demand, at a time when we are eligible to use Form S-3 registration statement, that we file a Form S-3 registration statement with respect to outstanding registrable securities of such holders having an anticipated aggregate offering price of at least $1 million. Upon such demand, we are required to, as soon as practicable, and in any event within 45 days after the date such request is given by the initiating holders, file a Form S-3 registration statement covering all registrable securities that the initiating holders requested to be registered and any additional registrable securities requested to be included in such registration by any other holders, subject to the terms and conditions included in such investors’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These demand registration rights are subject to specified conditions and limitations included in such investors’ rights agreement, including the right of the underwriters, if any, to limit the number of shares included in any such registration under specified circumstances.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Piggyback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If we propose to register any of our securities under the Securities Act either for our own account or for the account of other stockholders, the holders of registrable securities will each be entitled to notice of the registration and will be entitled to include their shares of common stock in the registration statement. These piggyback registration rights are subject to specified conditions and limitations, including the right of the underwriters to limit the number of shares included in any such registration under specified circumstances. The holders of piggyback registration rights granted pursuant to the investors’ rights agreement have effectively waived their piggyback registration rights in connection with the registration statement of which this prospectus is a part, as well as all subsequent offerings related to the registration statement of which this prospectus is a part.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Expenses of Registration </w:t>
      </w:r>
    </w:p>
    <w:p>
      <w:pPr>
        <w:pStyle w:val="TextBody"/>
        <w:bidi w:val="0"/>
        <w:spacing w:before="120" w:after="0"/>
        <w:jc w:val="left"/>
        <w:rPr>
          <w:rFonts w:ascii="Times New Roman" w:hAnsi="Times New Roman"/>
          <w:sz w:val="20"/>
        </w:rPr>
      </w:pPr>
      <w:r>
        <w:rPr>
          <w:rFonts w:ascii="Times New Roman" w:hAnsi="Times New Roman"/>
          <w:sz w:val="20"/>
        </w:rPr>
        <w:t xml:space="preserve">We are required to pay all expenses, including fees and expenses of one counsel to represent the selling stockholders, relating to any demand, piggyback or Form S-3 registration, other than underwriting discounts and commissions, stock transfer taxes and any additional fees of counsel for the selling stockholders, subject to specified conditions and limitations. We are not required to pay registration expenses if a demand registration request is withdrawn at the request of a majority of holders of registrable securities to be registered, unless holders of a majority of the registrable securities agree to forfeit their right to one demand registration. </w:t>
      </w:r>
    </w:p>
    <w:p>
      <w:pPr>
        <w:pStyle w:val="TextBody"/>
        <w:bidi w:val="0"/>
        <w:spacing w:before="240" w:after="0"/>
        <w:jc w:val="left"/>
        <w:rPr>
          <w:rFonts w:ascii="Times New Roman" w:hAnsi="Times New Roman"/>
          <w:sz w:val="20"/>
        </w:rPr>
      </w:pPr>
      <w:r>
        <w:rPr>
          <w:rFonts w:ascii="Times New Roman" w:hAnsi="Times New Roman"/>
          <w:sz w:val="20"/>
        </w:rPr>
        <w:t xml:space="preserve">The investors’ rights agreement contains customary cross-indemnification provisions, pursuant to which we are obligated to indemnify the selling stockholders in the event of material misstatements or omissions in the applicable registration statement attributable to us, and the selling stockholders are obligated to indemnify us for material misstatements or omissions in the registration statement attributable to them, subject to certain limitations.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Termination of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registration rights granted under the investors’ rights agreement will terminate with respect to any particular stockholder upon the earliest of (a) the closing of a deemed liquidation event, as defined in the Certificate of Incorporation, (b) with respect to each stockholder, at such time such stockholder is able to sell all of its shares pursuant to Rule 144 or another similar exemption under the Securities Act during a three-month period without registration and (c) the fifth anniversary of the closing of our initial public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Common Stock Purchase Warrant </w:t>
      </w:r>
    </w:p>
    <w:p>
      <w:pPr>
        <w:pStyle w:val="TextBody"/>
        <w:bidi w:val="0"/>
        <w:spacing w:before="120" w:after="0"/>
        <w:jc w:val="left"/>
        <w:rPr>
          <w:rFonts w:ascii="Times New Roman" w:hAnsi="Times New Roman"/>
          <w:sz w:val="20"/>
        </w:rPr>
      </w:pPr>
      <w:r>
        <w:rPr>
          <w:rFonts w:ascii="Times New Roman" w:hAnsi="Times New Roman"/>
          <w:sz w:val="20"/>
        </w:rPr>
        <w:t xml:space="preserve">We have outstanding a warrant to purchase shares of our common stock which provides certain piggyback registration rights requiring us to register the shares of common stock underlying such warrant, subject to our existing obligations under the investors’ rights agreement. In the event that we, at any time prior to the termination of the warrant pursuant to its terms, propose to file on behalf of one or more of our stockholders a registration statement under the Securities Act pursuant to the investors’ rights agreement, we are required to provide written notice to the warrantholder as soon as practicable of such proposed filing, and the warrantholder shall have the right to include the applicable shares in such registration statement upon timely written notice. We are not required to file any registration statement pursuant to the warrant if at the time of such request (A) we are not eligible to file a Form S-3 for such sales, or (B) the warrantholder can sell all applicable shares without restriction pursuant to Rule 144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Section 203 of the Delaware General Corporation Law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such date, the board of directors of the corporation approved either the business combination or the transaction that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 “business combination” to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or any direct or indirect majority-owned subsidiary of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pledge or other disposition of 10% or more of the assets of the corporation involving the interested stockholder (in one transaction or a series of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any transaction that results in the issuance or transfer by the corporation or by any direct or indirect majority-owned subsidiary of the corporation of any stock of the corporation or of such subsidiary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involving the corporation or any direct or indirect majority-owned subsidiary of the corporation that has the effect of increasing the proportionate share of the stock or any class or series of the corporation beneficially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Amended and Restated Certificate of Incorporation and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provides for each member of our board of directors to be elected at each annual meeting of stockholders for a term expiring at the next succeeding annual meeting of stockholders and until his or her successor is duly elected and qualified or until his or her earlier death, resignation or removal. Because our stockholders do not have cumulative voting rights, stockholders holding a majority of the shares of common stock outstanding are able to elect all of our directors. The Certificate of Incorporation provides that directors may be removed with or without cause by the affirmative vote of the holders of at least a majority of the voting power of all then-outstanding shares of capital stock entitled to vote generally at an election of directors. Furthermore, the authorized number of directors may be changed only by resolution of our board of directors, and vacancies and newly created directorships on our board of directors may, except as otherwise required by law or determined by our board and subject to the rights of any series of then-outstanding preferred stock, only be filled by a majority vote of the directors then serving on our board of directors, even though less than a quorum.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and the Bylaws also provide that all stockholder actions must be effected at a duly called meeting of stockholders and eliminate the right of stockholders to act by written consent without a meeting. The Bylaws provide that only the chairman of the board of directors, the chief executive officer or the board of directors pursuant to a resolution adopted by a majority of the total number of authorized directors may call a special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and the Bylaws provide that the stockholders cannot amend many of the provisions described above except by a vote of at least 66 2/3% of the voting power of all of the then-outstanding shares of capital stock entitled to vote generally at an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provides our board of directors the authority, without further action by our stockholders, to issue up to 10,000,000 shares of preferred stock in one or more series, with any rights, preferences and privileges as they may designate, including the right to approve an acquisition or other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The combination of these provisions makes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control of us.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the Court of Chancery of the State of Delaware will be the exclusive forum for the following types of actions or proceedings under Delaware statutory or common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derivative action or proceeding brought on our behalf;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breach of fiduciary duty;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against us arising pursuant to the DGCL, our Certificate of Incorporation, or our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claim or cause of action seeking to interpret, apply, enforce or determine the validity of the Certificate of Incorporation or the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claim or cause of action as to which the DGCL confers jurisdiction on the Court of Chancery of the State of Delaware;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against us that is governed by the internal affairs doctrine.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provision would not apply to suits brought to enforce a duty or liability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also provides that unless we consent in writing to the selection of an alternative forum, the federal district courts of the United States of America shall be the exclusive forum for the resolution of any complaint asserting a cause of action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 </w:t>
      </w:r>
    </w:p>
    <w:p>
      <w:pPr>
        <w:pStyle w:val="TextBody"/>
        <w:bidi w:val="0"/>
        <w:spacing w:before="240" w:after="0"/>
        <w:jc w:val="left"/>
        <w:rPr>
          <w:rFonts w:ascii="Times New Roman" w:hAnsi="Times New Roman"/>
          <w:sz w:val="20"/>
        </w:rPr>
      </w:pPr>
      <w:r>
        <w:rPr>
          <w:rFonts w:ascii="Times New Roman" w:hAnsi="Times New Roman"/>
          <w:sz w:val="20"/>
        </w:rPr>
        <w:t xml:space="preserve">These exclusive forum provisions may result in increased costs for investors to bring a claim. Further,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Certificate of Incorporation to be inapplicable or unenforceable in an action, we may incur further significant additional costs associated with resolving the dispute in other jurisdictions, all of which could seriously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Equiniti Trust Company, LLC. The transfer agent’s address is 6201 15th Avenue, Brooklyn, New York 11219.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trading symbol “IVVD”.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a28850_10"/>
      <w:bookmarkEnd w:id="12"/>
      <w:r>
        <w:rPr>
          <w:rFonts w:ascii="Times New Roman" w:hAnsi="Times New Roman"/>
          <w:b/>
          <w:sz w:val="20"/>
        </w:rPr>
        <w:t xml:space="preserve">DESCRIPTION OF OUR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We are authorized to issue up to 10,000,000 shares of preferred stock, par value $0.0001 per share, all of which shares of preferred stock are currently undesignated.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may, without further action by our stockholders, from time to time, direct the issuance of shares of preferred stock in series and may, at the time of issuance, determine and fix the number of shares of such series of preferred stock and the designation of such series of preferred stock, the voting powers, if any, of the shares of such series of preferred stock, the preferences and relative, participating, optional or other special rights, if any, and the qualifications, limitations or restrictions thereof, including without limitation thereof, dividend rights, conversion rights, redemption privileges and liquidation preferences, of the shares of such series of preferred stock. Satisfaction of any dividend preferences of outstanding shares of our preferred stock would reduce the amount of funds available for the payment of dividends on shares of our common stock. Holders of shares of our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 It is not possible to state the actual effect of the issuance of any shares of our preferred stock on the rights of holders of our common stock until the board of directors determines the specific rights attached to that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preferred stock offered, the liquidation preference per share, and the purchase price of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and/or payment date(s), or method(s) of calculation for such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or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convertible into our common stock or our other securities and, if applicable, the conversion price (or how it will be calculated), the conversion period and any other terms of conversion (including any anti-dilution provisions,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exchangeable into debt securities, and, if applicable, the exchange price (or how it will be calculated), the exchange period and any other terms of exchange (including any anti-dilution provisions,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and/or special U.S. federal income tax considerations applicable to the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upon liquidation, dissolution, or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limitations on issuance of any class or series of preferred stock ranking senior to or on a parity with the series of preferred stock as to dividend rights and rights upon our liquidation, dissolution, or winding 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affirmative, negative or other covenants or contractual rights which might be attendant with the specific series of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preferred stock offered by this prospectus, when issued, will not have, or be subject to, any preemptive or similar rights.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any series of preferred stock will be set forth in each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a28850_11"/>
      <w:bookmarkEnd w:id="13"/>
      <w:r>
        <w:rPr>
          <w:rFonts w:ascii="Times New Roman" w:hAnsi="Times New Roman"/>
          <w:b/>
          <w:sz w:val="20"/>
        </w:rPr>
        <w:t xml:space="preserve">DESCRIPTION OF OUR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shares of our common stock, preferred stock and/or debt securities in one or more series together with other securities or separately, as described in each applicable prospectus supplement. Below is a description of certain general terms and provisions of the warrants that we may offer. Particular terms of the warrants will be described in the applicable warrant agreements and the applicable prospectus supplement for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contain, where applicable, the following terms of and other information relating to the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designation and aggregate number of the warrants, and the price at which we will issue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amount and terms of the securities purchasable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exercise price for shares of our common stock and the number of shares of common stock to be received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exercise price for shares of our preferred stock, the number of shares of preferred stock to be received upon exercise of the warrants, and a description of that series of our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exercise price for our debt securities, the amount of our debt securities to be received upon exercise of the warrants, and a description of that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begin and the date on which that right will expire or, if the warrants may not be continuously exercised throughout that period, the specific date or dates on which the warrants may be exercised;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U.S. federal income tax or foreign tax considerations applicable to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warrant agent for the warrants, if any, and of any other depositaries, execution or paying agents, transfer agents, registrars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listing, if any, of the warrants or any securities purchasable upon exercise of the warrants on any securities exchange or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the warrants and the common stock, preferred stock and/or debt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put or call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are to be sold separately or with other securities as parts of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and exercise of the warrants.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any warrants will be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Outstanding Warrants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22, 2025, we had an outstanding warrant to purchase shares of our common stock, a copy of which is filed as Exhibit 4.3 to our Current Report on Form 8-K filed with the SEC on March 23, 2023. The exercise price of the warrant is $3.48 per share. The warrant is exercisable for up to an aggregate of 6,824,712 shares of common stock, and vests in three separate tranches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3,591,954 shares vest if our market capitalization equals or exceeds $758,517,511 by November 15, 2028;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1,795,977 shares vest if our market capitalization equals or exceeds $1,137,776,266 by November 15, 2029;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1,436,781 shares vest if our market capitalization equals or exceeds $1,517,035,022 by November 15, 2030.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September 22, 2025, no portion of the warrant had vested. With respect to any vested portion(s) of the warrant, the warrant is exercisable until the earlier of (i) 5:00 p.m. (New York City time) on November 15, 2032 and (ii) the closing of a fundamental transaction (as defined in the warrant). The warrant may be exercised by cash exercise or, at the election of the warrantholder, by means of “cashless exercise” pursuant to a formula set forth in the warrant. As discussed above, the warrant contains certain piggyback registration rights requiring us to register any shares of common stock underlying the warrant for resale with the SEC, subject to our existing obligations under the investors’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Upon the consummation of a fundamental transaction on or prior to November 15, 2028, all of the shares underlying the warrant would become immediately vested and exercisable; upon the consummation of a fundamental transaction after November 15, 2028 but on or prior to November 15, 2029, the shares underlying the second and third tranches of the warrant would become immediately vested and exercisable; and upon the consummation of a fundamental transaction after November 15, 2029 but on or prior to November 15, 2030, the shares underlying the third tranche of the warrant would become immediately vested and exercisable.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22, 2025, we had an outstanding pre-funded warrant to purchase shares of our common stock, a form of which is filed as Exhibit 4.1 to our Current Report on Form 8-K filed with the SEC on August 22, 2025. The exercise price of the pre-funded warrant is $0.0001 per share. The pre-funded warrant is exercisable for up to an aggregate of 21,342,442 shares of common stock and is fully exercisable with no termination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a28850_12"/>
      <w:bookmarkEnd w:id="14"/>
      <w:r>
        <w:rPr>
          <w:rFonts w:ascii="Times New Roman" w:hAnsi="Times New Roman"/>
          <w:b/>
          <w:sz w:val="20"/>
        </w:rPr>
        <w:t xml:space="preserve">DESCRIPTION OF OUR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section describes the general terms and provisions of the debt securities that we may offer under this prospectus, any of which may be issued as convertible or exchangeable debt securities. We will set forth the particular terms of the debt securities we offer in a prospectus supplement. The extent, if any, to which the following general provisions apply to particular debt securities will be described in the applicable prospectus supplement. The following description of general terms relating to the debt securities and the indenture under which the debt securities will be issued are summaries only and therefore are not complete. You should read the indenture and the prospectus supplement regarding any particular issuance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or will file a copy of the form of indenture as an exhibit to the registration statement in which this prospectus is included. The indenture will be subject to and governed by the terms of the Trust Indenture Act of 1939. </w:t>
      </w:r>
    </w:p>
    <w:p>
      <w:pPr>
        <w:pStyle w:val="TextBody"/>
        <w:bidi w:val="0"/>
        <w:spacing w:before="240" w:after="0"/>
        <w:jc w:val="left"/>
        <w:rPr>
          <w:rFonts w:ascii="Times New Roman" w:hAnsi="Times New Roman"/>
          <w:sz w:val="20"/>
        </w:rPr>
      </w:pPr>
      <w:r>
        <w:rPr>
          <w:rFonts w:ascii="Times New Roman" w:hAnsi="Times New Roman"/>
          <w:sz w:val="20"/>
        </w:rPr>
        <w:t xml:space="preserve">We may offer under this prospectus up to an aggregate principal amount of $350,000,000 in debt securities, or if debt securities are issued at a discount, or in a foreign currency, foreign currency units or composite currency, the principal amount as may be sold for an aggregate initial public offering price of up to $350,000,000. Unless otherwise specified in the applicable prospectus supplement, the debt securities will represent direct, unsecured obligations of our company and will rank equally with all of our other unsecured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statements relating to the debt securities and the indenture are summaries, qualified in their entirety by reference to the detailed provisions of the indenture and the final form indenture as may be filed with a future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will set forth, to the extent required, the following terms of the debt securities in respect of which the prospectus supplement is delivered: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 price or prices, expressed as a percentage of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debt securities will be issued and on which principal of, and premium, if any,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(which may be fixed or variable) or, if applicable, the method used to determine such rate or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interest will accrue, the interest payment date or dates on which interest will be payable and any regular record date for the interest payable, and the basis upon which interest will be calculated if other than that of a 360-day year of twelve 30-day months;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and, if applicable, premium and interest,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upon which we may, or the holders may require us to, redeem or repurchase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such debt securities may be issuable, if other than a minimum denomination of $2,000 or an integral multiple of $1,000 in excess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to be issuable in the form of certificated debt securities (as described below) or global debt securities (as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that will be payable upon declaration of acceleration of the maturity date if other than the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and, if applicable, premium and interest,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and, if applicable, premium or interest, on the debt securities are to be made in one or more currencies or currency units other than the currency of denomination, the manner in which the exchange rate with respect to such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amounts of principal and, if applicable, premium and interest may be determined by reference to an index, including an index based on a currency or currencies other than in which the debt securities are payable, then the manner in which such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if any, relating to any collateral provided for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guaranteed by any person or persons and, if so, the identity of such person or persons, the terms and conditions upon which such debt securities shall be guaranteed and, if applicable, the terms and conditions upon which such guarantees may be subordinated to other indebtedness of the respective guarantors;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or change in the covenants described in this prospectus or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of default, if not otherwise described below under “Events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for conversion into or exchange for shares of our common stock or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the debt securities shall be subordinated in right of payment to other indebtedness of our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of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that apply to these debt securities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Exchange and/or 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We may issue debt securities which can be exchanged for or converted into shares of our common stock or preferred stock. If we do, we will describe the terms of exchange or conversion in the prospectus supplement relating to these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We may issue debt securities that will be represented by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book-entry securities,” which means that there will be one or more global securities registered in the name of a depositary or a nominee of a depositary;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certificated securities,” which means that they will be represented by a certificate issued in definitive registered form.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specify in the prospectus supplement applicable to a particular offering whether the debt securities offered will be book-entry or certificated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Certificated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If you hold certificated debt securities issued under an indenture, you may transfer or exchange such debt securities in accordance with the terms of the indenture. You will not be charged a service charge for any transfer or exchange of certificated debt securities but may be required to pay an amount sufficient to cover any tax or other governmental charge payable in connection with such transfer or exchange.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of a series may be issued in the form of one or more global securities that will be deposited with a depositary or its nominees identified in the prospectus supplement relating to the debt securities. In such a case, one or more global securities will be issued in a denomination or aggregate denominations equal to the portion of the aggregate principal amount of outstanding debt securities of the series to be represented by such global security or securities. </w:t>
      </w:r>
    </w:p>
    <w:p>
      <w:pPr>
        <w:pStyle w:val="TextBody"/>
        <w:bidi w:val="0"/>
        <w:spacing w:before="240" w:after="0"/>
        <w:jc w:val="left"/>
        <w:rPr>
          <w:rFonts w:ascii="Times New Roman" w:hAnsi="Times New Roman"/>
          <w:sz w:val="20"/>
        </w:rPr>
      </w:pPr>
      <w:r>
        <w:rPr>
          <w:rFonts w:ascii="Times New Roman" w:hAnsi="Times New Roman"/>
          <w:sz w:val="20"/>
        </w:rPr>
        <w:t xml:space="preserve">Unless and until it is exchanged in whole or in part for debt securities in definitive registered form, a global security may not be registered for transfer or exchange except as a whole by the depositary for such global security to a nominee of the depositary and except in the circumstances described in the prospectus supplement relating to the debt securities. The specific terms of the depositary arrangement with respect to a series of debt securities will be described in the prospectus supplement relating to such series.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Protection in the Event of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Any provision in an indenture that governs our debt securities covered by this prospectus that includes any covenant or other provision providing for a put or increased interest or otherwise that would afford holders of our debt securities additional protection in the event of a recapitalization transaction, a change of control of our company, or a highly leveraged transaction will be described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in this prospectus or the applicable prospectus supplement, our debt securities may not have the benefit of any covenant that limits or restricts our business or operations, the pledging of our assets or the incurrence by us of indebtedness. We will describe in the applicable prospectus supplement any material covenants in respect of a series of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Consolidation, Merger, Conveyance, Transfer or Lease </w:t>
      </w:r>
    </w:p>
    <w:p>
      <w:pPr>
        <w:pStyle w:val="TextBody"/>
        <w:bidi w:val="0"/>
        <w:spacing w:before="120" w:after="0"/>
        <w:jc w:val="left"/>
        <w:rPr>
          <w:rFonts w:ascii="Times New Roman" w:hAnsi="Times New Roman"/>
          <w:sz w:val="20"/>
        </w:rPr>
      </w:pPr>
      <w:r>
        <w:rPr>
          <w:rFonts w:ascii="Times New Roman" w:hAnsi="Times New Roman"/>
          <w:sz w:val="20"/>
        </w:rPr>
        <w:t xml:space="preserve">We may agree in any indenture that governs the debt securities of any series covered by this prospectus that we will not consolidate with or merge into any other person or convey, transfer or lease (as lessor) our properties and assets as, or substantially as, an entirety to any person, unless such person and such proposed transaction meets various criteria, which we will describe in detail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Defaults and Notice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of any series will contain events of default to be specified in the applicable prospectus supplement, which may include,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continuance of such default for a period of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the principal of or any premium on any debt security of that series at its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deposit of any sinking fund payment, when and as due by the terms of a debt security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covenants or agreements in the indenture with respect to the debt securities of such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relating to our bankruptcy, insolvency or reorganization.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shall occur and be continuing, we may agree that the trustee or the holders of at least 25% in aggregate principal amount of the then outstanding debt securities of such series may declare the principal amount (or, if the debt securities of such series are issued at an original issue discount, such portion of the principal amount as may be specified in the terms of the debt securities of such series) of all debt securities of such series or such other amount or amounts as the debt securities or supplemental indenture with respect to such series may provide, to be due and payable immediately. Any provisions pertaining to events of default and any remedies associated therewith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Any indenture that governs our debt securities covered by this prospectus may require that the trustee under such indenture shall, within 90 days after the occurrence of a default, give to holders of debt securities of any series notice of all uncured and unwaived defaults with respect to such series known to it. However, in the case of a default that results from the failure to make any payment of the principal of, premium, if any, or interest on the debt securities of any series, or in the payment of any sinking or purchase fund installment with respect to debt securities of such series, if any, the trustee may withhold such notice if it in good faith determines that the withholding of such notice is in the interest of the holders of debt securities of such series. Any terms and provisions relating to the foregoing types of provisions will be described in further detail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Any indenture that governs our debt securities covered by this prospectus will contain a provision entitling the trustee to be indemnified by holders of debt securities before proceeding to exercise any trust or power under the indenture at the request of such holders. Any such indenture may provide that the holders of at least a majority in aggregate principal amount of the then outstanding debt securities of any series may direct the time, method and place of conducting any proceedings for any remedy available to the trustee, or of exercising any trust or power conferred upon the trustee with respect to the debt securities of such series. However, the trustee under any such indenture may decline to follow any such direction if, among other reasons, the trustee determines in good faith that the actions or proceedings as directed may not lawfully be taken, would involve the trustee in personal liability or would be unduly prejudicial to the holders of the debt securities of such series not joining in such direction.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indenture that governs our debt securities covered by this prospectus may endow the holders of such debt securities to institute a proceeding with respect to such indenture, subject to certain conditions, which will be specified in the applicable prospectus supplement and which may include, that the holders of at least a majority in aggregate principal amount of the debt securities of such series then outstanding make a written request upon the trustee to exercise its power under the indenture, indemnify the trustee and afford the trustee reasonable opportunity to act. Even so, such holders may have an absolute right to receipt of the principal of or premium, if any, and interest when due, to require conversion or exchange of debt securities if such indenture provides for convertibility or exchangeability at the option of the holder and to institute suit for the enforcement of such rights. Any terms and provisions relating to the foregoing types of provisions will be described in further detail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any indenture that governs our debt securities of any series covered by this prospectus with or without the consent of the holders of such debt securities, under certain circumstances to be described in a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Defeasance; 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prospectus supplement will outline the conditions under which we may elect to have certain of our obligations under the indenture discharged and under which the indenture obligations will be deemed to be satisfied.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Regarding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We will identify the trustee and any relationship that we may have with such trustee, with respect to any series of debt securities, in the prospectus supplement relating to the applicable debt securities. You should note that if the trustee becomes a creditor of us, the indenture and the Trust Indenture Act of 1939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law governing the indenture and the debt securities will be identified in the prospectus supplement relating to the applicable indenture and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a28850_13"/>
      <w:bookmarkEnd w:id="15"/>
      <w:r>
        <w:rPr>
          <w:rFonts w:ascii="Times New Roman" w:hAnsi="Times New Roman"/>
          <w:b/>
          <w:sz w:val="20"/>
        </w:rPr>
        <w:t xml:space="preserve">DESCRIPTION OF OUR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summarizes the material terms and provisions of the units that we may offer under this prospectus. Units may be offered independently or together with one or more of the securities that may be offered under this prospectus, in any combination, and may be attached to or separate from those securities. 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We will incorporate by reference into the registration statement of which this prospectus forms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units comprised of one or more of the securities that may be offered under this prospectus.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units,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the material terms of the units and of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and obligations of the unit agent,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material U.S. federal income tax considerations applicable to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provisions of the governing unit agreement that differ from those described herein;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provisions for the issuance, payment, settlement, transfer or exchange of the units or of the securities comprising the units.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provisions described in this section, as well as those described under “Description of Our Common Stock,” “Description of our Preferred Stock,” “Description of Our Debt Securities” and “Description of Our Warrants,” will apply to each unit and to any common stock, preferred stock, debt securities or warrants included in each unit,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in Series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units in such amounts and in numerous distinct series as we determine.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a28850_14"/>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an Internet website at www.sec.gov that contains reports, proxy and information statements, and other information regarding issuers that file electronically with the SEC. Our reports on Forms 10-K, 10-Q and 8-K, and amendments to those reports, are also available for download, free of charge, as soon as reasonably practicable after these reports are filed with, or furnished to, the SEC, at our website at www.invivyd.com. Information contained on or accessible through our website is not a part of this prospectus or any prospectus supplement, and the inclusion of our website address in this prospectus is an inactive textual reference only. </w:t>
      </w:r>
    </w:p>
    <w:p>
      <w:pPr>
        <w:pStyle w:val="TextBody"/>
        <w:bidi w:val="0"/>
        <w:spacing w:before="480" w:after="0"/>
        <w:jc w:val="center"/>
        <w:rPr>
          <w:rFonts w:ascii="Times New Roman" w:hAnsi="Times New Roman"/>
          <w:b/>
          <w:sz w:val="20"/>
        </w:rPr>
      </w:pPr>
      <w:bookmarkStart w:id="17" w:name="txa28850_15"/>
      <w:bookmarkEnd w:id="17"/>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the information in other documents that we file with it. This means that we can disclose important information to you by referring you to those documents. The information incorporated by reference is considered to be a part of this prospectus, and information in documents that we file later with the SEC (and that is deemed to be “filed” with the SEC) will automatically update and supersede information contained in documents filed earlier with the SEC or contained in this prospectus. We incorporate by reference in this prospectus (i) the documents listed below, (ii) all documents that we file with the SEC under Section 13(a), 13(c), 14 or 15(d) of the Exchange Act after the date of the initial filing of the registration statement of which this prospectus is included and prior to the effectiveness of such registration statement, and (iii) any future filings that we may make with the SEC under Sections 13(a), 13(c), 14, or 15(d) of the Exchange Act prior to the termination of the offerings under this prospectus; provided, however, that we are not incorporating, in each case, any documents or information deemed to have been furnished and not filed, including any information that we disclose under Items 2.02 or 7.01 of any Current Report on Form 8-K,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2024, filed with the SEC on March 20,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portions of 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with the SEC on April 7, 2025, that are incorporated by reference into Part III of our Annual Report on Form 10-K for the fiscal year ended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March 31, 2025 and June 30, 2025, filed with the SEC on </w:t>
            </w:r>
            <w:hyperlink r:id="rId5">
              <w:r>
                <w:rPr>
                  <w:rStyle w:val="InternetLink"/>
                  <w:rFonts w:ascii="Times New Roman" w:hAnsi="Times New Roman"/>
                  <w:sz w:val="20"/>
                </w:rPr>
                <w:t>May  15, 2025</w:t>
              </w:r>
            </w:hyperlink>
            <w:r>
              <w:rPr>
                <w:rFonts w:ascii="Times New Roman" w:hAnsi="Times New Roman"/>
                <w:sz w:val="20"/>
              </w:rPr>
              <w:t xml:space="preserve"> and </w:t>
            </w:r>
            <w:hyperlink r:id="rId6">
              <w:r>
                <w:rPr>
                  <w:rStyle w:val="InternetLink"/>
                  <w:rFonts w:ascii="Times New Roman" w:hAnsi="Times New Roman"/>
                  <w:sz w:val="20"/>
                </w:rPr>
                <w:t>August 14, 2025,</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our Current Reports on Form 8-K (other than the portions thereof that are furnished and not filed) as filed with the SEC on </w:t>
            </w:r>
            <w:hyperlink r:id="rId7">
              <w:r>
                <w:rPr>
                  <w:rStyle w:val="InternetLink"/>
                  <w:rFonts w:ascii="Times New Roman" w:hAnsi="Times New Roman"/>
                  <w:sz w:val="20"/>
                </w:rPr>
                <w:t>January  10, 2025,</w:t>
              </w:r>
            </w:hyperlink>
            <w:r>
              <w:rPr>
                <w:rFonts w:ascii="Times New Roman" w:hAnsi="Times New Roman"/>
                <w:sz w:val="20"/>
              </w:rPr>
              <w:t xml:space="preserve"> </w:t>
            </w:r>
            <w:hyperlink r:id="rId8">
              <w:r>
                <w:rPr>
                  <w:rStyle w:val="InternetLink"/>
                  <w:rFonts w:ascii="Times New Roman" w:hAnsi="Times New Roman"/>
                  <w:sz w:val="20"/>
                </w:rPr>
                <w:t>January  27, 2025,</w:t>
              </w:r>
            </w:hyperlink>
            <w:r>
              <w:rPr>
                <w:rFonts w:ascii="Times New Roman" w:hAnsi="Times New Roman"/>
                <w:sz w:val="20"/>
              </w:rPr>
              <w:t xml:space="preserve"> </w:t>
            </w:r>
            <w:hyperlink r:id="rId9">
              <w:r>
                <w:rPr>
                  <w:rStyle w:val="InternetLink"/>
                  <w:rFonts w:ascii="Times New Roman" w:hAnsi="Times New Roman"/>
                  <w:sz w:val="20"/>
                </w:rPr>
                <w:t>February  3, 2025,</w:t>
              </w:r>
            </w:hyperlink>
            <w:r>
              <w:rPr>
                <w:rFonts w:ascii="Times New Roman" w:hAnsi="Times New Roman"/>
                <w:sz w:val="20"/>
              </w:rPr>
              <w:t xml:space="preserve"> </w:t>
            </w:r>
            <w:hyperlink r:id="rId10">
              <w:r>
                <w:rPr>
                  <w:rStyle w:val="InternetLink"/>
                  <w:rFonts w:ascii="Times New Roman" w:hAnsi="Times New Roman"/>
                  <w:sz w:val="20"/>
                </w:rPr>
                <w:t>February  24, 2025,</w:t>
              </w:r>
            </w:hyperlink>
            <w:r>
              <w:rPr>
                <w:rFonts w:ascii="Times New Roman" w:hAnsi="Times New Roman"/>
                <w:sz w:val="20"/>
              </w:rPr>
              <w:t xml:space="preserve"> </w:t>
            </w:r>
            <w:hyperlink r:id="rId11">
              <w:r>
                <w:rPr>
                  <w:rStyle w:val="InternetLink"/>
                  <w:rFonts w:ascii="Times New Roman" w:hAnsi="Times New Roman"/>
                  <w:sz w:val="20"/>
                </w:rPr>
                <w:t>March  5, 2025,</w:t>
              </w:r>
            </w:hyperlink>
            <w:r>
              <w:rPr>
                <w:rFonts w:ascii="Times New Roman" w:hAnsi="Times New Roman"/>
                <w:sz w:val="20"/>
              </w:rPr>
              <w:t xml:space="preserve"> </w:t>
            </w:r>
            <w:hyperlink r:id="rId12">
              <w:r>
                <w:rPr>
                  <w:rStyle w:val="InternetLink"/>
                  <w:rFonts w:ascii="Times New Roman" w:hAnsi="Times New Roman"/>
                  <w:sz w:val="20"/>
                </w:rPr>
                <w:t>March  26, 2025,</w:t>
              </w:r>
            </w:hyperlink>
            <w:r>
              <w:rPr>
                <w:rFonts w:ascii="Times New Roman" w:hAnsi="Times New Roman"/>
                <w:sz w:val="20"/>
              </w:rPr>
              <w:t xml:space="preserve"> </w:t>
            </w:r>
            <w:hyperlink r:id="rId13">
              <w:r>
                <w:rPr>
                  <w:rStyle w:val="InternetLink"/>
                  <w:rFonts w:ascii="Times New Roman" w:hAnsi="Times New Roman"/>
                  <w:sz w:val="20"/>
                </w:rPr>
                <w:t>April 21, 2025</w:t>
              </w:r>
            </w:hyperlink>
            <w:r>
              <w:rPr>
                <w:rFonts w:ascii="Times New Roman" w:hAnsi="Times New Roman"/>
                <w:sz w:val="20"/>
              </w:rPr>
              <w:t xml:space="preserve">, </w:t>
            </w:r>
            <w:hyperlink r:id="rId14">
              <w:r>
                <w:rPr>
                  <w:rStyle w:val="InternetLink"/>
                  <w:rFonts w:ascii="Times New Roman" w:hAnsi="Times New Roman"/>
                  <w:sz w:val="20"/>
                </w:rPr>
                <w:t>April  25, 2025,</w:t>
              </w:r>
            </w:hyperlink>
            <w:r>
              <w:rPr>
                <w:rFonts w:ascii="Times New Roman" w:hAnsi="Times New Roman"/>
                <w:sz w:val="20"/>
              </w:rPr>
              <w:t xml:space="preserve"> </w:t>
            </w:r>
            <w:hyperlink r:id="rId15">
              <w:r>
                <w:rPr>
                  <w:rStyle w:val="InternetLink"/>
                  <w:rFonts w:ascii="Times New Roman" w:hAnsi="Times New Roman"/>
                  <w:sz w:val="20"/>
                </w:rPr>
                <w:t>May  12, 2025,</w:t>
              </w:r>
            </w:hyperlink>
            <w:r>
              <w:rPr>
                <w:rFonts w:ascii="Times New Roman" w:hAnsi="Times New Roman"/>
                <w:sz w:val="20"/>
              </w:rPr>
              <w:t xml:space="preserve"> </w:t>
            </w:r>
            <w:hyperlink r:id="rId16">
              <w:r>
                <w:rPr>
                  <w:rStyle w:val="InternetLink"/>
                  <w:rFonts w:ascii="Times New Roman" w:hAnsi="Times New Roman"/>
                  <w:sz w:val="20"/>
                </w:rPr>
                <w:t>May  15, 2025,</w:t>
              </w:r>
            </w:hyperlink>
            <w:r>
              <w:rPr>
                <w:rFonts w:ascii="Times New Roman" w:hAnsi="Times New Roman"/>
                <w:sz w:val="20"/>
              </w:rPr>
              <w:t xml:space="preserve"> </w:t>
            </w:r>
            <w:hyperlink r:id="rId17">
              <w:r>
                <w:rPr>
                  <w:rStyle w:val="InternetLink"/>
                  <w:rFonts w:ascii="Times New Roman" w:hAnsi="Times New Roman"/>
                  <w:sz w:val="20"/>
                </w:rPr>
                <w:t>May  20, 2025,</w:t>
              </w:r>
            </w:hyperlink>
            <w:r>
              <w:rPr>
                <w:rFonts w:ascii="Times New Roman" w:hAnsi="Times New Roman"/>
                <w:sz w:val="20"/>
              </w:rPr>
              <w:t xml:space="preserve"> </w:t>
            </w:r>
            <w:hyperlink r:id="rId18">
              <w:r>
                <w:rPr>
                  <w:rStyle w:val="InternetLink"/>
                  <w:rFonts w:ascii="Times New Roman" w:hAnsi="Times New Roman"/>
                  <w:sz w:val="20"/>
                </w:rPr>
                <w:t>June  26, 2025,</w:t>
              </w:r>
            </w:hyperlink>
            <w:r>
              <w:rPr>
                <w:rFonts w:ascii="Times New Roman" w:hAnsi="Times New Roman"/>
                <w:sz w:val="20"/>
              </w:rPr>
              <w:t xml:space="preserve"> </w:t>
            </w:r>
            <w:hyperlink r:id="rId19">
              <w:r>
                <w:rPr>
                  <w:rStyle w:val="InternetLink"/>
                  <w:rFonts w:ascii="Times New Roman" w:hAnsi="Times New Roman"/>
                  <w:sz w:val="20"/>
                </w:rPr>
                <w:t>July  2, 2025,</w:t>
              </w:r>
            </w:hyperlink>
            <w:r>
              <w:rPr>
                <w:rFonts w:ascii="Times New Roman" w:hAnsi="Times New Roman"/>
                <w:sz w:val="20"/>
              </w:rPr>
              <w:t xml:space="preserve"> </w:t>
            </w:r>
            <w:hyperlink r:id="rId20">
              <w:r>
                <w:rPr>
                  <w:rStyle w:val="InternetLink"/>
                  <w:rFonts w:ascii="Times New Roman" w:hAnsi="Times New Roman"/>
                  <w:sz w:val="20"/>
                </w:rPr>
                <w:t>August  14, 2025,</w:t>
              </w:r>
            </w:hyperlink>
            <w:r>
              <w:rPr>
                <w:rFonts w:ascii="Times New Roman" w:hAnsi="Times New Roman"/>
                <w:sz w:val="20"/>
              </w:rPr>
              <w:t xml:space="preserve"> </w:t>
            </w:r>
            <w:hyperlink r:id="rId21">
              <w:r>
                <w:rPr>
                  <w:rStyle w:val="InternetLink"/>
                  <w:rFonts w:ascii="Times New Roman" w:hAnsi="Times New Roman"/>
                  <w:sz w:val="20"/>
                </w:rPr>
                <w:t>August  22, 2025</w:t>
              </w:r>
            </w:hyperlink>
            <w:r>
              <w:rPr>
                <w:rFonts w:ascii="Times New Roman" w:hAnsi="Times New Roman"/>
                <w:sz w:val="20"/>
              </w:rPr>
              <w:t xml:space="preserve"> and </w:t>
            </w:r>
            <w:hyperlink r:id="rId22">
              <w:r>
                <w:rPr>
                  <w:rStyle w:val="InternetLink"/>
                  <w:rFonts w:ascii="Times New Roman" w:hAnsi="Times New Roman"/>
                  <w:sz w:val="20"/>
                </w:rPr>
                <w:t>September 24, 2025;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23">
              <w:r>
                <w:rPr>
                  <w:rStyle w:val="InternetLink"/>
                  <w:rFonts w:ascii="Times New Roman" w:hAnsi="Times New Roman"/>
                  <w:sz w:val="20"/>
                </w:rPr>
                <w:t>Form 8-A</w:t>
              </w:r>
            </w:hyperlink>
            <w:r>
              <w:rPr>
                <w:rFonts w:ascii="Times New Roman" w:hAnsi="Times New Roman"/>
                <w:sz w:val="20"/>
              </w:rPr>
              <w:t xml:space="preserve"> filed on August 3, 2021, as updated by </w:t>
            </w:r>
            <w:hyperlink r:id="rId24">
              <w:r>
                <w:rPr>
                  <w:rStyle w:val="InternetLink"/>
                  <w:rFonts w:ascii="Times New Roman" w:hAnsi="Times New Roman"/>
                  <w:sz w:val="20"/>
                </w:rPr>
                <w:t>Exhibit 4.2</w:t>
              </w:r>
            </w:hyperlink>
            <w:r>
              <w:rPr>
                <w:rFonts w:ascii="Times New Roman" w:hAnsi="Times New Roman"/>
                <w:sz w:val="20"/>
              </w:rPr>
              <w:t xml:space="preserve"> to our Annual Report on Form 10-K for the fiscal year ended December 31, 2023,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orally or in writing, a copy of any or all of the documents incorporated herein by reference. These documents will be provided to you at no cost by contacting: Invivyd, Inc., Corporate Secretary, at 209 Church Street, New Haven, CT 06510 or (781) 819-0080. In addition, copies of any or all of the documents incorporated herein by reference may be accessed at our website at www.invivyd.com. The information contained in, or that can be accessed through, our website address is not incorporated by reference into this prospectus and is not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a28850_16"/>
      <w:bookmarkEnd w:id="1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issuance of the securities offered hereby will be passed upon for us by Hogan Lovells US LLP, Philadelphia, Pennsylvania. As appropriate, legal counsel representing the underwriters, dealers or agents will be named in the accompanying prospectus supplement and may opine to certain legal matters. </w:t>
      </w:r>
    </w:p>
    <w:p>
      <w:pPr>
        <w:pStyle w:val="TextBody"/>
        <w:bidi w:val="0"/>
        <w:spacing w:before="480" w:after="0"/>
        <w:jc w:val="center"/>
        <w:rPr>
          <w:rFonts w:ascii="Times New Roman" w:hAnsi="Times New Roman"/>
          <w:b/>
          <w:sz w:val="20"/>
        </w:rPr>
      </w:pPr>
      <w:bookmarkStart w:id="19" w:name="txa28850_17"/>
      <w:bookmarkEnd w:id="19"/>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by reference to the Annual Report on Form 10-K for the year ended December 31, 2024 have been so incorporated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511800" cy="8337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5"/>
                    <a:stretch>
                      <a:fillRect/>
                    </a:stretch>
                  </pic:blipFill>
                  <pic:spPr bwMode="auto">
                    <a:xfrm>
                      <a:off x="0" y="0"/>
                      <a:ext cx="5511800" cy="833755"/>
                    </a:xfrm>
                    <a:prstGeom prst="rect">
                      <a:avLst/>
                    </a:prstGeom>
                  </pic:spPr>
                </pic:pic>
              </a:graphicData>
            </a:graphic>
          </wp:inline>
        </w:drawing>
      </w:r>
      <w:r>
        <w:rPr/>
        <w:t xml:space="preserve"> </w:t>
      </w:r>
    </w:p>
    <w:p>
      <w:pPr>
        <w:pStyle w:val="TextBody"/>
        <w:bidi w:val="0"/>
        <w:spacing w:before="1440" w:after="0"/>
        <w:jc w:val="center"/>
        <w:rPr>
          <w:rFonts w:ascii="Times New Roman" w:hAnsi="Times New Roman"/>
          <w:b/>
          <w:sz w:val="36"/>
        </w:rPr>
      </w:pPr>
      <w:r>
        <w:rPr>
          <w:rFonts w:ascii="Times New Roman" w:hAnsi="Times New Roman"/>
          <w:b/>
          <w:sz w:val="36"/>
        </w:rPr>
        <w:t xml:space="preserve">$350,000,000 </w:t>
      </w:r>
    </w:p>
    <w:p>
      <w:pPr>
        <w:pStyle w:val="TextBody"/>
        <w:bidi w:val="0"/>
        <w:spacing w:before="14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12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120" w:after="0"/>
        <w:jc w:val="center"/>
        <w:rPr>
          <w:rFonts w:ascii="Times New Roman" w:hAnsi="Times New Roman"/>
          <w:b/>
          <w:sz w:val="28"/>
        </w:rPr>
      </w:pPr>
      <w:r>
        <w:rPr>
          <w:rFonts w:ascii="Times New Roman" w:hAnsi="Times New Roman"/>
          <w:b/>
          <w:sz w:val="28"/>
        </w:rPr>
        <w:t xml:space="preserve">Warrants </w:t>
      </w:r>
    </w:p>
    <w:p>
      <w:pPr>
        <w:pStyle w:val="TextBody"/>
        <w:bidi w:val="0"/>
        <w:spacing w:before="12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12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440" w:after="0"/>
        <w:jc w:val="center"/>
        <w:rPr/>
      </w:pPr>
      <w:r>
        <w:rPr/>
        <w:t>    </w:t>
      </w:r>
      <w:r>
        <w:rPr>
          <w:rFonts w:ascii="Times New Roman" w:hAnsi="Times New Roman"/>
          <w:b/>
          <w:sz w:val="20"/>
        </w:rPr>
        <w:t xml:space="preserve">, 2025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FF4338"/>
          <w:sz w:val="20"/>
        </w:rPr>
      </w:pPr>
      <w:r>
        <w:rPr>
          <w:rFonts w:ascii="ARIAL" w:hAnsi="ARIAL"/>
          <w:b/>
          <w:color w:val="FF4338"/>
          <w:sz w:val="20"/>
        </w:rPr>
        <w:t xml:space="preserve">The information contained in this prospectus supplement is not complete and may be changed. We may not sell these securities until the registration statement filed with the Securities and Exchange Commission is effective. This prospectus supplement is not an offer to sell these securities and it is not soliciting an offer to buy these securities in any state where such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OCTOBER 2, 2025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ind w:left="960" w:right="960" w:hanging="0"/>
        <w:jc w:val="left"/>
        <w:rPr>
          <w:rFonts w:ascii="Times New Roman" w:hAnsi="Times New Roman"/>
          <w:b/>
          <w:sz w:val="20"/>
        </w:rPr>
      </w:pPr>
      <w:r>
        <w:rPr>
          <w:rFonts w:ascii="Times New Roman" w:hAnsi="Times New Roman"/>
          <w:b/>
          <w:sz w:val="20"/>
        </w:rPr>
        <w:t xml:space="preserve">(To Prospectus dated      , 2025)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859405" cy="43243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6"/>
                    <a:stretch>
                      <a:fillRect/>
                    </a:stretch>
                  </pic:blipFill>
                  <pic:spPr bwMode="auto">
                    <a:xfrm>
                      <a:off x="0" y="0"/>
                      <a:ext cx="2859405" cy="432435"/>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Up to $75,000,000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previously entered into a Controlled Equity OfferingSM Sales Agreement, or the Sales Agreement, with Cantor Fitzgerald &amp; Co., or Cantor, relating to shares of our common stock, par value $0.0001 per share, offered by this prospectus supplement and the accompanying prospectus. In accordance with the terms of the Sales Agreement, we may offer and sell shares of our common stock having an aggregate offering price of up to $75,000,000 from time to time through Cantor, acting as sales agent, pursuant to this prospectus supplement.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listed on The Nasdaq Global Market under the symbol “IVVD.” On September 30, 2025, the last reported sale price of our common stock on The Nasdaq Global Market was $1.10 per share.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Sales of our common stock, if any, under this prospectus supplement may be made in sales deemed to be “at the market offerings” as defined in Rule 415(a)(4) promulgated under the Securities Act of 1933, as amended, or the Securities Act, including sales made directly on or through The Nasdaq Global Market or any other existing trading market for the shares of our common stock. Subject to the terms of the Sales Agreement, Cantor is not required to sell any specific number or dollar amounts of common stock but will act as our sales agent using commercially reasonable efforts consistent with its normal trading and sales practices, on mutually agreed terms between Cantor and us. There is no arrangement for funds to be received in any escrow, trust or similar arrangement.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Cantor will be entitled to compensation under the terms of the Sales Agreement at a commission rate of 3.0% of the aggregate gross proceeds from each sale of our common stock pursuant to the Sales Agreement. In connection with the sale of our common stock on our behalf, Cantor will be deemed to be an “underwriter” within the meaning of the Securities Act and the compensation of Cantor will be deemed to be underwriting commissions or discounts. We have also agreed to provide indemnification and contributions to Cantor against certain civil liabilities, including liabilities under the Securities Act. See “Plan of Distribution.”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an “emerging growth company” as defined by the Jumpstart Our Business Startups Act of 2012, or the JOBS Act, and, as such, we are subject to reduced public company reporting requirements for this prospectus supplement and future filings. Refer to the section entitled “Implications of Being an Emerging Growth Company and a Smaller Reporting Company” beginning on page S-2 of this prospectus supplement for more information.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Investing in our common stock involves a high degree of risk. See “</w:t>
      </w:r>
      <w:hyperlink w:anchor="txb28850_4">
        <w:r>
          <w:rPr>
            <w:rStyle w:val="InternetLink"/>
            <w:rFonts w:ascii="Times New Roman" w:hAnsi="Times New Roman"/>
            <w:b/>
            <w:sz w:val="24"/>
          </w:rPr>
          <w:t>Risk Factors</w:t>
        </w:r>
      </w:hyperlink>
      <w:r>
        <w:rPr>
          <w:rFonts w:ascii="Times New Roman" w:hAnsi="Times New Roman"/>
          <w:b/>
          <w:sz w:val="24"/>
        </w:rPr>
        <w:t xml:space="preserve">” beginning on page S-6 of this prospectus supplement and elsewhere in this prospectus supplement, the accompanying base prospectus and the other documents that are incorporated by reference in this prospectus supplement and the accompanying prospectus.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106930" cy="38798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7"/>
                    <a:stretch>
                      <a:fillRect/>
                    </a:stretch>
                  </pic:blipFill>
                  <pic:spPr bwMode="auto">
                    <a:xfrm>
                      <a:off x="0" y="0"/>
                      <a:ext cx="2106930" cy="387985"/>
                    </a:xfrm>
                    <a:prstGeom prst="rect">
                      <a:avLst/>
                    </a:prstGeom>
                  </pic:spPr>
                </pic:pic>
              </a:graphicData>
            </a:graphic>
          </wp:inline>
        </w:drawing>
      </w:r>
      <w:r>
        <w:rPr/>
        <w:t xml:space="preserv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The date of this prospectus supplement is     , 2025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bookmarkStart w:id="20" w:name="toc1"/>
      <w:bookmarkEnd w:id="20"/>
      <w:r>
        <w:rPr>
          <w:rFonts w:ascii="Times New Roman" w:hAnsi="Times New Roman"/>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txb28850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txb28850_2">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txb28850_3">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txb28850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txb28850_5">
              <w:r>
                <w:rPr>
                  <w:rStyle w:val="InternetLink"/>
                  <w:rFonts w:ascii="Times New Roman" w:hAnsi="Times New Roman"/>
                  <w:sz w:val="20"/>
                </w:rPr>
                <w:t>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txb28850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txb28850_7">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txb28850_8">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txb28850_9">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txb28850_10">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txb28850_11">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txb28850_12">
              <w:r>
                <w:rPr>
                  <w:rStyle w:val="InternetLink"/>
                  <w:rFonts w:ascii="Times New Roman" w:hAnsi="Times New Roman"/>
                  <w:sz w:val="20"/>
                </w:rPr>
                <w:t>INCORPORATION OF CERTAIN INFORMATION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b28850_1"/>
      <w:bookmarkEnd w:id="21"/>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registration statement that we filed on Form S-3 with the Securities and Exchange Commission, or SEC, on October 2, 2025 using a “shelf” registration process. By using a shelf registration statement, we may sell an unspecified amount of securities from time to time. Under this prospectus supplement, we may offer and sell shares of our common stock having an aggregate offering price of up to $75,000,000 from time to time through Cantor acting as our agent or principal at prices and on terms to be determined by market conditions at the time of the offering. The $75,000,000 of shares of our common stock that may be sold under this prospectus supplement are included in the $350,000,000 of shares of common stock that may be sold under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describes the specific details regarding this offering and also adds to and updates information contained in the documents incorporated by reference into this prospectus supplement. To the extent there is a conflict between the information contained in this prospectus supplement, on the one hand, and the information contained in any document incorporated by reference in this prospectus supplement, on the other hand, you should rely on the information having a later date, as applicable. Before buying any of the shares of common stock offered hereby, we urge you to read carefully this prospectus supplement and the accompanying prospectus, together with the information incorporated herein by reference as described below under the heading “Incorporation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into, this prospectus supplement and the accompanying prospectus. We have not, and Cantor has not, authorized anyone to provide you with different 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not making offers to sell or solicitations to buy shares of our common stock in any jurisdiction in which an offer or solicitation is not authorized or in which the person making that offer or solicitation is not qualified to do so or to anyone to whom it is unlawful to make an offer or solicitation. You should assume that the information in this prospectus supplement and the accompanying prospectus is accurate only as of the date on the front of the respective document and that any information that we have incorporated by reference is accurate only as of the date of the document incorporated by reference, regardless of the time of delivery of this prospectus supplement or the accompanying prospectus or the time of any sale of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herein by reference as exhibits to the registration statement, and you may obtain copies of those documents as described below under the section entitled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contain and incorporate by reference market data and industry statistics and forecasts that are based on independent industry publications and other publicly-available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supplement,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accompanying prospectus or the documents incorporated herein by reference, these estimates involve risks and uncertainties and are subject to change based on various factors, including those discussed under the headings “Risk Factors” in this prospectus supplement and the accompanying prospectus, and under similar headings in the other documents that are incorporated herein by reference.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References in this prospectus supplement to the terms “the Company,” “Invivyd,” “we,” “our” and “us” or other similar terms mean Invivyd, Inc. and our wholly-owned subsidiaries, unless we state otherwise or the context indicates otherwise. </w:t>
      </w:r>
    </w:p>
    <w:p>
      <w:pPr>
        <w:pStyle w:val="TextBody"/>
        <w:bidi w:val="0"/>
        <w:spacing w:before="240" w:after="0"/>
        <w:jc w:val="left"/>
        <w:rPr/>
      </w:pPr>
      <w:r>
        <w:rPr/>
        <w:t>“</w:t>
      </w:r>
      <w:r>
        <w:rPr>
          <w:rFonts w:ascii="Times New Roman" w:hAnsi="Times New Roman"/>
          <w:sz w:val="20"/>
        </w:rPr>
        <w:t xml:space="preserve">Invivyd,” “PEMGARDA,” “INVYMAB” as well as logos and certain stylized versions of these word marks are registered trademarks of Invivyd, Inc. This prospectus supplement and the accompanying prospectus and the documents incorporated by reference herein and therein may also contain trademarks and trade names that are the property of their respective owners. We do not intend our use or display of other companies’ trade names, trademarks or service marks to imply relationships with, or endorsements or sponsorship of us by, these other companies.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22" w:name="txb28850_2"/>
      <w:bookmarkEnd w:id="22"/>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about us and this offering and does not contain all of the information that you should consider in making your investment decision. You should carefully read this entire prospectus supplement and the accompanying prospectus, including the risks and uncertainties discussed under the heading “Risk Factors” beginning on page S-6 of this prospectus supplement, and the information incorporated by reference in this prospectus supplement and the accompanying prospectus, including our financial statements, before making an investment decision. If you invest in our securities, you are assuming a high degree of risk.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biopharmaceutical company devoted to delivering protection from serious viral infectious diseases, beginning with SARS-CoV-2. PEMGARDA® (pemivibart) is our first monoclonal antibody, or mAb, to receive regulatory authorization and was designed to keep pace with SARS-CoV-2 viral evolution.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March 22, 2024, we received emergency use authorization, or EUA, from the U.S. Food and Drug Administration, or FDA, for PEMGARDA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January 2024, we nominated VYD2311, a next generation mAb candidate for COVID-19, as a drug candidate, and in September 2024, we announced dosing of the first participants in a Phase 1/2 clinical trial of VYD2311. VYD2311 is a mAb with high in vitro neutralization potency shown against prominent SARS-CoV-2 variants tested to date. The Phase 1/2 randomized, blinded, placebo-controlled clinical trial evaluated escalating dosing as well as safety, tolerability, pharmacokinetics and immunogenicity of VYD2311 in healthy trial participants. The Phase 1/2 clinical trial was conducted in Australia and evaluated multiple dose levels of VYD2311 through various routes of administration, including exploration of intramuscular administration and subcutaneous administration, which are designed to be more system- and patient-friendly than intravenous administration. In June 2025, we announced positive full Phase 1/2 clinical data for VYD2311 for both safety and pharmacokinetics. In August 2025, we announced alignment with advice from the FDA on a compact and, therefore, rapid pathway to potential Biologics License Application, or BLA, approval for VYD2311 for the prevention of COVID-19. As part of a recent Type C meeting, the FDA advised us that a single, Phase 2/3 randomized, double-blind, placebo-controlled trial evaluating mAb efficacy from a relatively modest number of RT-PCR-confirmed symptomatic COVID-19 disease events could support a BLA submission for VYD2311 for the prevention of COVID-19 in a broad population of Americans (12 years of age and older, weighing at least 40kg), including immunocompromised people, subject to agreement on safety database size and pending full protocol review. Like pemivibart, VYD2311 was engineered from adintrevimab, our investigational mAb that has a robust safety data package and demonstrated clinically meaningful results in global Phase 2/3 clinical trials for both the prevention and treatment of COVID-19.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July 2025, we announced that we had formed the SPEAR (Spike Protein Elimination and Recovery) Study Group with leading investigators to structure and guide anticipated clinical trials evaluating the effects of broadly neutralizing anti-SARS-CoV-2 spike protein mAb therapy in people suffering from Long COVID or Post- Vaccination Syndrome, or PVS. The SPEAR Study Group intends to launch multi-center translational clinical research on Long COVID and PVS using next-generation antibodies like our investigational mAb candidate VYD2311.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Globally, COVID-19 has caused millions of deaths and lasting health problems in many survivors and remains a significant global health concern, particularly for immunocompromised individuals. Isolation and mental health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impacts, absenteeism from work, and educational losses for children have been profound consequences of this crisis. COVID-19 persists and continues to impact patients, notably those who are immunocompromised, and combating this disease will require a variety of effective and safe prevention and treatment options for years to come. By leveraging our capabilities, which we have developed through our experience with adintrevimab and pemivibart and over five years in the COVID-19 space, we aim to develop mAbs that could be used in prevention or treatment of serious viral diseases, starting with COVID-19 and potentially expanding into other high-need indications.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PEMGARDA has not been approved, but has been authorized for emergency use by the FDA under an EUA, for pre-exposure prophylaxis of COVID-19 in certain adults and adolescent individuals (12 years of age and older weighing at least 40 kg). 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engage in active SARS-CoV-2 variant monitoring of antiviral activity as part of our ongoing industrial virology effort, which leverages a consistent, high-quality, independent, third-party pseudoviral system that routinely tests authentic Invivyd-produced molecules and is supported by structure-based analytics. In September 2024, we announced continued neutralizing activity of PEMGARDA against SARS-CoV-2 variants KP.3.1.1 and LB.1, and attractive neutralization potency of VYD2311 against the same contemporary viruses, and also provided an update to ongoing structural analysis showing no meaningful mutational change in the pemivibart binding site since the Omicron shift late in 2021. In January 2025, March 2025 and August 2025, we announced continued neutralizing activity of PEMGARDA and VYD2311 against dominant SARS-CoV-2 variants XEC, LP.8.1 and XFG, respectively.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about our company, please refer to other documents that we have filed with the SEC and that are incorporated by reference in this prospectus supplement, as listed under the heading “Incorporation of Certain Information by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in June 2020. We operate as a hybrid company. Our principal executive offices are located at 209 Church Street, New Haven, CT 06510 and our telephone number is (781) 819-0080. Our website address is www.invivyd.com. We do not incorporate the information on, or accessible through, our website into this prospectus, and you should not consider any information on, or accessible through, our website as part of this prospectus supplement.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the JOBS Act and may remain an emerging growth company until the last day of the fiscal year following the fifth anniversary of the completion of our initial public offering. However, if certain events occur prior to the end of such five-year period, including if we become a “large accelerated filer,” our annual gross revenues exceed $1.235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compliance with the auditor attestation requirement in the assessment of our internal control over financial reporting;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obligations regarding executive compensation;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a non-binding advisory vote on executive compensation and stockholder approval of any golden parachute payments not previously approved;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compliance with the requirements of the Public Company Accounting Oversight Board regarding the communication of critical audit matters in the auditor’s report on the financial statements.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from new or revised accounting standards and, therefore, may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as defined in the Securities Exchange Act of 1934, as amended, or the Exchange Act. We may continue to be a smaller reporting company even after we are no longer an emerging growth company, which would allow us to take advantage of many of the same exemptions available to emerging growth companies.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In addition, if we are a smaller reporting company with less than $100.0 million in annual revenue, we would not be required to comply with the auditor attestation requirements of Section 404 of the Sarbanes-Oxley Act of 2002.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23" w:name="txb28850_3"/>
      <w:bookmarkEnd w:id="23"/>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offered by us pursuant to this prospectus supplement </w:t>
            </w:r>
          </w:p>
        </w:tc>
        <w:tc>
          <w:tcPr>
            <w:tcW w:w="6328" w:type="dxa"/>
            <w:tcBorders/>
          </w:tcPr>
          <w:p>
            <w:pPr>
              <w:pStyle w:val="TableContents"/>
              <w:bidi w:val="0"/>
              <w:spacing w:before="0" w:after="283"/>
              <w:jc w:val="left"/>
              <w:rPr/>
            </w:pPr>
            <w:r>
              <w:rPr/>
              <w:t xml:space="preserve">Shares of our common stock having an aggregate offering price of up to $75,000,000.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to be outstanding after this offering </w:t>
            </w:r>
          </w:p>
        </w:tc>
        <w:tc>
          <w:tcPr>
            <w:tcW w:w="6327" w:type="dxa"/>
            <w:tcBorders/>
          </w:tcPr>
          <w:p>
            <w:pPr>
              <w:pStyle w:val="TableContents"/>
              <w:bidi w:val="0"/>
              <w:spacing w:before="0" w:after="283"/>
              <w:jc w:val="left"/>
              <w:rPr/>
            </w:pPr>
            <w:r>
              <w:rPr/>
              <w:t xml:space="preserve">Up to 275,884,859 shares (as more fully described in the notes following this table), assuming sales of 61,475,409 shares of our common stock in this offering at an offering price of $1.22 per share, which was the last reported sale price of our common stock on The Nasdaq Global Market on September 22, 2025. The actual number of shares issued will vary depending on the sales price under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Plan of Distribution </w:t>
            </w:r>
          </w:p>
        </w:tc>
        <w:tc>
          <w:tcPr>
            <w:tcW w:w="6328" w:type="dxa"/>
            <w:tcBorders/>
          </w:tcPr>
          <w:p>
            <w:pPr>
              <w:pStyle w:val="TableContents"/>
              <w:bidi w:val="0"/>
              <w:spacing w:before="0" w:after="283"/>
              <w:jc w:val="left"/>
              <w:rPr/>
            </w:pPr>
            <w:r>
              <w:rPr/>
              <w:t>“</w:t>
            </w:r>
            <w:r>
              <w:rPr/>
              <w:t xml:space="preserve">At the market offering” as defined in Rule 415(a)(4) under the Securities Act, that may be made from time to time on The Nasdaq Global Market, the existing trading market for our common stock, through our sales agent, Cantor. See “Plan of Distribution” on page S-14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7" w:type="dxa"/>
            <w:tcBorders/>
          </w:tcPr>
          <w:p>
            <w:pPr>
              <w:pStyle w:val="TableContents"/>
              <w:bidi w:val="0"/>
              <w:spacing w:before="0" w:after="283"/>
              <w:jc w:val="left"/>
              <w:rPr/>
            </w:pPr>
            <w:r>
              <w:rPr/>
              <w:t xml:space="preserve">We intend to use the net proceeds from this offering to fund research and development related to VYD2311 and our other pipeline programs, launch readiness activities related to potential commercialization of VYD2311, commercialization costs related to PEMGARDA, and for working capital and other general corporate purposes. We may also use a portion of the net proceeds from this offering to acquire or invest in complementary businesses, technologies, additional product candidates or other intellectual property, although we have no present commitments or agreements to do so. See “Use of Proceeds” on page S-11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7" w:type="dxa"/>
            <w:tcBorders/>
          </w:tcPr>
          <w:p>
            <w:pPr>
              <w:pStyle w:val="TableContents"/>
              <w:bidi w:val="0"/>
              <w:spacing w:before="0" w:after="283"/>
              <w:jc w:val="left"/>
              <w:rPr/>
            </w:pPr>
            <w:r>
              <w:rPr/>
              <w:t xml:space="preserve">An investment in our common stock involves a high degree of risk. See the information contained in or incorporated by reference under “Risk Factors” beginning on page S-6 of this prospectus supplement, page 34 of our Annual Report on Form 10-K for the fiscal year ended December 31, 2024, page 39 of our Quarterly Report on Form 10-Q for the quarter ended June 30, 2025 and under similar headings in the other documents that are incorporated by reference herein, as well as the other information included in or incorporated by reference in this prospectus supplement and the accompanying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The Nasdaq Global Market symbol </w:t>
            </w:r>
          </w:p>
        </w:tc>
        <w:tc>
          <w:tcPr>
            <w:tcW w:w="6326" w:type="dxa"/>
            <w:tcBorders/>
          </w:tcPr>
          <w:p>
            <w:pPr>
              <w:pStyle w:val="TableContents"/>
              <w:bidi w:val="0"/>
              <w:spacing w:before="0" w:after="283"/>
              <w:jc w:val="left"/>
              <w:rPr/>
            </w:pPr>
            <w:r>
              <w:rPr/>
              <w:t>“</w:t>
            </w:r>
            <w:r>
              <w:rPr/>
              <w:t xml:space="preserve">IVVD”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Outstanding Shares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after this offering is based on 214,409,450 shares of our common stock outstanding as of September 22, 2025. Unless specifically stated otherwise, the information in this prospectus supplement is as of September 22, 2025,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21,672,173 shares of our common stock issuable upon the exercise of stock options outstanding as of September 22, 2025 at a weighted-average exercise price of $3.06 per share at that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1,539,000 shares of our common stock issuable upon the vesting and settlement of restricted stock units outstanding as of September 22,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12,658,886 shares of our common stock reserved for future issuance under our 2021 Equity Incentive Plan, or the 2021 Plan, as of September 22,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6,824,712 shares of our common stock issuable upon exercise of warrants outstanding as of September 22, 2025 at a weighted-average exercise price of $3.48 per share at that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589,957 shares of our common stock reserved for future issuance under our 2021 Employee Stock Purchase Plan, or the ESPP, as of September 22, 2025;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21,342,442 shares of our common stock issuable upon exercise of pre-funded warrants outstanding as of September 22, 2025 at an exercise price of $0.0001 per share.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supplement reflects or assumes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Exclusion of the forfeiture of stock options to acquire 336,034 shares of our common stock subsequent to September 22, 2025 through September 30,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equity awards granted subsequent to September 22, 2025 through September 30,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stock options to acquire shares of our common stock subsequent to September 22, 2025 through September 30,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outstanding warrants or pre-funded warrants;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vesting or settlement of restricted stock units subsequent to September 22, 2025 through September 30,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b28850_4"/>
      <w:bookmarkEnd w:id="24"/>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involves a high degree of risk. Before investing in our common stock, you should carefully consider the risks described below, together with all of the other information contained in this prospectus supplement and the accompanying prospectus and incorporated by reference herein and therein, including from our most recent Annual Report on Form 10-K and any subsequent Quarterly Reports on Form 10-Q or Current Reports on Form 8-K, as well as any amendments or updates to our risk factors thereto reflected in subsequent filings with the SEC. Some of these factors relate principally to our business and the industry in which we operate. Other factors relate principally to your investment in our securities. The risks and uncertainties described therein and below are not the only risks facing us. Additional risks and uncertainties not presently known to us or that we currently deem immaterial may also materially and adversely affect our business and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If any of the matters included in the following risks were to occur, our business, financial condition, results of operations, cash flows or prospects could be materially and adversely affected. In such case, you may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A substantial number of shares of our common stock may be sold in the market following this offering, which may depress the market price for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our common stock in the public market following this offering could cause the market price of our common stock to decline. Although there can be no assurance that any of the $75.0 million worth of shares of our common stock being offered under this prospectus supplement will be sold or the price at which any such shares might be sold, assuming that an aggregate of 61,475,409 shares of our common stock are sold for example, at a price of $1.22 per share, the last reported sale price of our common stock on The Nasdaq Global Market on September 22, 2025, upon completion of this offering, based on our shares outstanding as of September 22, 2025, we will have outstanding an aggregate of 275,884,859 shares of common stock, assuming no exercise of our outstanding stock options or warrants or settlement of our outstanding restricted stock units. A substantial majority of the outstanding shares of our common stock are, and all of the shares of our common stock sold in this offering upon issuance will be, freely tradable without restriction or further registration under the Securities Act, unless these shares are owned or purchased by “affiliates” as that term is defined in Rule 144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of September 22, 2025, we had outstanding (i) options to purchase an aggregate of 21,672,173 shares of our common stock at a weighted-average exercise price of $3.06 per share at that date, pursuant to our 2020 Equity Incentive Plan, or the 2020 Plan, and the 2021 Plan and (ii) 1,539,000 shares of common stock underlying restricted stock units, pursuant to the 2021 Plan. As of September 22, 2025, there were no shares of our common stock reserved for future issuance under the 2020 Plan, 12,658,886 shares of our common stock reserved for future issuance under our 2021 Plan and 589,957 shares of our common stock reserved for future issuance under our ESPP. From September 23, 2025 through September 30, 2025, stock options to acquire 336,034 shares of our common stock were forfeited. As of September 30, 2025, there were no shares of our common stock reserved for future issuance under the 2020 Plan, 12,921,920 shares of our common stock reserved for future issuance under our 2021 Plan and 589,957 shares of our common stock reserved for future issuance under our ESPP. The shares of our common stock issuable under the 2020 Plan, the 2021 Plan and the ESPP may be immediately eligible for resale in the open market. Such shares, along with any other market transactions, could adversely affect the market price of our common stock. Additional dilution may result from the issuance of shares of our common stock in connection with additional financings or in connection with commercial transactions. </w:t>
      </w:r>
    </w:p>
    <w:p>
      <w:pPr>
        <w:pStyle w:val="TextBody"/>
        <w:bidi w:val="0"/>
        <w:spacing w:before="240" w:after="0"/>
        <w:jc w:val="left"/>
        <w:rPr>
          <w:rFonts w:ascii="Times New Roman" w:hAnsi="Times New Roman"/>
          <w:sz w:val="20"/>
        </w:rPr>
      </w:pPr>
      <w:r>
        <w:rPr>
          <w:rFonts w:ascii="Times New Roman" w:hAnsi="Times New Roman"/>
          <w:sz w:val="20"/>
        </w:rPr>
        <w:t xml:space="preserve">Moreover, if we issue options, restricted stock units, warrants or other securities to purchase or acquire our common stock in the future and those options, restricted stock units, warrants or other securities are exercised,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converted or settled you may experience further dilution. Holders of shares of our common stock have no preemptive rights that entitle them to purchase their pro rata share of any offering of shares of any class or series.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immediate and substantial dilution. </w:t>
      </w:r>
    </w:p>
    <w:p>
      <w:pPr>
        <w:pStyle w:val="TextBody"/>
        <w:bidi w:val="0"/>
        <w:spacing w:before="120" w:after="0"/>
        <w:jc w:val="left"/>
        <w:rPr>
          <w:rFonts w:ascii="Times New Roman" w:hAnsi="Times New Roman"/>
          <w:sz w:val="20"/>
        </w:rPr>
      </w:pPr>
      <w:r>
        <w:rPr>
          <w:rFonts w:ascii="Times New Roman" w:hAnsi="Times New Roman"/>
          <w:sz w:val="20"/>
        </w:rPr>
        <w:t xml:space="preserve">The offering price per share in this offering may exceed the pro forma as-adjusted net tangible book value per share of our common stock outstanding prior to this offering. Assuming that an aggregate of 61,475,409 shares of our common stock are sold at a price of $1.22 per share, the last reported sale price of our common stock on The Nasdaq Global Market on September 22, 2025, for aggregate gross proceeds of $75.0 million, and after deducting commissions and estimated offering expenses payable by us, you will experience immediate dilution of $0.64 per share, representing the difference between our pro forma as-adjusted net tangible book value per share as of June 30, 2025 after giving effect to this offering and the assumed offering price. The exercise of outstanding stock options and warrants and the settlement of our outstanding restricted stock units will result in further dilution of your investment. See the section entitled “Dilution” below for a more detailed illustration of the dilution you would incur if you participate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future dilution as a result of future equity offerings or other equity issuances. </w:t>
      </w:r>
    </w:p>
    <w:p>
      <w:pPr>
        <w:pStyle w:val="TextBody"/>
        <w:bidi w:val="0"/>
        <w:spacing w:before="120" w:after="0"/>
        <w:jc w:val="left"/>
        <w:rPr>
          <w:rFonts w:ascii="Times New Roman" w:hAnsi="Times New Roman"/>
          <w:sz w:val="20"/>
        </w:rPr>
      </w:pPr>
      <w:r>
        <w:rPr>
          <w:rFonts w:ascii="Times New Roman" w:hAnsi="Times New Roman"/>
          <w:sz w:val="20"/>
        </w:rPr>
        <w:t xml:space="preserve">In order to raise additional capital, we may in the future offer and issue additional shares of our common stock or other securities convertible into, exercisable or exchangeable for, or settled in, our common stock. We cannot assure you that we will be able to sell shares of our common stock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exercisable or exchangeable for, or settled in, our common stock in future transactions may be higher or lower than the price per share in this offering. As of September 22, 2025, we had reserved 64,627,170 shares of our common stock for issuance upon the exercise of outstanding stock options and warrants, the settlement of our outstanding restricted stock units and the issuance of awards available for grant under our 2020 Plan, 2021 Plan and ESPP. You will incur dilution upon the issuance of any shares of our common stock pursuant to such plans, upon vesting and settlement of any stock awards under any such plan, upon exercise of any such outstanding options, or upon the vesting and settlement of any warrants issued outside of any such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broad discretion in how we use the net proceeds of this offering and, despite our efforts, we may not use these net proceeds effectively or in ways with which you agree. </w:t>
      </w:r>
    </w:p>
    <w:p>
      <w:pPr>
        <w:pStyle w:val="TextBody"/>
        <w:bidi w:val="0"/>
        <w:spacing w:before="120" w:after="0"/>
        <w:jc w:val="left"/>
        <w:rPr>
          <w:rFonts w:ascii="Times New Roman" w:hAnsi="Times New Roman"/>
          <w:sz w:val="20"/>
        </w:rPr>
      </w:pPr>
      <w:r>
        <w:rPr>
          <w:rFonts w:ascii="Times New Roman" w:hAnsi="Times New Roman"/>
          <w:sz w:val="20"/>
        </w:rPr>
        <w:t xml:space="preserve">We intend to use the net proceeds from this offering to fund research and development related to VYD2311 and our other pipeline programs, launch readiness activities related to potential commercialization of VYD2311, commercialization costs related to PEMGARDA, and for working capital and other general corporate purposes. We may also use a portion of the net proceeds from this offering to acquire or invest in complementary businesses, technologies, additional product candidates or other intellectual property, although we have no present commitments or agreements to do so. However, we have not determined the specific allocation of the net proceeds among these potential uses. Our management will have broad discretion over the use and investment of the net proceeds of this offering, and, accordingly, investors in this offering will need to rely upon the judgment of our management with respect to the use of proceeds, with only limited information concerning our specific intentions. Our stockholders may not agree with the manner in which our management chooses to allocate and spend the net proceeds. Moreover, our management may use the net proceeds for corporate purposes that may not increase the market price of our common stock. Please see the section entitled “Use of Proceeds” on page S-11 of this prospectus supplement for further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do not anticipate paying any cash dividends on our capital stock in the foreseeable future; accordingly, capital appreciation, if any, will be your sole source of gain and you may never receive a return on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or paid cash dividends on our capital stock, and you should not rely on an investment in our common stock to provide dividend income. We currently intend to retain all of our future earnings, if any, to finance the growth and development of our business and do not anticipate declaring or paying any cash dividends for the foreseeable future. As a result, capital appreciation, if any, of our common stock will be your sole source of gain for the foreseeable future. Furthermore, we may in the future become subject to additional contractual restrictions on, or prohibitions against, the payment of dividends.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It is not possible to predict the aggregate proceeds resulting from sales made under the Sales Agreement, or the actual number of shares that we will issue under the Sales Agreement.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in the Sales Agreement and compliance with applicable law, we have the discretion to deliver a placement notice to Cantor at any time throughout the term of the Sales Agreement. The number of shares of our common stock that are sold through Cantor after delivering a placement notice will fluctuate based on a number of factors, including the market price of our common stock during the sales period, any limits we may set with Cantor in any applicable placement notice and the demand for our common stock. Because this offering can be terminated at any time and the price per share of each share sold pursuant to the Sales Agreement will fluctuate over time, it is not currently possible to predict the aggregate proceeds to be raised or the number of shares of our common stock that will be issued in connection with sales under the Sales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of common stock offered hereby will be in “at the market offerings,” and investors who buy shares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Investors who purchase shares of our common stock in this offering at different times will likely pay different prices, and accordingly may experience different levels of dilution and different outcomes in their investment results. We will have discretion, subject to market demand, to vary the timing, prices and number of shares of our common stock sold in this offering. In addition, subject to the final determination by our board of directors or a committee thereof, or any restrictions we may place in any applicable placement notice delivered to Cantor, there is no minimum or maximum sales price for shares of our common stock to be sold in this offering. Investors may experience a decline in the value of the shares of our common stock they purchase in this offering as a result of sales made at prices lower than the prices they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b28850_5"/>
      <w:bookmarkEnd w:id="25"/>
      <w:r>
        <w:rPr>
          <w:rFonts w:ascii="Times New Roman" w:hAnsi="Times New Roman"/>
          <w:b/>
          <w:sz w:val="20"/>
        </w:rPr>
        <w:t xml:space="preserve">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Various statements made in this prospectus supplement are forward-looking and involve risks and uncertainties. All statements that address activities, events or developments that we intend, expect or believe may occur in the future are forward-looking statements within the meaning of Section 27A of the Securities Act and Section 21E of the Exchange Act. Such statements give our current expectations or forecasts of future events and are not statements of historical or current facts. These statements include, among others,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related to the commercialization of PEMGARDA® (pemivibart), which received an EUA from the FDA, in March 2024, including our expectations about the potential market opportunity;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 of PEMGARDA to keep pace with SARS-CoV-2 viral evolution;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VYD2311, our next generation mAb candidate for COVID-19, and the potential of VYD2311 to offer the ability to deliver clinically meaningful titer levels through more system- and patient-friendly means;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availability of a rapid pathway to potential BLA approval for VYD2311 for the prevention of COVID-19 and the compact pivotal clinical trial that could support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timing, design, progress and results of preclinical studies and clinical trials of our product candidates, including statements regarding initiation or completion of studies or trials and related preparatory work, the period during which results of any studies or trials will become available, and potential regulatory submissions;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devotion to delivering protection from serious viral infectious diseases, and our aim to develop mAbs that could be used in prevention or treatment of serious viral diseases, starting with COVID-19 and potentially expanding into other high-need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discovery efforts to assess pipeline expansion beyond SARS-CoV-2, including potential targets such as respiratory syncytial virus and measles;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goal of establishing streamlined development pathways to efficiently introduce new mAb candidates targeting SARS-CoV-2;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regulatory pathway for our product candidates, including the anticipated timing of any submission of filings for regulatory authorization or approval of, and our ability to obtain and maintain regulatory authorizations or approvals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regarding SARS-CoV-2 variant monitoring of antiviral activity as part of our ongoing industrial virology effort;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size of the patient populations, market acceptance and opportunity for and clinical utility of our product candidates, if authorized or approved for commercial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manufacturing capabilities and strategy, and our expectations regarding supply and demand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commercialize our product candidates, if authorized or approved, including our distribution capabilities and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and develop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SPEAR Study Group, including its anticipated focus, goals and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our expenses, ongoing losses, future potential revenue, capital requirements and our need for or ability to obtain additional funding;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ability to continue as a going concern;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position and the development of and projections relating to our competitors or our industry;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intended use of proceeds from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cannot guarantee that the results and other expectations expressed, anticipated or implied in any forward-looking statement will be realized. The risks set forth under Item 1A of our Annual Report on Form 10-K for the fiscal year ended December 31, 2024 and any supplementary risks set forth under Item 1A of our Quarterly Reports on Form 10-Q and other documents we file with the SEC describe major risks to our business, and you should read and interpret any forward-looking statements together with these risks. A variety of factors, including these risks, could cause our actual results and other expectations to differ materially from the anticipated results or other expectations expressed, anticipated or implied in our forward-looking statements. You should read and interpret any forward-looking statements in light of these risks.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supplement, the base prospectus and the documents that we incorporate by reference herein and therein completely and with the understanding that our actual future results may be materially different from what we expect. The forward-looking statements contained in this prospectus supplement are made as of the date of this prospectus supplement and we do not assume any obligation to update any forward-looking statements, whether as a result of new information, future events or otherwise, except as required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b28850_6"/>
      <w:bookmarkEnd w:id="26"/>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may issue and sell shares of common stock having aggregate sales proceeds of up to $75.0 million from time to time, before deducting sales agent commissions and expenses. The amount of proceeds from this offering will depend upon the number of shares of our common stock sold and the market price at which they are sold. There can be no assurance that we will be able to sell any shares of our common stock under, or fully utilize, the Sales Agreement as a source of financing.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this offering to fund research and development related to VYD2311 and our other pipeline programs, launch readiness activities related to potential commercialization of VYD2311, commercialization costs related to PEMGARDA, and for working capital and other general corporate purposes. We may also use a portion of the net proceeds from this offering to acquire or invest in complementary businesses, technologies, additional product candidates or other intellectual property, although we have no present commitments or agreements to do so. </w:t>
      </w:r>
    </w:p>
    <w:p>
      <w:pPr>
        <w:pStyle w:val="TextBody"/>
        <w:bidi w:val="0"/>
        <w:spacing w:before="240" w:after="0"/>
        <w:jc w:val="left"/>
        <w:rPr>
          <w:rFonts w:ascii="Times New Roman" w:hAnsi="Times New Roman"/>
          <w:sz w:val="20"/>
        </w:rPr>
      </w:pPr>
      <w:r>
        <w:rPr>
          <w:rFonts w:ascii="Times New Roman" w:hAnsi="Times New Roman"/>
          <w:sz w:val="20"/>
        </w:rPr>
        <w:t xml:space="preserve">The amounts and timing of our use of the net proceeds from this offering will depend on a number of factors, such as the timing and progress of our commercialization efforts, research and development efforts, the timing and progress of any partnering efforts, technological advances and the competitive environment for our product candidates. As of the date of this prospectus supplement, we cannot specify with certainty all of the particular uses for the net proceeds to us from the sale of the shares of common stock offered by us hereunder. Accordingly, our management will have broad discretion in the timing and application of these proceeds. Pending application of the net proceeds as described above, we intend to temporarily invest the proceeds in short-term, interest-bearing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b28850_7"/>
      <w:bookmarkEnd w:id="27"/>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Purchasers of common stock in this offering will experience immediate dilution to the extent of the difference between the public offering price per share of common stock and the pro forma as-adjusted net tangible book value per share of common stock immediately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net tangible book value as of June 30, 2025 was approximately $42.8 million, or $0.36 per share of common stock. Net tangible book value per share is determined by dividing total tangible assets less total liabilities, excluding items such as intangibles, by the aggregate number of shares of common stock outstanding as of June 30, 2025. </w:t>
      </w:r>
    </w:p>
    <w:p>
      <w:pPr>
        <w:pStyle w:val="TextBody"/>
        <w:bidi w:val="0"/>
        <w:spacing w:before="240" w:after="0"/>
        <w:jc w:val="left"/>
        <w:rPr>
          <w:rFonts w:ascii="Times New Roman" w:hAnsi="Times New Roman"/>
          <w:sz w:val="20"/>
        </w:rPr>
      </w:pPr>
      <w:r>
        <w:rPr>
          <w:rFonts w:ascii="Times New Roman" w:hAnsi="Times New Roman"/>
          <w:sz w:val="20"/>
        </w:rPr>
        <w:t xml:space="preserve">Our pro forma net tangible book value as of June 30, 2025 was approximately $96.3 million, or $0.42 per share of common stock. Pro forma net tangible book value per share represents net tangible book value divided by the number of shares of our common stock outstanding, after giving effect to our issuance and sale of (i) 89,234,480 shares of our common stock at the public offering of $0.52 per share and (ii) pre-funded warrants to purchase up to 21,342,442 shares of our common stock at the public offering price of $0.5199 per pre-funded warrant, including shares of common stock issuable upon exercise of the pre-funded warrants, and after deducting the underwriting discounts and commissions and the estimated offering expenses payable by us, subsequent to June 30, 2025, in connection with our August 2025 underwritten public offering of securities, or the August 2025 Offering. </w:t>
      </w:r>
    </w:p>
    <w:p>
      <w:pPr>
        <w:pStyle w:val="TextBody"/>
        <w:bidi w:val="0"/>
        <w:spacing w:before="240" w:after="0"/>
        <w:jc w:val="left"/>
        <w:rPr>
          <w:rFonts w:ascii="Times New Roman" w:hAnsi="Times New Roman"/>
          <w:sz w:val="20"/>
        </w:rPr>
      </w:pPr>
      <w:r>
        <w:rPr>
          <w:rFonts w:ascii="Times New Roman" w:hAnsi="Times New Roman"/>
          <w:sz w:val="20"/>
        </w:rPr>
        <w:t xml:space="preserve">Dilution per share to new investors represents the difference between the amount per share paid by purchasers of our common stock in this offering and the pro forma as-adjusted net tangible book value per share of our common stock immediately following the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sale of shares of common stock offered by this prospectus supplement at an assumed public offering price of $1.22 per share of common stock (the last reported sale price of our common stock on The Nasdaq Global Market on September 22, 2025), and after deducting the commissions and estimated aggregate offering expenses payable by us, our pro forma as-adjusted net tangible book value as of June 30, 2025 would have been approximately $169.1 million, or $0.58 per share of common stock. This represents an immediate increase in pro forma net tangible book value of $0.16 per share to our existing stockholders and an immediate dilution of $0.64 per share of common stock issued to the new investors purchasing securities in this offering, as illustrated by the following table: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63"/>
        <w:gridCol w:w="388"/>
        <w:gridCol w:w="146"/>
        <w:gridCol w:w="450"/>
        <w:gridCol w:w="60"/>
        <w:gridCol w:w="388"/>
        <w:gridCol w:w="146"/>
        <w:gridCol w:w="450"/>
        <w:gridCol w:w="64"/>
      </w:tblGrid>
      <w:tr>
        <w:trPr/>
        <w:tc>
          <w:tcPr>
            <w:tcW w:w="5663"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6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public offering price per share of common stock</w:t>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4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450" w:type="dxa"/>
            <w:tcBorders/>
            <w:shd w:fill="CCEEFF" w:val="clear"/>
            <w:vAlign w:val="bottom"/>
          </w:tcPr>
          <w:p>
            <w:pPr>
              <w:pStyle w:val="TableContents"/>
              <w:bidi w:val="0"/>
              <w:spacing w:before="0" w:after="283"/>
              <w:jc w:val="right"/>
              <w:rPr/>
            </w:pPr>
            <w:r>
              <w:rPr/>
              <w:t>1.22</w:t>
            </w:r>
          </w:p>
        </w:tc>
        <w:tc>
          <w:tcPr>
            <w:tcW w:w="64" w:type="dxa"/>
            <w:tcBorders/>
            <w:shd w:fill="CCEEFF" w:val="clear"/>
            <w:vAlign w:val="bottom"/>
          </w:tcPr>
          <w:p>
            <w:pPr>
              <w:pStyle w:val="TableContents"/>
              <w:bidi w:val="0"/>
              <w:spacing w:before="0" w:after="283"/>
              <w:jc w:val="left"/>
              <w:rPr/>
            </w:pPr>
            <w:r>
              <w:rPr/>
              <w:t> </w:t>
            </w:r>
          </w:p>
        </w:tc>
      </w:tr>
      <w:tr>
        <w:trPr/>
        <w:tc>
          <w:tcPr>
            <w:tcW w:w="5663"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June 30, 2025</w:t>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450" w:type="dxa"/>
            <w:tcBorders/>
            <w:vAlign w:val="bottom"/>
          </w:tcPr>
          <w:p>
            <w:pPr>
              <w:pStyle w:val="TableContents"/>
              <w:bidi w:val="0"/>
              <w:spacing w:before="0" w:after="283"/>
              <w:jc w:val="right"/>
              <w:rPr/>
            </w:pPr>
            <w:r>
              <w:rPr/>
              <w:t>0.36</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6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our issuance of common stock and pre-funded warrants pursuant to the August 2025 Offering</w:t>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450" w:type="dxa"/>
            <w:tcBorders/>
            <w:shd w:fill="CCEEFF" w:val="clear"/>
            <w:vAlign w:val="bottom"/>
          </w:tcPr>
          <w:p>
            <w:pPr>
              <w:pStyle w:val="TableContents"/>
              <w:bidi w:val="0"/>
              <w:spacing w:before="0" w:after="283"/>
              <w:jc w:val="right"/>
              <w:rPr/>
            </w:pPr>
            <w:r>
              <w:rPr/>
              <w:t>0.06</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45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663"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4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663"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tangible book value per share as of June 30, 2025</w:t>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450" w:type="dxa"/>
            <w:tcBorders/>
            <w:vAlign w:val="bottom"/>
          </w:tcPr>
          <w:p>
            <w:pPr>
              <w:pStyle w:val="TableContents"/>
              <w:bidi w:val="0"/>
              <w:spacing w:before="0" w:after="283"/>
              <w:jc w:val="right"/>
              <w:rPr/>
            </w:pPr>
            <w:r>
              <w:rPr/>
              <w:t>0.42</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6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pro forma net tangible book value per share attributable to purchasers in this offering</w:t>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450" w:type="dxa"/>
            <w:tcBorders/>
            <w:shd w:fill="CCEEFF" w:val="clear"/>
            <w:vAlign w:val="bottom"/>
          </w:tcPr>
          <w:p>
            <w:pPr>
              <w:pStyle w:val="TableContents"/>
              <w:bidi w:val="0"/>
              <w:spacing w:before="0" w:after="283"/>
              <w:jc w:val="right"/>
              <w:rPr/>
            </w:pPr>
            <w:r>
              <w:rPr/>
              <w:t>0.16</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45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663"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4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663" w:type="dxa"/>
            <w:tcBorders/>
          </w:tcPr>
          <w:p>
            <w:pPr>
              <w:pStyle w:val="TableContents"/>
              <w:bidi w:val="0"/>
              <w:spacing w:before="0" w:after="0"/>
              <w:jc w:val="left"/>
              <w:rPr>
                <w:rFonts w:ascii="Times New Roman" w:hAnsi="Times New Roman"/>
                <w:sz w:val="20"/>
              </w:rPr>
            </w:pPr>
            <w:r>
              <w:rPr>
                <w:rFonts w:ascii="Times New Roman" w:hAnsi="Times New Roman"/>
                <w:sz w:val="20"/>
              </w:rPr>
              <w:t>Pro forma as-adjusted net tangible book value per share as of June 30, 2025, after giving effect to this offering</w:t>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450" w:type="dxa"/>
            <w:tcBorders/>
            <w:vAlign w:val="bottom"/>
          </w:tcPr>
          <w:p>
            <w:pPr>
              <w:pStyle w:val="TableContents"/>
              <w:bidi w:val="0"/>
              <w:spacing w:before="0" w:after="283"/>
              <w:jc w:val="right"/>
              <w:rPr/>
            </w:pPr>
            <w:r>
              <w:rPr/>
              <w:t>0.58</w:t>
            </w:r>
          </w:p>
        </w:tc>
        <w:tc>
          <w:tcPr>
            <w:tcW w:w="64" w:type="dxa"/>
            <w:tcBorders/>
            <w:vAlign w:val="bottom"/>
          </w:tcPr>
          <w:p>
            <w:pPr>
              <w:pStyle w:val="TableContents"/>
              <w:bidi w:val="0"/>
              <w:spacing w:before="0" w:after="283"/>
              <w:jc w:val="left"/>
              <w:rPr/>
            </w:pPr>
            <w:r>
              <w:rPr/>
              <w:t> </w:t>
            </w:r>
          </w:p>
        </w:tc>
      </w:tr>
      <w:tr>
        <w:trPr/>
        <w:tc>
          <w:tcPr>
            <w:tcW w:w="5663"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45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6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w:t>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4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450" w:type="dxa"/>
            <w:tcBorders/>
            <w:shd w:fill="CCEEFF" w:val="clear"/>
            <w:vAlign w:val="bottom"/>
          </w:tcPr>
          <w:p>
            <w:pPr>
              <w:pStyle w:val="TableContents"/>
              <w:bidi w:val="0"/>
              <w:spacing w:before="0" w:after="283"/>
              <w:jc w:val="right"/>
              <w:rPr/>
            </w:pPr>
            <w:r>
              <w:rPr/>
              <w:t>0.64</w:t>
            </w:r>
          </w:p>
        </w:tc>
        <w:tc>
          <w:tcPr>
            <w:tcW w:w="64" w:type="dxa"/>
            <w:tcBorders/>
            <w:shd w:fill="CCEEFF" w:val="clear"/>
            <w:vAlign w:val="bottom"/>
          </w:tcPr>
          <w:p>
            <w:pPr>
              <w:pStyle w:val="TableContents"/>
              <w:bidi w:val="0"/>
              <w:spacing w:before="0" w:after="283"/>
              <w:jc w:val="left"/>
              <w:rPr/>
            </w:pPr>
            <w:r>
              <w:rPr/>
              <w:t> </w:t>
            </w:r>
          </w:p>
        </w:tc>
      </w:tr>
      <w:tr>
        <w:trPr/>
        <w:tc>
          <w:tcPr>
            <w:tcW w:w="5663"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45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above assumes for illustrative purposes that an aggregate of 61,475,409 shares of our common stock are sold at a price of $1.22 per share, the last reported sale price of our common stock on The Nasdaq Global Market on September 22, 2025, for aggregate gross proceeds of approximately $75.0 million. The shares sold in this offering, if any, will be sold from time to time at various prices. The information discussed above is illustrative only and may differ based on the actual offering price and the actual number of shares offered.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above table is based on 120,142,811 shares of our common stock outstanding as of June 30, 2025, plus the common stock and the shares of common stock issuable upon exercise of the pre-funded warrants issued in the August 2025 Offering. Unless specifically stated otherwise, the information in this prospectus supplement is as of September 22, 2025,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21,672,173 shares of our common stock issuable upon the exercise of stock options outstanding as of September 22, 2025 at a weighted-average exercise price of $3.06 per share at that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1,539,000 shares of our common stock issuable upon the vesting and settlement of restricted stock units outstanding as of September 22,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12,658,886 shares of our common stock reserved for future issuance under the 2021 Plan as of September 22,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6,824,712 shares of our common stock issuable upon exercise of warrants outstanding as of September 22, 2025, at a weighted-average exercise price of $3.48 per share at that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589,957 shares of our common stock reserved for future issuance under the ESPP as of September 22,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21,342,442 shares of our common stock issuable upon exercise of pre-funded warrants outstanding as of September 22, 2025 at an exercise price of $0.0001 per share.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otherwise indicated, the information in this prospectus supplement reflects or assumes (i) no exercise of any outstanding stock options, warrants or prefunded warrants and no vesting or settlement of restricted stock units since September 22, 2025, (ii) forfeiture of stock options to acquire 336,034 shares of our common stock subsequent to September 22, 2025 through September 30, 2025 and (iii) no equity awards granted subsequent to September 22, 2025 through September 30, 2025.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options or warrants are exercised, restricted stock units are settled or if we issue options, restricted stock units, warrants or other securities to purchase or acquire our common stock in the future and those options, restricted stock units, warrants or other securities are exercised, converted or settled, you may experience further dilution.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b28850_8"/>
      <w:bookmarkEnd w:id="28"/>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previously entered into a Controlled Equity OfferingSM Sales Agreement, or the Sales Agreement, with Cantor Fitzgerald &amp; Co., or Cantor. Pursuant to this prospectus supplement, we may offer and sell shares of our common stock having an aggregate gross sales price of up to $75,000,000 from time to time through Cantor acting as sales agent. A copy of the Sales Agreement has been filed as an exhibit to the registration statement of which this prospectus supplement forms a part. </w:t>
      </w:r>
    </w:p>
    <w:p>
      <w:pPr>
        <w:pStyle w:val="TextBody"/>
        <w:bidi w:val="0"/>
        <w:spacing w:before="240" w:after="0"/>
        <w:jc w:val="left"/>
        <w:rPr>
          <w:rFonts w:ascii="Times New Roman" w:hAnsi="Times New Roman"/>
          <w:sz w:val="20"/>
        </w:rPr>
      </w:pPr>
      <w:r>
        <w:rPr>
          <w:rFonts w:ascii="Times New Roman" w:hAnsi="Times New Roman"/>
          <w:sz w:val="20"/>
        </w:rPr>
        <w:t xml:space="preserve">Upon delivery of a placement notice and subject to the terms and conditions of the Sales Agreement, Cantor may sell shares of our common stock by any method permitted by law deemed to be an “at the market offering” as defined in Rule 415(a)(4) promulgated under the Securities Act. We may instruct Cantor not to sell our common stock if the sales cannot be effected at or above the price designated by us from time to time. We or Cantor may suspend the offering of our common stock upon notice and subject to other conditions. </w:t>
      </w:r>
    </w:p>
    <w:p>
      <w:pPr>
        <w:pStyle w:val="TextBody"/>
        <w:bidi w:val="0"/>
        <w:spacing w:before="240" w:after="0"/>
        <w:jc w:val="left"/>
        <w:rPr>
          <w:rFonts w:ascii="Times New Roman" w:hAnsi="Times New Roman"/>
          <w:sz w:val="20"/>
        </w:rPr>
      </w:pPr>
      <w:r>
        <w:rPr>
          <w:rFonts w:ascii="Times New Roman" w:hAnsi="Times New Roman"/>
          <w:sz w:val="20"/>
        </w:rPr>
        <w:t xml:space="preserve">We will pay Cantor commissions, in cash, for its service in acting as agent in the sale of our common stock. Cantor will be entitled to compensation at a commission rate of 3.0% of the aggregate gross proceeds from each sale of our common stock pursuant to the Sales Agreement. Because there is no minimum offering amount required as a condition to close this offering, the actual total public offering amount, commissions and proceeds to us, if any, are not determinable at this time. We have also agreed to reimburse Cantor for certain specified expenses, including the fees and disbursements of its legal counsel in an amount not to exceed (a) $75,000 payable in connection with the entry into the Sales Agreement and (b) $15,000 per calendar quarter thereafter pursuant to the terms of the Sales Agreement, and certain other ongoing expenses. We estimate that the total expenses for this offering, excluding compensation and reimbursements payable to Cantor under the terms of the Sales Agreement, will be approximately $300,000. </w:t>
      </w:r>
    </w:p>
    <w:p>
      <w:pPr>
        <w:pStyle w:val="TextBody"/>
        <w:bidi w:val="0"/>
        <w:spacing w:before="240" w:after="0"/>
        <w:jc w:val="left"/>
        <w:rPr>
          <w:rFonts w:ascii="Times New Roman" w:hAnsi="Times New Roman"/>
          <w:sz w:val="20"/>
        </w:rPr>
      </w:pPr>
      <w:r>
        <w:rPr>
          <w:rFonts w:ascii="Times New Roman" w:hAnsi="Times New Roman"/>
          <w:sz w:val="20"/>
        </w:rPr>
        <w:t xml:space="preserve">Settlement for sales of shares of our common stock will occur on the first business day following the date on which any sales are made, or on some other date that is agreed upon by us and Cantor in connection with a particular transaction, in return for payment of the net proceeds to us. Sales of our common stock as contemplated by this prospectus supplement will be settled through the facilities of The Depository Trust Company or by such other means as we and Cantor may agree upon. There is no arrangement for funds to be received in an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Cantor will use its commercially reasonable efforts, consistent with its sales and trading practices, to solicit offers to purchase our common stock pursuant to the terms and subject to the conditions set forth in the Sales Agreement. In connection with the sale of our common stock on our behalf, Cantor will be deemed to be an “underwriter” within the meaning of the Securities Act and the compensation of Cantor will be deemed to be underwriting commissions or discounts. We have agreed to provide indemnification and contribution to Cantor against certain civil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offering of shares of our common stock pursuant to the Sales Agreement will terminate upon the termination of the Sales Agreement as permitted therein. We and Cantor may each terminate the Sales Agreement at any time upon ten days’ prior notice. </w:t>
      </w:r>
    </w:p>
    <w:p>
      <w:pPr>
        <w:pStyle w:val="TextBody"/>
        <w:bidi w:val="0"/>
        <w:spacing w:before="240" w:after="0"/>
        <w:jc w:val="left"/>
        <w:rPr>
          <w:rFonts w:ascii="Times New Roman" w:hAnsi="Times New Roman"/>
          <w:sz w:val="20"/>
        </w:rPr>
      </w:pPr>
      <w:r>
        <w:rPr>
          <w:rFonts w:ascii="Times New Roman" w:hAnsi="Times New Roman"/>
          <w:sz w:val="20"/>
        </w:rPr>
        <w:t xml:space="preserve">Cantor and its affiliates may in the future provide various investment banking, commercial banking and other financial services for us and our affiliates, for which services they may in the future receive customary fees. To the extent required by Regulation M, Cantor will not engage in any market making activities involving our common stock while this offering is ongoing.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may be made available in electronic format on a website maintained by Cantor, and Cantor may distribute this prospectus supplement and the accompanying prospectus electronically.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b28850_9"/>
      <w:bookmarkEnd w:id="2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we are offering will be passed upon by Hogan Lovells US LLP, Philadelphia, Pennsylvania. Cantor Fitzgerald &amp; Co. is being represented in connection with this offering by Cooley LLP, New York,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b28850_10"/>
      <w:bookmarkEnd w:id="3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supplement by reference to the Annual Report on Form 10-K for the year ended December 31, 2024 have been so incorporated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xb28850_11"/>
      <w:bookmarkEnd w:id="31"/>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statements contained in this prospectus supplement regarding the contents of any agreement or any other document, in each instance, the statement is qualified in all respects by the complete text of the agreement or document, a copy of which has been filed as an exhibit to, or incorporated by reference into,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Because we are subject to the information and reporting requirements of the Exchange Act, we file annual, quarterly and current reports, proxy statements and other information with the SEC. Our SEC filings are available to the public over the Internet at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We make available free of charge on our website at www.invivyd.com our annual, quarterly and current reports, including amendments to such reports, as soon as reasonably practicable after we electronically file such material with, or furnish such material to, the SEC. Please note, however, that we have not incorporated any other information by reference from our website, other than the documents listed under the heading “Incorporation of Certain Information by Reference” on page S-18 of this prospectus supplement. In addition, you may request copies of these filings at no cost by writing or telephoning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Invivyd, Inc. </w:t>
      </w:r>
    </w:p>
    <w:p>
      <w:pPr>
        <w:pStyle w:val="TextBody"/>
        <w:bidi w:val="0"/>
        <w:spacing w:before="0" w:after="0"/>
        <w:jc w:val="center"/>
        <w:rPr>
          <w:rFonts w:ascii="Times New Roman" w:hAnsi="Times New Roman"/>
          <w:sz w:val="20"/>
        </w:rPr>
      </w:pPr>
      <w:r>
        <w:rPr>
          <w:rFonts w:ascii="Times New Roman" w:hAnsi="Times New Roman"/>
          <w:sz w:val="20"/>
        </w:rPr>
        <w:t xml:space="preserve">209 Church Street </w:t>
      </w:r>
    </w:p>
    <w:p>
      <w:pPr>
        <w:pStyle w:val="TextBody"/>
        <w:bidi w:val="0"/>
        <w:spacing w:before="0" w:after="0"/>
        <w:jc w:val="center"/>
        <w:rPr>
          <w:rFonts w:ascii="Times New Roman" w:hAnsi="Times New Roman"/>
          <w:sz w:val="20"/>
        </w:rPr>
      </w:pPr>
      <w:r>
        <w:rPr>
          <w:rFonts w:ascii="Times New Roman" w:hAnsi="Times New Roman"/>
          <w:sz w:val="20"/>
        </w:rPr>
        <w:t xml:space="preserve">New Haven, CT 06510 </w:t>
      </w:r>
    </w:p>
    <w:p>
      <w:pPr>
        <w:pStyle w:val="TextBody"/>
        <w:bidi w:val="0"/>
        <w:spacing w:before="0" w:after="0"/>
        <w:jc w:val="center"/>
        <w:rPr>
          <w:rFonts w:ascii="Times New Roman" w:hAnsi="Times New Roman"/>
          <w:sz w:val="20"/>
        </w:rPr>
      </w:pPr>
      <w:r>
        <w:rPr>
          <w:rFonts w:ascii="Times New Roman" w:hAnsi="Times New Roman"/>
          <w:sz w:val="20"/>
        </w:rPr>
        <w:t xml:space="preserve">Telephone: (781) 819-0080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txb28850_12"/>
      <w:bookmarkEnd w:id="32"/>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S-3 under the Securities Act, of which this prospectus supplement forms a part. The rules and regulations of the SEC allow us to omit from this prospectus supplement certain information included in the registration statement. For further information about us and the securities we are offering under this prospectus, you should refer to the registration statement and the exhibits and schedules filed with the registration statement. The SEC allows us to “incorporate by reference” information into this prospectus supplement. This means that we can disclose important information to you by referring you to other documents we have filed separately with the SEC, without actually including the specific information in this prospectus supplement. The information incorporated by reference is considered to be a part of this prospectus supplement, and information in documents that we file later with the SEC (and that is deemed to be “filed” with the SEC) will automatically update and supersede information contained in documents filed earlier with the SEC or contained in this prospectus supplement. We incorporate by reference in this prospectus supplement (i) the documents listed below, (ii) all documents that we file with the SEC under Section 13(a), 13(c), 14, or 15(d) of the Exchange Act after the date of the initial filing of the registration statement of which this prospectus supplement forms a part and prior to the effectiveness of such registration statement, and (iii) any future filings that we may make with the SEC under Sections 13(a), 13(c), 14, or 15(d) of the Exchange Act prior to the termination of the offering under this prospectus supplement; provided, however, that we are not incorporating, in each case, any documents or information deemed to have been furnished and not filed, including any information that we disclose under Items 2.02 or 7.01 of any Current Report on Form 8-K,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28">
              <w:r>
                <w:rPr>
                  <w:rStyle w:val="InternetLink"/>
                  <w:rFonts w:ascii="Times New Roman" w:hAnsi="Times New Roman"/>
                  <w:sz w:val="20"/>
                </w:rPr>
                <w:t>Form 10-K</w:t>
              </w:r>
            </w:hyperlink>
            <w:r>
              <w:rPr>
                <w:rFonts w:ascii="Times New Roman" w:hAnsi="Times New Roman"/>
                <w:sz w:val="20"/>
              </w:rPr>
              <w:t xml:space="preserve"> for the fiscal year ended December 31, 2024, filed with the SEC on March 20,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portions of our Definitive Proxy Statement on </w:t>
            </w:r>
            <w:hyperlink r:id="rId29">
              <w:r>
                <w:rPr>
                  <w:rStyle w:val="InternetLink"/>
                  <w:rFonts w:ascii="Times New Roman" w:hAnsi="Times New Roman"/>
                  <w:sz w:val="20"/>
                </w:rPr>
                <w:t>Schedule 14A</w:t>
              </w:r>
            </w:hyperlink>
            <w:r>
              <w:rPr>
                <w:rFonts w:ascii="Times New Roman" w:hAnsi="Times New Roman"/>
                <w:sz w:val="20"/>
              </w:rPr>
              <w:t xml:space="preserve">, filed with the SEC on April 7, 2025, that are incorporated by reference into Part III of our Annual Report on Form 10-K for the fiscal year ended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March 31, 2025 and June 30, 2025, filed with the SEC on </w:t>
            </w:r>
            <w:hyperlink r:id="rId30">
              <w:r>
                <w:rPr>
                  <w:rStyle w:val="InternetLink"/>
                  <w:rFonts w:ascii="Times New Roman" w:hAnsi="Times New Roman"/>
                  <w:sz w:val="20"/>
                </w:rPr>
                <w:t>May  15, 2025</w:t>
              </w:r>
            </w:hyperlink>
            <w:r>
              <w:rPr>
                <w:rFonts w:ascii="Times New Roman" w:hAnsi="Times New Roman"/>
                <w:sz w:val="20"/>
              </w:rPr>
              <w:t xml:space="preserve"> and </w:t>
            </w:r>
            <w:hyperlink r:id="rId31">
              <w:r>
                <w:rPr>
                  <w:rStyle w:val="InternetLink"/>
                  <w:rFonts w:ascii="Times New Roman" w:hAnsi="Times New Roman"/>
                  <w:sz w:val="20"/>
                </w:rPr>
                <w:t>August 14, 2025</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our Current Reports on Form 8-K (other than the portions thereof that are furnished and not filed) as filed with the SEC on </w:t>
            </w:r>
            <w:hyperlink r:id="rId32">
              <w:r>
                <w:rPr>
                  <w:rStyle w:val="InternetLink"/>
                  <w:rFonts w:ascii="Times New Roman" w:hAnsi="Times New Roman"/>
                  <w:sz w:val="20"/>
                </w:rPr>
                <w:t>January  10, 2025</w:t>
              </w:r>
            </w:hyperlink>
            <w:r>
              <w:rPr>
                <w:rFonts w:ascii="Times New Roman" w:hAnsi="Times New Roman"/>
                <w:sz w:val="20"/>
              </w:rPr>
              <w:t xml:space="preserve">, </w:t>
            </w:r>
            <w:hyperlink r:id="rId33">
              <w:r>
                <w:rPr>
                  <w:rStyle w:val="InternetLink"/>
                  <w:rFonts w:ascii="Times New Roman" w:hAnsi="Times New Roman"/>
                  <w:sz w:val="20"/>
                </w:rPr>
                <w:t>January  27, 2025</w:t>
              </w:r>
            </w:hyperlink>
            <w:r>
              <w:rPr>
                <w:rFonts w:ascii="Times New Roman" w:hAnsi="Times New Roman"/>
                <w:sz w:val="20"/>
              </w:rPr>
              <w:t xml:space="preserve">, </w:t>
            </w:r>
            <w:hyperlink r:id="rId34">
              <w:r>
                <w:rPr>
                  <w:rStyle w:val="InternetLink"/>
                  <w:rFonts w:ascii="Times New Roman" w:hAnsi="Times New Roman"/>
                  <w:sz w:val="20"/>
                </w:rPr>
                <w:t>February  3, 2025</w:t>
              </w:r>
            </w:hyperlink>
            <w:r>
              <w:rPr>
                <w:rFonts w:ascii="Times New Roman" w:hAnsi="Times New Roman"/>
                <w:sz w:val="20"/>
              </w:rPr>
              <w:t xml:space="preserve">, </w:t>
            </w:r>
            <w:hyperlink r:id="rId35">
              <w:r>
                <w:rPr>
                  <w:rStyle w:val="InternetLink"/>
                  <w:rFonts w:ascii="Times New Roman" w:hAnsi="Times New Roman"/>
                  <w:sz w:val="20"/>
                </w:rPr>
                <w:t>February  24, 2025</w:t>
              </w:r>
            </w:hyperlink>
            <w:r>
              <w:rPr>
                <w:rFonts w:ascii="Times New Roman" w:hAnsi="Times New Roman"/>
                <w:sz w:val="20"/>
              </w:rPr>
              <w:t xml:space="preserve">, </w:t>
            </w:r>
            <w:hyperlink r:id="rId36">
              <w:r>
                <w:rPr>
                  <w:rStyle w:val="InternetLink"/>
                  <w:rFonts w:ascii="Times New Roman" w:hAnsi="Times New Roman"/>
                  <w:sz w:val="20"/>
                </w:rPr>
                <w:t>March  5, 2025</w:t>
              </w:r>
            </w:hyperlink>
            <w:r>
              <w:rPr>
                <w:rFonts w:ascii="Times New Roman" w:hAnsi="Times New Roman"/>
                <w:sz w:val="20"/>
              </w:rPr>
              <w:t xml:space="preserve">, </w:t>
            </w:r>
            <w:hyperlink r:id="rId37">
              <w:r>
                <w:rPr>
                  <w:rStyle w:val="InternetLink"/>
                  <w:rFonts w:ascii="Times New Roman" w:hAnsi="Times New Roman"/>
                  <w:sz w:val="20"/>
                </w:rPr>
                <w:t>March  26, 2025</w:t>
              </w:r>
            </w:hyperlink>
            <w:r>
              <w:rPr>
                <w:rFonts w:ascii="Times New Roman" w:hAnsi="Times New Roman"/>
                <w:sz w:val="20"/>
              </w:rPr>
              <w:t xml:space="preserve">, </w:t>
            </w:r>
            <w:hyperlink r:id="rId38">
              <w:r>
                <w:rPr>
                  <w:rStyle w:val="InternetLink"/>
                  <w:rFonts w:ascii="Times New Roman" w:hAnsi="Times New Roman"/>
                  <w:sz w:val="20"/>
                </w:rPr>
                <w:t>April  21, 2025</w:t>
              </w:r>
            </w:hyperlink>
            <w:r>
              <w:rPr>
                <w:rFonts w:ascii="Times New Roman" w:hAnsi="Times New Roman"/>
                <w:sz w:val="20"/>
              </w:rPr>
              <w:t xml:space="preserve">, </w:t>
            </w:r>
            <w:hyperlink r:id="rId39">
              <w:r>
                <w:rPr>
                  <w:rStyle w:val="InternetLink"/>
                  <w:rFonts w:ascii="Times New Roman" w:hAnsi="Times New Roman"/>
                  <w:sz w:val="20"/>
                </w:rPr>
                <w:t>April  25, 2025</w:t>
              </w:r>
            </w:hyperlink>
            <w:r>
              <w:rPr>
                <w:rFonts w:ascii="Times New Roman" w:hAnsi="Times New Roman"/>
                <w:sz w:val="20"/>
              </w:rPr>
              <w:t xml:space="preserve">, </w:t>
            </w:r>
            <w:hyperlink r:id="rId40">
              <w:r>
                <w:rPr>
                  <w:rStyle w:val="InternetLink"/>
                  <w:rFonts w:ascii="Times New Roman" w:hAnsi="Times New Roman"/>
                  <w:sz w:val="20"/>
                </w:rPr>
                <w:t>May  12, 2025</w:t>
              </w:r>
            </w:hyperlink>
            <w:r>
              <w:rPr>
                <w:rFonts w:ascii="Times New Roman" w:hAnsi="Times New Roman"/>
                <w:sz w:val="20"/>
              </w:rPr>
              <w:t xml:space="preserve">, </w:t>
            </w:r>
            <w:hyperlink r:id="rId41">
              <w:r>
                <w:rPr>
                  <w:rStyle w:val="InternetLink"/>
                  <w:rFonts w:ascii="Times New Roman" w:hAnsi="Times New Roman"/>
                  <w:sz w:val="20"/>
                </w:rPr>
                <w:t>May  15, 2025</w:t>
              </w:r>
            </w:hyperlink>
            <w:r>
              <w:rPr>
                <w:rFonts w:ascii="Times New Roman" w:hAnsi="Times New Roman"/>
                <w:sz w:val="20"/>
              </w:rPr>
              <w:t xml:space="preserve">, </w:t>
            </w:r>
            <w:hyperlink r:id="rId42">
              <w:r>
                <w:rPr>
                  <w:rStyle w:val="InternetLink"/>
                  <w:rFonts w:ascii="Times New Roman" w:hAnsi="Times New Roman"/>
                  <w:sz w:val="20"/>
                </w:rPr>
                <w:t>May  20, 2025</w:t>
              </w:r>
            </w:hyperlink>
            <w:r>
              <w:rPr>
                <w:rFonts w:ascii="Times New Roman" w:hAnsi="Times New Roman"/>
                <w:sz w:val="20"/>
              </w:rPr>
              <w:t xml:space="preserve">, </w:t>
            </w:r>
            <w:hyperlink r:id="rId43">
              <w:r>
                <w:rPr>
                  <w:rStyle w:val="InternetLink"/>
                  <w:rFonts w:ascii="Times New Roman" w:hAnsi="Times New Roman"/>
                  <w:sz w:val="20"/>
                </w:rPr>
                <w:t>June  26, 2025</w:t>
              </w:r>
            </w:hyperlink>
            <w:r>
              <w:rPr>
                <w:rFonts w:ascii="Times New Roman" w:hAnsi="Times New Roman"/>
                <w:sz w:val="20"/>
              </w:rPr>
              <w:t xml:space="preserve">, </w:t>
            </w:r>
            <w:hyperlink r:id="rId44">
              <w:r>
                <w:rPr>
                  <w:rStyle w:val="InternetLink"/>
                  <w:rFonts w:ascii="Times New Roman" w:hAnsi="Times New Roman"/>
                  <w:sz w:val="20"/>
                </w:rPr>
                <w:t>July  2, 2025</w:t>
              </w:r>
            </w:hyperlink>
            <w:r>
              <w:rPr>
                <w:rFonts w:ascii="Times New Roman" w:hAnsi="Times New Roman"/>
                <w:sz w:val="20"/>
              </w:rPr>
              <w:t xml:space="preserve">, </w:t>
            </w:r>
            <w:hyperlink r:id="rId45">
              <w:r>
                <w:rPr>
                  <w:rStyle w:val="InternetLink"/>
                  <w:rFonts w:ascii="Times New Roman" w:hAnsi="Times New Roman"/>
                  <w:sz w:val="20"/>
                </w:rPr>
                <w:t>August  14, 2025</w:t>
              </w:r>
            </w:hyperlink>
            <w:r>
              <w:rPr>
                <w:rFonts w:ascii="Times New Roman" w:hAnsi="Times New Roman"/>
                <w:sz w:val="20"/>
              </w:rPr>
              <w:t xml:space="preserve">, </w:t>
            </w:r>
            <w:hyperlink r:id="rId46">
              <w:r>
                <w:rPr>
                  <w:rStyle w:val="InternetLink"/>
                  <w:rFonts w:ascii="Times New Roman" w:hAnsi="Times New Roman"/>
                  <w:sz w:val="20"/>
                </w:rPr>
                <w:t>August  22, 2025</w:t>
              </w:r>
            </w:hyperlink>
            <w:r>
              <w:rPr>
                <w:rFonts w:ascii="Times New Roman" w:hAnsi="Times New Roman"/>
                <w:sz w:val="20"/>
              </w:rPr>
              <w:t xml:space="preserve"> and </w:t>
            </w:r>
            <w:hyperlink r:id="rId47">
              <w:r>
                <w:rPr>
                  <w:rStyle w:val="InternetLink"/>
                  <w:rFonts w:ascii="Times New Roman" w:hAnsi="Times New Roman"/>
                  <w:sz w:val="20"/>
                </w:rPr>
                <w:t>September 24, 2025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48">
              <w:r>
                <w:rPr>
                  <w:rStyle w:val="InternetLink"/>
                  <w:rFonts w:ascii="Times New Roman" w:hAnsi="Times New Roman"/>
                  <w:sz w:val="20"/>
                </w:rPr>
                <w:t>Form 8-A</w:t>
              </w:r>
            </w:hyperlink>
            <w:r>
              <w:rPr>
                <w:rFonts w:ascii="Times New Roman" w:hAnsi="Times New Roman"/>
                <w:sz w:val="20"/>
              </w:rPr>
              <w:t xml:space="preserve"> filed on August 3, 2021, as updated by </w:t>
            </w:r>
            <w:hyperlink r:id="rId49">
              <w:r>
                <w:rPr>
                  <w:rStyle w:val="InternetLink"/>
                  <w:rFonts w:ascii="Times New Roman" w:hAnsi="Times New Roman"/>
                  <w:sz w:val="20"/>
                </w:rPr>
                <w:t>Exhibit 4.2</w:t>
              </w:r>
            </w:hyperlink>
            <w:r>
              <w:rPr>
                <w:rFonts w:ascii="Times New Roman" w:hAnsi="Times New Roman"/>
                <w:sz w:val="20"/>
              </w:rPr>
              <w:t xml:space="preserve"> to our Annual Report on Form 10-K for the fiscal year ended December 31, 2023,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obtain copies of these filings, see “Where You Can Find More Information” on page S-17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859405" cy="43243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50"/>
                    <a:stretch>
                      <a:fillRect/>
                    </a:stretch>
                  </pic:blipFill>
                  <pic:spPr bwMode="auto">
                    <a:xfrm>
                      <a:off x="0" y="0"/>
                      <a:ext cx="2859405" cy="432435"/>
                    </a:xfrm>
                    <a:prstGeom prst="rect">
                      <a:avLst/>
                    </a:prstGeom>
                  </pic:spPr>
                </pic:pic>
              </a:graphicData>
            </a:graphic>
          </wp:inline>
        </w:drawing>
      </w:r>
      <w:r>
        <w:rPr/>
        <w:t xml:space="preserve"> </w:t>
      </w:r>
    </w:p>
    <w:p>
      <w:pPr>
        <w:pStyle w:val="TextBody"/>
        <w:bidi w:val="0"/>
        <w:spacing w:before="1440" w:after="0"/>
        <w:jc w:val="center"/>
        <w:rPr>
          <w:rFonts w:ascii="Times New Roman" w:hAnsi="Times New Roman"/>
          <w:b/>
          <w:sz w:val="28"/>
        </w:rPr>
      </w:pPr>
      <w:r>
        <w:rPr>
          <w:rFonts w:ascii="Times New Roman" w:hAnsi="Times New Roman"/>
          <w:b/>
          <w:sz w:val="28"/>
        </w:rPr>
        <w:t xml:space="preserve">Up to $75,000,000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106930" cy="38798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51"/>
                    <a:stretch>
                      <a:fillRect/>
                    </a:stretch>
                  </pic:blipFill>
                  <pic:spPr bwMode="auto">
                    <a:xfrm>
                      <a:off x="0" y="0"/>
                      <a:ext cx="2106930" cy="3879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pPr>
      <w:r>
        <w:rPr/>
        <w:t>    </w:t>
      </w:r>
      <w:r>
        <w:rPr>
          <w:rFonts w:ascii="Times New Roman" w:hAnsi="Times New Roman"/>
          <w:b/>
          <w:sz w:val="20"/>
        </w:rPr>
        <w:t xml:space="preserve">, 2025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THE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is an estimate (except in the case of the registration fee) of the amount of fees and expenses to be incurred in connection with the issuance and distribution of the offered securities registered hereby, other than underwriting discounts and commission, if any, incurred in connection with the sale of the offered securities. All such amounts will be borne by Invivyd, Inc.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6083"/>
        <w:gridCol w:w="387"/>
        <w:gridCol w:w="149"/>
        <w:gridCol w:w="977"/>
        <w:gridCol w:w="159"/>
      </w:tblGrid>
      <w:tr>
        <w:trPr/>
        <w:tc>
          <w:tcPr>
            <w:tcW w:w="6083" w:type="dxa"/>
            <w:tcBorders/>
            <w:vAlign w:val="center"/>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3"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pPr>
            <w:r>
              <w:rPr/>
              <w:t>Amount to</w:t>
              <w:br/>
              <w:t>be paid</w:t>
            </w:r>
          </w:p>
        </w:tc>
        <w:tc>
          <w:tcPr>
            <w:tcW w:w="159" w:type="dxa"/>
            <w:tcBorders/>
            <w:vAlign w:val="bottom"/>
          </w:tcPr>
          <w:p>
            <w:pPr>
              <w:pStyle w:val="TableContents"/>
              <w:bidi w:val="0"/>
              <w:spacing w:before="0" w:after="283"/>
              <w:jc w:val="left"/>
              <w:rPr/>
            </w:pPr>
            <w:r>
              <w:rPr/>
              <w:t> </w:t>
            </w:r>
          </w:p>
        </w:tc>
      </w:tr>
      <w:tr>
        <w:trPr/>
        <w:tc>
          <w:tcPr>
            <w:tcW w:w="6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38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977" w:type="dxa"/>
            <w:tcBorders/>
            <w:shd w:fill="CCEEFF" w:val="clear"/>
            <w:vAlign w:val="bottom"/>
          </w:tcPr>
          <w:p>
            <w:pPr>
              <w:pStyle w:val="TableContents"/>
              <w:bidi w:val="0"/>
              <w:spacing w:before="0" w:after="283"/>
              <w:jc w:val="right"/>
              <w:rPr/>
            </w:pPr>
            <w:r>
              <w:rPr/>
              <w:t>7,266.95</w:t>
            </w:r>
          </w:p>
        </w:tc>
        <w:tc>
          <w:tcPr>
            <w:tcW w:w="159" w:type="dxa"/>
            <w:tcBorders/>
            <w:shd w:fill="CCEEFF" w:val="clear"/>
            <w:vAlign w:val="bottom"/>
          </w:tcPr>
          <w:p>
            <w:pPr>
              <w:pStyle w:val="TableContents"/>
              <w:bidi w:val="0"/>
              <w:spacing w:before="0" w:after="283"/>
              <w:jc w:val="left"/>
              <w:rPr/>
            </w:pPr>
            <w:r>
              <w:rPr/>
              <w:t> </w:t>
            </w:r>
          </w:p>
        </w:tc>
      </w:tr>
      <w:tr>
        <w:trPr/>
        <w:tc>
          <w:tcPr>
            <w:tcW w:w="6083" w:type="dxa"/>
            <w:tcBorders/>
          </w:tcPr>
          <w:p>
            <w:pPr>
              <w:pStyle w:val="TableContents"/>
              <w:bidi w:val="0"/>
              <w:spacing w:before="0" w:after="0"/>
              <w:jc w:val="left"/>
              <w:rPr>
                <w:rFonts w:ascii="Times New Roman" w:hAnsi="Times New Roman"/>
                <w:sz w:val="20"/>
              </w:rPr>
            </w:pPr>
            <w:r>
              <w:rPr>
                <w:rFonts w:ascii="Times New Roman" w:hAnsi="Times New Roman"/>
                <w:sz w:val="20"/>
              </w:rPr>
              <w:t>Printing expenses</w:t>
            </w:r>
          </w:p>
        </w:tc>
        <w:tc>
          <w:tcPr>
            <w:tcW w:w="38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977" w:type="dxa"/>
            <w:tcBorders/>
            <w:vAlign w:val="bottom"/>
          </w:tcPr>
          <w:p>
            <w:pPr>
              <w:pStyle w:val="TableContents"/>
              <w:bidi w:val="0"/>
              <w:spacing w:before="0" w:after="283"/>
              <w:jc w:val="right"/>
              <w:rPr/>
            </w:pPr>
            <w:r>
              <w:rPr/>
              <w:t>(1</w:t>
            </w:r>
          </w:p>
        </w:tc>
        <w:tc>
          <w:tcPr>
            <w:tcW w:w="159" w:type="dxa"/>
            <w:tcBorders/>
            <w:vAlign w:val="bottom"/>
          </w:tcPr>
          <w:p>
            <w:pPr>
              <w:pStyle w:val="TableContents"/>
              <w:bidi w:val="0"/>
              <w:spacing w:before="0" w:after="283"/>
              <w:jc w:val="left"/>
              <w:rPr/>
            </w:pPr>
            <w:r>
              <w:rPr/>
              <w:t>) </w:t>
            </w:r>
          </w:p>
        </w:tc>
      </w:tr>
      <w:tr>
        <w:trPr/>
        <w:tc>
          <w:tcPr>
            <w:tcW w:w="6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38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977" w:type="dxa"/>
            <w:tcBorders/>
            <w:shd w:fill="CCEEFF" w:val="clear"/>
            <w:vAlign w:val="bottom"/>
          </w:tcPr>
          <w:p>
            <w:pPr>
              <w:pStyle w:val="TableContents"/>
              <w:bidi w:val="0"/>
              <w:spacing w:before="0" w:after="283"/>
              <w:jc w:val="right"/>
              <w:rPr/>
            </w:pPr>
            <w:r>
              <w:rPr/>
              <w:t>(1</w:t>
            </w:r>
          </w:p>
        </w:tc>
        <w:tc>
          <w:tcPr>
            <w:tcW w:w="159" w:type="dxa"/>
            <w:tcBorders/>
            <w:shd w:fill="CCEEFF" w:val="clear"/>
            <w:vAlign w:val="bottom"/>
          </w:tcPr>
          <w:p>
            <w:pPr>
              <w:pStyle w:val="TableContents"/>
              <w:bidi w:val="0"/>
              <w:spacing w:before="0" w:after="283"/>
              <w:jc w:val="left"/>
              <w:rPr/>
            </w:pPr>
            <w:r>
              <w:rPr/>
              <w:t>) </w:t>
            </w:r>
          </w:p>
        </w:tc>
      </w:tr>
      <w:tr>
        <w:trPr/>
        <w:tc>
          <w:tcPr>
            <w:tcW w:w="6083"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38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977" w:type="dxa"/>
            <w:tcBorders/>
            <w:vAlign w:val="bottom"/>
          </w:tcPr>
          <w:p>
            <w:pPr>
              <w:pStyle w:val="TableContents"/>
              <w:bidi w:val="0"/>
              <w:spacing w:before="0" w:after="283"/>
              <w:jc w:val="right"/>
              <w:rPr/>
            </w:pPr>
            <w:r>
              <w:rPr/>
              <w:t>(1</w:t>
            </w:r>
          </w:p>
        </w:tc>
        <w:tc>
          <w:tcPr>
            <w:tcW w:w="159" w:type="dxa"/>
            <w:tcBorders/>
            <w:vAlign w:val="bottom"/>
          </w:tcPr>
          <w:p>
            <w:pPr>
              <w:pStyle w:val="TableContents"/>
              <w:bidi w:val="0"/>
              <w:spacing w:before="0" w:after="283"/>
              <w:jc w:val="left"/>
              <w:rPr/>
            </w:pPr>
            <w:r>
              <w:rPr/>
              <w:t>) </w:t>
            </w:r>
          </w:p>
        </w:tc>
      </w:tr>
      <w:tr>
        <w:trPr/>
        <w:tc>
          <w:tcPr>
            <w:tcW w:w="6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38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977" w:type="dxa"/>
            <w:tcBorders/>
            <w:shd w:fill="CCEEFF" w:val="clear"/>
            <w:vAlign w:val="bottom"/>
          </w:tcPr>
          <w:p>
            <w:pPr>
              <w:pStyle w:val="TableContents"/>
              <w:bidi w:val="0"/>
              <w:spacing w:before="0" w:after="283"/>
              <w:jc w:val="right"/>
              <w:rPr/>
            </w:pPr>
            <w:r>
              <w:rPr/>
              <w:t>(1</w:t>
            </w:r>
          </w:p>
        </w:tc>
        <w:tc>
          <w:tcPr>
            <w:tcW w:w="159" w:type="dxa"/>
            <w:tcBorders/>
            <w:shd w:fill="CCEEFF" w:val="clear"/>
            <w:vAlign w:val="bottom"/>
          </w:tcPr>
          <w:p>
            <w:pPr>
              <w:pStyle w:val="TableContents"/>
              <w:bidi w:val="0"/>
              <w:spacing w:before="0" w:after="283"/>
              <w:jc w:val="left"/>
              <w:rPr/>
            </w:pPr>
            <w:r>
              <w:rPr/>
              <w:t>) </w:t>
            </w:r>
          </w:p>
        </w:tc>
      </w:tr>
      <w:tr>
        <w:trPr/>
        <w:tc>
          <w:tcPr>
            <w:tcW w:w="6083"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7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83"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8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977" w:type="dxa"/>
            <w:tcBorders/>
            <w:vAlign w:val="bottom"/>
          </w:tcPr>
          <w:p>
            <w:pPr>
              <w:pStyle w:val="TableContents"/>
              <w:bidi w:val="0"/>
              <w:spacing w:before="0" w:after="283"/>
              <w:jc w:val="right"/>
              <w:rPr/>
            </w:pPr>
            <w:r>
              <w:rPr/>
              <w:t>(1</w:t>
            </w:r>
          </w:p>
        </w:tc>
        <w:tc>
          <w:tcPr>
            <w:tcW w:w="15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securities offered and the number of issuances and accordingly cannot be estimated at this time.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We are incorporated under the laws of the State of Delaware. Section 102(b)(7) of the Delaware General Corporation Law, or the DGCL, generally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for (i), with respect to directors and officers, any breach of the director’s or officer’s duty of loyalty to the corporation or its stockholders; (ii), with respect to directors and officers, acts or omissions not in good faith or which involve intentional misconduct or a knowing violation of law; (iii), with respect to directors, payments of unlawful dividends or unlawful stock repurchases or redemptions under Section 174 of the DGCL; (iv), with respect to directors and officers, any transaction from which the director or officer derived an improper personal benefit; or (v), with respect to officers, any action by or in the right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such person was or is a party or threatened to be made a party by reason of such position, if such person acted in good faith and in a manner such person reasonably believed to be in or not opposed to the best interests of the corporation, and, in any criminal action or proceeding, had no reasonable cause to believe such person’s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As permitted by the DGCL, our amended and restated certificate of incorporation, as amended, and amended and restated bylaws, as amended, provide that: (i) we are required to indemnify our directors to the fullest extent permitted by the DGCL; (ii) we may, in our discretion, indemnify our officers, employees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agents as set forth in the DGCL; (iii) we are required, upon satisfaction of certain conditions, to advance all expenses incurred by our directors in connection with certain legal proceedings; (iv) the rights conferred in the bylaws are not exclusive; and (v) we are authorized to enter into indemnification agreements with our directors, officers, employees and agents.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executive officers which require us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and in a manner such person reasonably believed to be in, or not opposed to, our best interests. The indemnification agreements also set forth certain procedures that will apply in the event of a claim for indemnification thereunder. </w:t>
      </w:r>
    </w:p>
    <w:p>
      <w:pPr>
        <w:pStyle w:val="TextBody"/>
        <w:bidi w:val="0"/>
        <w:spacing w:before="240" w:after="0"/>
        <w:jc w:val="left"/>
        <w:rPr>
          <w:rFonts w:ascii="Times New Roman" w:hAnsi="Times New Roman"/>
          <w:sz w:val="20"/>
        </w:rPr>
      </w:pPr>
      <w:r>
        <w:rPr>
          <w:rFonts w:ascii="Times New Roman" w:hAnsi="Times New Roman"/>
          <w:sz w:val="20"/>
        </w:rPr>
        <w:t xml:space="preserve">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for our directors, executive officers or persons controlling us, we have been informed that, in the opinion of the SEC, such indemnification is against public policy as expressed in the Securities Act and is therefore unenforceable. </w:t>
      </w:r>
    </w:p>
    <w:p>
      <w:pPr>
        <w:pStyle w:val="TextBody"/>
        <w:bidi w:val="0"/>
        <w:spacing w:before="240" w:after="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01"/>
        <w:gridCol w:w="669"/>
        <w:gridCol w:w="8335"/>
      </w:tblGrid>
      <w:tr>
        <w:trPr/>
        <w:tc>
          <w:tcPr>
            <w:tcW w:w="1201" w:type="dxa"/>
            <w:tcBorders/>
            <w:vAlign w:val="center"/>
          </w:tcPr>
          <w:p>
            <w:pPr>
              <w:pStyle w:val="TableContents"/>
              <w:bidi w:val="0"/>
              <w:spacing w:before="0" w:after="283"/>
              <w:jc w:val="left"/>
              <w:rPr>
                <w:sz w:val="4"/>
                <w:szCs w:val="4"/>
              </w:rPr>
            </w:pPr>
            <w:r>
              <w:rPr>
                <w:sz w:val="4"/>
                <w:szCs w:val="4"/>
              </w:rPr>
            </w:r>
          </w:p>
        </w:tc>
        <w:tc>
          <w:tcPr>
            <w:tcW w:w="669" w:type="dxa"/>
            <w:tcBorders/>
            <w:vAlign w:val="bottom"/>
          </w:tcPr>
          <w:p>
            <w:pPr>
              <w:pStyle w:val="TableContents"/>
              <w:bidi w:val="0"/>
              <w:spacing w:before="0" w:after="283"/>
              <w:jc w:val="left"/>
              <w:rPr>
                <w:sz w:val="4"/>
                <w:szCs w:val="4"/>
              </w:rPr>
            </w:pPr>
            <w:r>
              <w:rPr>
                <w:sz w:val="4"/>
                <w:szCs w:val="4"/>
              </w:rPr>
            </w:r>
          </w:p>
        </w:tc>
        <w:tc>
          <w:tcPr>
            <w:tcW w:w="8335" w:type="dxa"/>
            <w:tcBorders/>
            <w:vAlign w:val="center"/>
          </w:tcPr>
          <w:p>
            <w:pPr>
              <w:pStyle w:val="TableContents"/>
              <w:bidi w:val="0"/>
              <w:spacing w:before="0" w:after="283"/>
              <w:jc w:val="left"/>
              <w:rPr>
                <w:sz w:val="4"/>
                <w:szCs w:val="4"/>
              </w:rPr>
            </w:pPr>
            <w:r>
              <w:rPr>
                <w:sz w:val="4"/>
                <w:szCs w:val="4"/>
              </w:rPr>
            </w:r>
          </w:p>
        </w:tc>
      </w:tr>
      <w:tr>
        <w:trPr/>
        <w:tc>
          <w:tcPr>
            <w:tcW w:w="1201"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669" w:type="dxa"/>
            <w:tcBorders/>
            <w:vAlign w:val="bottom"/>
          </w:tcPr>
          <w:p>
            <w:pPr>
              <w:pStyle w:val="TableContents"/>
              <w:bidi w:val="0"/>
              <w:spacing w:before="0" w:after="283"/>
              <w:jc w:val="left"/>
              <w:rPr/>
            </w:pPr>
            <w:r>
              <w:rPr/>
              <w:t>  </w:t>
            </w:r>
          </w:p>
        </w:tc>
        <w:tc>
          <w:tcPr>
            <w:tcW w:w="83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120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r>
      <w:tr>
        <w:trPr/>
        <w:tc>
          <w:tcPr>
            <w:tcW w:w="1201" w:type="dxa"/>
            <w:tcBorders/>
          </w:tcPr>
          <w:p>
            <w:pPr>
              <w:pStyle w:val="TableContents"/>
              <w:bidi w:val="0"/>
              <w:spacing w:before="0" w:after="283"/>
              <w:jc w:val="left"/>
              <w:rPr/>
            </w:pPr>
            <w:r>
              <w:rPr/>
              <w:t>  </w:t>
            </w:r>
            <w:r>
              <w:rPr/>
              <w:t>1.1*</w:t>
            </w:r>
          </w:p>
        </w:tc>
        <w:tc>
          <w:tcPr>
            <w:tcW w:w="669" w:type="dxa"/>
            <w:tcBorders/>
            <w:vAlign w:val="bottom"/>
          </w:tcPr>
          <w:p>
            <w:pPr>
              <w:pStyle w:val="TableContents"/>
              <w:bidi w:val="0"/>
              <w:spacing w:before="0" w:after="283"/>
              <w:jc w:val="left"/>
              <w:rPr/>
            </w:pPr>
            <w:r>
              <w:rPr/>
              <w:t>  </w:t>
            </w:r>
          </w:p>
        </w:tc>
        <w:tc>
          <w:tcPr>
            <w:tcW w:w="8335" w:type="dxa"/>
            <w:tcBorders/>
          </w:tcPr>
          <w:p>
            <w:pPr>
              <w:pStyle w:val="TableContents"/>
              <w:bidi w:val="0"/>
              <w:spacing w:before="0" w:after="283"/>
              <w:jc w:val="left"/>
              <w:rPr/>
            </w:pPr>
            <w:r>
              <w:rPr/>
              <w:t>Form of Underwriting Agreement.</w:t>
            </w:r>
          </w:p>
        </w:tc>
      </w:tr>
      <w:tr>
        <w:trPr>
          <w:trHeight w:val="120" w:hRule="atLeast"/>
        </w:trPr>
        <w:tc>
          <w:tcPr>
            <w:tcW w:w="120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r>
      <w:tr>
        <w:trPr/>
        <w:tc>
          <w:tcPr>
            <w:tcW w:w="1201" w:type="dxa"/>
            <w:tcBorders/>
          </w:tcPr>
          <w:p>
            <w:pPr>
              <w:pStyle w:val="TableContents"/>
              <w:bidi w:val="0"/>
              <w:spacing w:before="0" w:after="283"/>
              <w:jc w:val="left"/>
              <w:rPr/>
            </w:pPr>
            <w:r>
              <w:rPr/>
              <w:t>  </w:t>
            </w:r>
            <w:r>
              <w:rPr/>
              <w:t>3.1</w:t>
            </w:r>
          </w:p>
        </w:tc>
        <w:tc>
          <w:tcPr>
            <w:tcW w:w="669" w:type="dxa"/>
            <w:tcBorders/>
            <w:vAlign w:val="bottom"/>
          </w:tcPr>
          <w:p>
            <w:pPr>
              <w:pStyle w:val="TableContents"/>
              <w:bidi w:val="0"/>
              <w:spacing w:before="0" w:after="283"/>
              <w:jc w:val="left"/>
              <w:rPr/>
            </w:pPr>
            <w:r>
              <w:rPr/>
              <w:t>  </w:t>
            </w:r>
          </w:p>
        </w:tc>
        <w:tc>
          <w:tcPr>
            <w:tcW w:w="8335" w:type="dxa"/>
            <w:tcBorders/>
          </w:tcPr>
          <w:p>
            <w:pPr>
              <w:pStyle w:val="TableContents"/>
              <w:bidi w:val="0"/>
              <w:spacing w:before="0" w:after="283"/>
              <w:jc w:val="left"/>
              <w:rPr/>
            </w:pPr>
            <w:hyperlink r:id="rId52">
              <w:r>
                <w:rPr>
                  <w:rStyle w:val="InternetLink"/>
                </w:rPr>
                <w:t xml:space="preserve">Amended and Restated Certificate of Incorporation (incorporated by reference to Exhibit 3.1 of the Company’s Current Report on Form 8-K (File No. 001-40703), filed with the Securities and Exchange Commission on August 10, 2021). </w:t>
              </w:r>
            </w:hyperlink>
          </w:p>
        </w:tc>
      </w:tr>
      <w:tr>
        <w:trPr>
          <w:trHeight w:val="120" w:hRule="atLeast"/>
        </w:trPr>
        <w:tc>
          <w:tcPr>
            <w:tcW w:w="120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r>
      <w:tr>
        <w:trPr/>
        <w:tc>
          <w:tcPr>
            <w:tcW w:w="1201" w:type="dxa"/>
            <w:tcBorders/>
          </w:tcPr>
          <w:p>
            <w:pPr>
              <w:pStyle w:val="TableContents"/>
              <w:bidi w:val="0"/>
              <w:spacing w:before="0" w:after="283"/>
              <w:jc w:val="left"/>
              <w:rPr/>
            </w:pPr>
            <w:r>
              <w:rPr/>
              <w:t>  </w:t>
            </w:r>
            <w:r>
              <w:rPr/>
              <w:t>3.2</w:t>
            </w:r>
          </w:p>
        </w:tc>
        <w:tc>
          <w:tcPr>
            <w:tcW w:w="669" w:type="dxa"/>
            <w:tcBorders/>
            <w:vAlign w:val="bottom"/>
          </w:tcPr>
          <w:p>
            <w:pPr>
              <w:pStyle w:val="TableContents"/>
              <w:bidi w:val="0"/>
              <w:spacing w:before="0" w:after="283"/>
              <w:jc w:val="left"/>
              <w:rPr/>
            </w:pPr>
            <w:r>
              <w:rPr/>
              <w:t>  </w:t>
            </w:r>
          </w:p>
        </w:tc>
        <w:tc>
          <w:tcPr>
            <w:tcW w:w="8335" w:type="dxa"/>
            <w:tcBorders/>
          </w:tcPr>
          <w:p>
            <w:pPr>
              <w:pStyle w:val="TableContents"/>
              <w:bidi w:val="0"/>
              <w:spacing w:before="0" w:after="283"/>
              <w:jc w:val="left"/>
              <w:rPr/>
            </w:pPr>
            <w:hyperlink r:id="rId53">
              <w:r>
                <w:rPr>
                  <w:rStyle w:val="InternetLink"/>
                </w:rPr>
                <w:t xml:space="preserve">Certificate of Amendment to the Amended and Restated Certificate of Incorporation (incorporated by reference to Exhibit 3.1 of the Company’s Current Report on Form 8-K (File No. 001-40703), filed with the Securities and Exchange Commission on September 13, 2022). </w:t>
              </w:r>
            </w:hyperlink>
          </w:p>
        </w:tc>
      </w:tr>
      <w:tr>
        <w:trPr>
          <w:trHeight w:val="120" w:hRule="atLeast"/>
        </w:trPr>
        <w:tc>
          <w:tcPr>
            <w:tcW w:w="120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r>
      <w:tr>
        <w:trPr/>
        <w:tc>
          <w:tcPr>
            <w:tcW w:w="1201" w:type="dxa"/>
            <w:tcBorders/>
          </w:tcPr>
          <w:p>
            <w:pPr>
              <w:pStyle w:val="TableContents"/>
              <w:bidi w:val="0"/>
              <w:spacing w:before="0" w:after="283"/>
              <w:jc w:val="left"/>
              <w:rPr/>
            </w:pPr>
            <w:r>
              <w:rPr/>
              <w:t>  </w:t>
            </w:r>
            <w:r>
              <w:rPr/>
              <w:t>3.3</w:t>
            </w:r>
          </w:p>
        </w:tc>
        <w:tc>
          <w:tcPr>
            <w:tcW w:w="669" w:type="dxa"/>
            <w:tcBorders/>
            <w:vAlign w:val="bottom"/>
          </w:tcPr>
          <w:p>
            <w:pPr>
              <w:pStyle w:val="TableContents"/>
              <w:bidi w:val="0"/>
              <w:spacing w:before="0" w:after="283"/>
              <w:jc w:val="left"/>
              <w:rPr/>
            </w:pPr>
            <w:r>
              <w:rPr/>
              <w:t>  </w:t>
            </w:r>
          </w:p>
        </w:tc>
        <w:tc>
          <w:tcPr>
            <w:tcW w:w="8335" w:type="dxa"/>
            <w:tcBorders/>
          </w:tcPr>
          <w:p>
            <w:pPr>
              <w:pStyle w:val="TableContents"/>
              <w:bidi w:val="0"/>
              <w:spacing w:before="0" w:after="283"/>
              <w:jc w:val="left"/>
              <w:rPr/>
            </w:pPr>
            <w:hyperlink r:id="rId54">
              <w:r>
                <w:rPr>
                  <w:rStyle w:val="InternetLink"/>
                </w:rPr>
                <w:t>Certificate of Amendment to the Amended and Restated Certificate of Incorporation (incorporated by reference to Exhibit 3.1 of the Company’s Current Report on Form 8-K (File No. 001-40703), filed with the Securities and Exchange Commission on May 25, 2023).</w:t>
              </w:r>
            </w:hyperlink>
          </w:p>
        </w:tc>
      </w:tr>
      <w:tr>
        <w:trPr>
          <w:trHeight w:val="120" w:hRule="atLeast"/>
        </w:trPr>
        <w:tc>
          <w:tcPr>
            <w:tcW w:w="120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r>
      <w:tr>
        <w:trPr/>
        <w:tc>
          <w:tcPr>
            <w:tcW w:w="1201" w:type="dxa"/>
            <w:tcBorders/>
          </w:tcPr>
          <w:p>
            <w:pPr>
              <w:pStyle w:val="TableContents"/>
              <w:bidi w:val="0"/>
              <w:spacing w:before="0" w:after="283"/>
              <w:jc w:val="left"/>
              <w:rPr/>
            </w:pPr>
            <w:r>
              <w:rPr/>
              <w:t>  </w:t>
            </w:r>
            <w:r>
              <w:rPr/>
              <w:t>3.4</w:t>
            </w:r>
          </w:p>
        </w:tc>
        <w:tc>
          <w:tcPr>
            <w:tcW w:w="669" w:type="dxa"/>
            <w:tcBorders/>
            <w:vAlign w:val="bottom"/>
          </w:tcPr>
          <w:p>
            <w:pPr>
              <w:pStyle w:val="TableContents"/>
              <w:bidi w:val="0"/>
              <w:spacing w:before="0" w:after="283"/>
              <w:jc w:val="left"/>
              <w:rPr/>
            </w:pPr>
            <w:r>
              <w:rPr/>
              <w:t>  </w:t>
            </w:r>
          </w:p>
        </w:tc>
        <w:tc>
          <w:tcPr>
            <w:tcW w:w="8335" w:type="dxa"/>
            <w:tcBorders/>
          </w:tcPr>
          <w:p>
            <w:pPr>
              <w:pStyle w:val="TableContents"/>
              <w:bidi w:val="0"/>
              <w:spacing w:before="0" w:after="283"/>
              <w:jc w:val="left"/>
              <w:rPr/>
            </w:pPr>
            <w:hyperlink r:id="rId55">
              <w:r>
                <w:rPr>
                  <w:rStyle w:val="InternetLink"/>
                </w:rPr>
                <w:t xml:space="preserve">Amended and Restated Bylaws (incorporated by reference to Exhibit 3.2 of the Company’s Current Report on Form 8-K (File No. 001-40703), filed with the Securities and Exchange Commission on September 13, 2022). </w:t>
              </w:r>
            </w:hyperlink>
          </w:p>
        </w:tc>
      </w:tr>
      <w:tr>
        <w:trPr>
          <w:trHeight w:val="120" w:hRule="atLeast"/>
        </w:trPr>
        <w:tc>
          <w:tcPr>
            <w:tcW w:w="120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r>
      <w:tr>
        <w:trPr/>
        <w:tc>
          <w:tcPr>
            <w:tcW w:w="1201" w:type="dxa"/>
            <w:tcBorders/>
          </w:tcPr>
          <w:p>
            <w:pPr>
              <w:pStyle w:val="TableContents"/>
              <w:bidi w:val="0"/>
              <w:spacing w:before="0" w:after="283"/>
              <w:jc w:val="left"/>
              <w:rPr/>
            </w:pPr>
            <w:r>
              <w:rPr/>
              <w:t>  </w:t>
            </w:r>
            <w:r>
              <w:rPr/>
              <w:t>3.5</w:t>
            </w:r>
          </w:p>
        </w:tc>
        <w:tc>
          <w:tcPr>
            <w:tcW w:w="669" w:type="dxa"/>
            <w:tcBorders/>
            <w:vAlign w:val="bottom"/>
          </w:tcPr>
          <w:p>
            <w:pPr>
              <w:pStyle w:val="TableContents"/>
              <w:bidi w:val="0"/>
              <w:spacing w:before="0" w:after="283"/>
              <w:jc w:val="left"/>
              <w:rPr/>
            </w:pPr>
            <w:r>
              <w:rPr/>
              <w:t>  </w:t>
            </w:r>
          </w:p>
        </w:tc>
        <w:tc>
          <w:tcPr>
            <w:tcW w:w="8335" w:type="dxa"/>
            <w:tcBorders/>
          </w:tcPr>
          <w:p>
            <w:pPr>
              <w:pStyle w:val="TableContents"/>
              <w:bidi w:val="0"/>
              <w:spacing w:before="0" w:after="283"/>
              <w:jc w:val="left"/>
              <w:rPr/>
            </w:pPr>
            <w:hyperlink r:id="rId56">
              <w:r>
                <w:rPr>
                  <w:rStyle w:val="InternetLink"/>
                </w:rPr>
                <w:t>Amendment No.  1 to the Amended and Restated Bylaws (incorporated by reference to Exhibit 3.2 of the Company’s Current Report on Form 8-K (File No.  001-40703), filed with the Securities and Exchange Commission on May 25, 2023).</w:t>
              </w:r>
            </w:hyperlink>
          </w:p>
        </w:tc>
      </w:tr>
      <w:tr>
        <w:trPr>
          <w:trHeight w:val="120" w:hRule="atLeast"/>
        </w:trPr>
        <w:tc>
          <w:tcPr>
            <w:tcW w:w="120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r>
      <w:tr>
        <w:trPr/>
        <w:tc>
          <w:tcPr>
            <w:tcW w:w="1201" w:type="dxa"/>
            <w:tcBorders/>
          </w:tcPr>
          <w:p>
            <w:pPr>
              <w:pStyle w:val="TableContents"/>
              <w:bidi w:val="0"/>
              <w:spacing w:before="0" w:after="283"/>
              <w:jc w:val="left"/>
              <w:rPr/>
            </w:pPr>
            <w:r>
              <w:rPr/>
              <w:t>  </w:t>
            </w:r>
            <w:r>
              <w:rPr/>
              <w:t>3.6</w:t>
            </w:r>
          </w:p>
        </w:tc>
        <w:tc>
          <w:tcPr>
            <w:tcW w:w="669" w:type="dxa"/>
            <w:tcBorders/>
            <w:vAlign w:val="bottom"/>
          </w:tcPr>
          <w:p>
            <w:pPr>
              <w:pStyle w:val="TableContents"/>
              <w:bidi w:val="0"/>
              <w:spacing w:before="0" w:after="283"/>
              <w:jc w:val="left"/>
              <w:rPr/>
            </w:pPr>
            <w:r>
              <w:rPr/>
              <w:t>  </w:t>
            </w:r>
          </w:p>
        </w:tc>
        <w:tc>
          <w:tcPr>
            <w:tcW w:w="8335" w:type="dxa"/>
            <w:tcBorders/>
          </w:tcPr>
          <w:p>
            <w:pPr>
              <w:pStyle w:val="TableContents"/>
              <w:bidi w:val="0"/>
              <w:spacing w:before="0" w:after="283"/>
              <w:jc w:val="left"/>
              <w:rPr/>
            </w:pPr>
            <w:hyperlink r:id="rId57">
              <w:r>
                <w:rPr>
                  <w:rStyle w:val="InternetLink"/>
                </w:rPr>
                <w:t xml:space="preserve">Delaware Certificate of Change of Registered Agent (incorporated by reference to Exhibit 3.3 of the Company’s Registration Statement on Form S-3 (File No. 333-267643), filed with the Securities and Exchange Commission on September 28, 2022). </w:t>
              </w:r>
            </w:hyperlink>
          </w:p>
        </w:tc>
      </w:tr>
      <w:tr>
        <w:trPr>
          <w:trHeight w:val="120" w:hRule="atLeast"/>
        </w:trPr>
        <w:tc>
          <w:tcPr>
            <w:tcW w:w="1201" w:type="dxa"/>
            <w:tcBorders/>
            <w:vAlign w:val="center"/>
          </w:tcPr>
          <w:p>
            <w:pPr>
              <w:pStyle w:val="TableContents"/>
              <w:bidi w:val="0"/>
              <w:spacing w:before="0" w:after="283"/>
              <w:jc w:val="left"/>
              <w:rPr>
                <w:sz w:val="4"/>
                <w:szCs w:val="4"/>
              </w:rPr>
            </w:pPr>
            <w:r>
              <w:rPr>
                <w:sz w:val="4"/>
                <w:szCs w:val="4"/>
              </w:rPr>
            </w:r>
          </w:p>
        </w:tc>
        <w:tc>
          <w:tcPr>
            <w:tcW w:w="9004" w:type="dxa"/>
            <w:gridSpan w:val="2"/>
            <w:tcBorders/>
            <w:vAlign w:val="center"/>
          </w:tcPr>
          <w:p>
            <w:pPr>
              <w:pStyle w:val="TableContents"/>
              <w:bidi w:val="0"/>
              <w:spacing w:before="0" w:after="283"/>
              <w:jc w:val="left"/>
              <w:rPr>
                <w:sz w:val="4"/>
                <w:szCs w:val="4"/>
              </w:rPr>
            </w:pPr>
            <w:r>
              <w:rPr>
                <w:sz w:val="4"/>
                <w:szCs w:val="4"/>
              </w:rPr>
            </w:r>
          </w:p>
        </w:tc>
      </w:tr>
      <w:tr>
        <w:trPr/>
        <w:tc>
          <w:tcPr>
            <w:tcW w:w="1201" w:type="dxa"/>
            <w:tcBorders/>
          </w:tcPr>
          <w:p>
            <w:pPr>
              <w:pStyle w:val="TableContents"/>
              <w:bidi w:val="0"/>
              <w:spacing w:before="0" w:after="283"/>
              <w:jc w:val="left"/>
              <w:rPr/>
            </w:pPr>
            <w:r>
              <w:rPr/>
              <w:t>  </w:t>
            </w:r>
            <w:r>
              <w:rPr/>
              <w:t>4.1</w:t>
            </w:r>
          </w:p>
        </w:tc>
        <w:tc>
          <w:tcPr>
            <w:tcW w:w="669" w:type="dxa"/>
            <w:tcBorders/>
            <w:vAlign w:val="bottom"/>
          </w:tcPr>
          <w:p>
            <w:pPr>
              <w:pStyle w:val="TableContents"/>
              <w:bidi w:val="0"/>
              <w:spacing w:before="0" w:after="283"/>
              <w:jc w:val="left"/>
              <w:rPr/>
            </w:pPr>
            <w:r>
              <w:rPr/>
              <w:t>  </w:t>
            </w:r>
          </w:p>
        </w:tc>
        <w:tc>
          <w:tcPr>
            <w:tcW w:w="8335" w:type="dxa"/>
            <w:tcBorders/>
          </w:tcPr>
          <w:p>
            <w:pPr>
              <w:pStyle w:val="TableContents"/>
              <w:bidi w:val="0"/>
              <w:spacing w:before="0" w:after="283"/>
              <w:jc w:val="left"/>
              <w:rPr/>
            </w:pPr>
            <w:hyperlink r:id="rId58">
              <w:r>
                <w:rPr>
                  <w:rStyle w:val="InternetLink"/>
                </w:rPr>
                <w:t>Second Amended and Restated Investors’ Rights Agreement, by and among the Company and certain of its stockholders, dated April 16, 2021 (incorporated by reference to Exhibit 4.1 of the Company’s Registration Statement on Form S-1 (File No. 333-257975), filed with the Securities and Exchange Commission on July 16, 2021).</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198"/>
        <w:gridCol w:w="683"/>
        <w:gridCol w:w="8324"/>
      </w:tblGrid>
      <w:tr>
        <w:trPr/>
        <w:tc>
          <w:tcPr>
            <w:tcW w:w="1198" w:type="dxa"/>
            <w:tcBorders/>
            <w:vAlign w:val="center"/>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8324" w:type="dxa"/>
            <w:tcBorders/>
            <w:vAlign w:val="center"/>
          </w:tcPr>
          <w:p>
            <w:pPr>
              <w:pStyle w:val="TableContents"/>
              <w:bidi w:val="0"/>
              <w:spacing w:before="0" w:after="283"/>
              <w:jc w:val="left"/>
              <w:rPr>
                <w:sz w:val="4"/>
                <w:szCs w:val="4"/>
              </w:rPr>
            </w:pPr>
            <w:r>
              <w:rPr>
                <w:sz w:val="4"/>
                <w:szCs w:val="4"/>
              </w:rPr>
            </w:r>
          </w:p>
        </w:tc>
      </w:tr>
      <w:tr>
        <w:trPr/>
        <w:tc>
          <w:tcPr>
            <w:tcW w:w="1198"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683" w:type="dxa"/>
            <w:tcBorders/>
            <w:vAlign w:val="bottom"/>
          </w:tcPr>
          <w:p>
            <w:pPr>
              <w:pStyle w:val="TableContents"/>
              <w:bidi w:val="0"/>
              <w:spacing w:before="0" w:after="283"/>
              <w:jc w:val="left"/>
              <w:rPr/>
            </w:pPr>
            <w:r>
              <w:rPr/>
              <w:t>  </w:t>
            </w:r>
          </w:p>
        </w:tc>
        <w:tc>
          <w:tcPr>
            <w:tcW w:w="832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4.2*</w:t>
            </w:r>
          </w:p>
        </w:tc>
        <w:tc>
          <w:tcPr>
            <w:tcW w:w="683" w:type="dxa"/>
            <w:tcBorders/>
            <w:vAlign w:val="bottom"/>
          </w:tcPr>
          <w:p>
            <w:pPr>
              <w:pStyle w:val="TableContents"/>
              <w:bidi w:val="0"/>
              <w:spacing w:before="0" w:after="283"/>
              <w:jc w:val="left"/>
              <w:rPr/>
            </w:pPr>
            <w:r>
              <w:rPr/>
              <w:t>  </w:t>
            </w:r>
          </w:p>
        </w:tc>
        <w:tc>
          <w:tcPr>
            <w:tcW w:w="8324" w:type="dxa"/>
            <w:tcBorders/>
          </w:tcPr>
          <w:p>
            <w:pPr>
              <w:pStyle w:val="TableContents"/>
              <w:bidi w:val="0"/>
              <w:spacing w:before="0" w:after="283"/>
              <w:jc w:val="left"/>
              <w:rPr/>
            </w:pPr>
            <w:r>
              <w:rPr/>
              <w:t>Specimen certificate evidencing shares of preferred stock.</w:t>
            </w:r>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4.3*</w:t>
            </w:r>
          </w:p>
        </w:tc>
        <w:tc>
          <w:tcPr>
            <w:tcW w:w="683" w:type="dxa"/>
            <w:tcBorders/>
            <w:vAlign w:val="bottom"/>
          </w:tcPr>
          <w:p>
            <w:pPr>
              <w:pStyle w:val="TableContents"/>
              <w:bidi w:val="0"/>
              <w:spacing w:before="0" w:after="283"/>
              <w:jc w:val="left"/>
              <w:rPr/>
            </w:pPr>
            <w:r>
              <w:rPr/>
              <w:t>  </w:t>
            </w:r>
          </w:p>
        </w:tc>
        <w:tc>
          <w:tcPr>
            <w:tcW w:w="8324" w:type="dxa"/>
            <w:tcBorders/>
          </w:tcPr>
          <w:p>
            <w:pPr>
              <w:pStyle w:val="TableContents"/>
              <w:bidi w:val="0"/>
              <w:spacing w:before="0" w:after="283"/>
              <w:jc w:val="left"/>
              <w:rPr/>
            </w:pPr>
            <w:r>
              <w:rPr/>
              <w:t>Form of any Certificate of Designation setting forth the preferences and rights with respect to any preferred stock issued hereunder.</w:t>
            </w:r>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4.4</w:t>
            </w:r>
          </w:p>
        </w:tc>
        <w:tc>
          <w:tcPr>
            <w:tcW w:w="683" w:type="dxa"/>
            <w:tcBorders/>
            <w:vAlign w:val="bottom"/>
          </w:tcPr>
          <w:p>
            <w:pPr>
              <w:pStyle w:val="TableContents"/>
              <w:bidi w:val="0"/>
              <w:spacing w:before="0" w:after="283"/>
              <w:jc w:val="left"/>
              <w:rPr/>
            </w:pPr>
            <w:r>
              <w:rPr/>
              <w:t>  </w:t>
            </w:r>
          </w:p>
        </w:tc>
        <w:tc>
          <w:tcPr>
            <w:tcW w:w="8324" w:type="dxa"/>
            <w:tcBorders/>
          </w:tcPr>
          <w:p>
            <w:pPr>
              <w:pStyle w:val="TableContents"/>
              <w:bidi w:val="0"/>
              <w:spacing w:before="0" w:after="283"/>
              <w:jc w:val="left"/>
              <w:rPr/>
            </w:pPr>
            <w:hyperlink w:anchor="d28850dex44.htm">
              <w:r>
                <w:rPr>
                  <w:rStyle w:val="InternetLink"/>
                </w:rPr>
                <w:t xml:space="preserve">Form of Indenture (filed herewith). </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4.5*</w:t>
            </w:r>
          </w:p>
        </w:tc>
        <w:tc>
          <w:tcPr>
            <w:tcW w:w="683" w:type="dxa"/>
            <w:tcBorders/>
            <w:vAlign w:val="bottom"/>
          </w:tcPr>
          <w:p>
            <w:pPr>
              <w:pStyle w:val="TableContents"/>
              <w:bidi w:val="0"/>
              <w:spacing w:before="0" w:after="283"/>
              <w:jc w:val="left"/>
              <w:rPr/>
            </w:pPr>
            <w:r>
              <w:rPr/>
              <w:t>  </w:t>
            </w:r>
          </w:p>
        </w:tc>
        <w:tc>
          <w:tcPr>
            <w:tcW w:w="8324" w:type="dxa"/>
            <w:tcBorders/>
          </w:tcPr>
          <w:p>
            <w:pPr>
              <w:pStyle w:val="TableContents"/>
              <w:bidi w:val="0"/>
              <w:spacing w:before="0" w:after="283"/>
              <w:jc w:val="left"/>
              <w:rPr/>
            </w:pPr>
            <w:r>
              <w:rPr/>
              <w:t>Form of Warrant Agreement for Common Stock, including Warrant Certificate for Common Stock.</w:t>
            </w:r>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4.6*</w:t>
            </w:r>
          </w:p>
        </w:tc>
        <w:tc>
          <w:tcPr>
            <w:tcW w:w="683" w:type="dxa"/>
            <w:tcBorders/>
            <w:vAlign w:val="bottom"/>
          </w:tcPr>
          <w:p>
            <w:pPr>
              <w:pStyle w:val="TableContents"/>
              <w:bidi w:val="0"/>
              <w:spacing w:before="0" w:after="283"/>
              <w:jc w:val="left"/>
              <w:rPr/>
            </w:pPr>
            <w:r>
              <w:rPr/>
              <w:t>  </w:t>
            </w:r>
          </w:p>
        </w:tc>
        <w:tc>
          <w:tcPr>
            <w:tcW w:w="8324" w:type="dxa"/>
            <w:tcBorders/>
          </w:tcPr>
          <w:p>
            <w:pPr>
              <w:pStyle w:val="TableContents"/>
              <w:bidi w:val="0"/>
              <w:spacing w:before="0" w:after="283"/>
              <w:jc w:val="left"/>
              <w:rPr/>
            </w:pPr>
            <w:r>
              <w:rPr/>
              <w:t>Form of Warrant Agreement for Preferred Stock, including Warrant Certificate for Preferred Stock.</w:t>
            </w:r>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4.7*</w:t>
            </w:r>
          </w:p>
        </w:tc>
        <w:tc>
          <w:tcPr>
            <w:tcW w:w="683" w:type="dxa"/>
            <w:tcBorders/>
            <w:vAlign w:val="bottom"/>
          </w:tcPr>
          <w:p>
            <w:pPr>
              <w:pStyle w:val="TableContents"/>
              <w:bidi w:val="0"/>
              <w:spacing w:before="0" w:after="283"/>
              <w:jc w:val="left"/>
              <w:rPr/>
            </w:pPr>
            <w:r>
              <w:rPr/>
              <w:t>  </w:t>
            </w:r>
          </w:p>
        </w:tc>
        <w:tc>
          <w:tcPr>
            <w:tcW w:w="8324" w:type="dxa"/>
            <w:tcBorders/>
          </w:tcPr>
          <w:p>
            <w:pPr>
              <w:pStyle w:val="TableContents"/>
              <w:bidi w:val="0"/>
              <w:spacing w:before="0" w:after="283"/>
              <w:jc w:val="left"/>
              <w:rPr/>
            </w:pPr>
            <w:r>
              <w:rPr/>
              <w:t>Form of Warrant Agreement for Debt Securities, including Warrant Certificate for Debt Securities.</w:t>
            </w:r>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4.8*</w:t>
            </w:r>
          </w:p>
        </w:tc>
        <w:tc>
          <w:tcPr>
            <w:tcW w:w="683" w:type="dxa"/>
            <w:tcBorders/>
            <w:vAlign w:val="bottom"/>
          </w:tcPr>
          <w:p>
            <w:pPr>
              <w:pStyle w:val="TableContents"/>
              <w:bidi w:val="0"/>
              <w:spacing w:before="0" w:after="283"/>
              <w:jc w:val="left"/>
              <w:rPr/>
            </w:pPr>
            <w:r>
              <w:rPr/>
              <w:t>  </w:t>
            </w:r>
          </w:p>
        </w:tc>
        <w:tc>
          <w:tcPr>
            <w:tcW w:w="8324" w:type="dxa"/>
            <w:tcBorders/>
          </w:tcPr>
          <w:p>
            <w:pPr>
              <w:pStyle w:val="TableContents"/>
              <w:bidi w:val="0"/>
              <w:spacing w:before="0" w:after="283"/>
              <w:jc w:val="left"/>
              <w:rPr/>
            </w:pPr>
            <w:r>
              <w:rPr/>
              <w:t>Form of Unit Agreement and Unit Certificate.</w:t>
            </w:r>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5.1</w:t>
            </w:r>
          </w:p>
        </w:tc>
        <w:tc>
          <w:tcPr>
            <w:tcW w:w="683" w:type="dxa"/>
            <w:tcBorders/>
            <w:vAlign w:val="bottom"/>
          </w:tcPr>
          <w:p>
            <w:pPr>
              <w:pStyle w:val="TableContents"/>
              <w:bidi w:val="0"/>
              <w:spacing w:before="0" w:after="283"/>
              <w:jc w:val="left"/>
              <w:rPr/>
            </w:pPr>
            <w:r>
              <w:rPr/>
              <w:t>  </w:t>
            </w:r>
          </w:p>
        </w:tc>
        <w:tc>
          <w:tcPr>
            <w:tcW w:w="8324" w:type="dxa"/>
            <w:tcBorders/>
          </w:tcPr>
          <w:p>
            <w:pPr>
              <w:pStyle w:val="TableContents"/>
              <w:bidi w:val="0"/>
              <w:spacing w:before="0" w:after="283"/>
              <w:jc w:val="left"/>
              <w:rPr/>
            </w:pPr>
            <w:hyperlink w:anchor="d28850dex51.htm">
              <w:r>
                <w:rPr>
                  <w:rStyle w:val="InternetLink"/>
                </w:rPr>
                <w:t xml:space="preserve">Opinion of Hogan Lovells US LLP relating to the base prospectus (filed herewith). </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5.2</w:t>
            </w:r>
          </w:p>
        </w:tc>
        <w:tc>
          <w:tcPr>
            <w:tcW w:w="683" w:type="dxa"/>
            <w:tcBorders/>
            <w:vAlign w:val="bottom"/>
          </w:tcPr>
          <w:p>
            <w:pPr>
              <w:pStyle w:val="TableContents"/>
              <w:bidi w:val="0"/>
              <w:spacing w:before="0" w:after="283"/>
              <w:jc w:val="left"/>
              <w:rPr/>
            </w:pPr>
            <w:r>
              <w:rPr/>
              <w:t>  </w:t>
            </w:r>
          </w:p>
        </w:tc>
        <w:tc>
          <w:tcPr>
            <w:tcW w:w="8324" w:type="dxa"/>
            <w:tcBorders/>
          </w:tcPr>
          <w:p>
            <w:pPr>
              <w:pStyle w:val="TableContents"/>
              <w:bidi w:val="0"/>
              <w:spacing w:before="0" w:after="283"/>
              <w:jc w:val="left"/>
              <w:rPr/>
            </w:pPr>
            <w:hyperlink w:anchor="d28850dex52.htm">
              <w:r>
                <w:rPr>
                  <w:rStyle w:val="InternetLink"/>
                </w:rPr>
                <w:t xml:space="preserve">Opinion of Hogan Lovells US LLP relating to the ATM prospectus (filed herewith). </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10.1</w:t>
            </w:r>
          </w:p>
        </w:tc>
        <w:tc>
          <w:tcPr>
            <w:tcW w:w="683" w:type="dxa"/>
            <w:tcBorders/>
            <w:vAlign w:val="bottom"/>
          </w:tcPr>
          <w:p>
            <w:pPr>
              <w:pStyle w:val="TableContents"/>
              <w:bidi w:val="0"/>
              <w:spacing w:before="0" w:after="283"/>
              <w:jc w:val="left"/>
              <w:rPr/>
            </w:pPr>
            <w:r>
              <w:rPr/>
              <w:t>  </w:t>
            </w:r>
          </w:p>
        </w:tc>
        <w:tc>
          <w:tcPr>
            <w:tcW w:w="8324" w:type="dxa"/>
            <w:tcBorders/>
          </w:tcPr>
          <w:p>
            <w:pPr>
              <w:pStyle w:val="TableContents"/>
              <w:bidi w:val="0"/>
              <w:spacing w:before="0" w:after="283"/>
              <w:jc w:val="left"/>
              <w:rPr/>
            </w:pPr>
            <w:hyperlink r:id="rId59">
              <w:r>
                <w:rPr>
                  <w:rStyle w:val="InternetLink"/>
                </w:rPr>
                <w:t>Controlled Equity OfferingSM Sales Agreement, by and between the Company and Cantor Fitzgerald  &amp; Co., dated December 22, 2023 (incorporated by reference to Exhibit 10.1 of the Company’s Current Report on Form 8-K (File No. 001-40703), filed with the Securities and Exchange Commission on December 22, 2023).</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23.1</w:t>
            </w:r>
          </w:p>
        </w:tc>
        <w:tc>
          <w:tcPr>
            <w:tcW w:w="683" w:type="dxa"/>
            <w:tcBorders/>
            <w:vAlign w:val="bottom"/>
          </w:tcPr>
          <w:p>
            <w:pPr>
              <w:pStyle w:val="TableContents"/>
              <w:bidi w:val="0"/>
              <w:spacing w:before="0" w:after="283"/>
              <w:jc w:val="left"/>
              <w:rPr/>
            </w:pPr>
            <w:r>
              <w:rPr/>
              <w:t>  </w:t>
            </w:r>
          </w:p>
        </w:tc>
        <w:tc>
          <w:tcPr>
            <w:tcW w:w="8324" w:type="dxa"/>
            <w:tcBorders/>
          </w:tcPr>
          <w:p>
            <w:pPr>
              <w:pStyle w:val="TableContents"/>
              <w:bidi w:val="0"/>
              <w:spacing w:before="0" w:after="283"/>
              <w:jc w:val="left"/>
              <w:rPr/>
            </w:pPr>
            <w:hyperlink w:anchor="d28850dex231.htm">
              <w:r>
                <w:rPr>
                  <w:rStyle w:val="InternetLink"/>
                </w:rPr>
                <w:t xml:space="preserve">Consent of PricewaterhouseCoopers LLP, independent registered public accounting firm (filed herewith). </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23.2</w:t>
            </w:r>
          </w:p>
        </w:tc>
        <w:tc>
          <w:tcPr>
            <w:tcW w:w="683" w:type="dxa"/>
            <w:tcBorders/>
            <w:vAlign w:val="bottom"/>
          </w:tcPr>
          <w:p>
            <w:pPr>
              <w:pStyle w:val="TableContents"/>
              <w:bidi w:val="0"/>
              <w:spacing w:before="0" w:after="283"/>
              <w:jc w:val="left"/>
              <w:rPr/>
            </w:pPr>
            <w:r>
              <w:rPr/>
              <w:t>  </w:t>
            </w:r>
          </w:p>
        </w:tc>
        <w:tc>
          <w:tcPr>
            <w:tcW w:w="8324" w:type="dxa"/>
            <w:tcBorders/>
          </w:tcPr>
          <w:p>
            <w:pPr>
              <w:pStyle w:val="TableContents"/>
              <w:bidi w:val="0"/>
              <w:spacing w:before="0" w:after="283"/>
              <w:jc w:val="left"/>
              <w:rPr/>
            </w:pPr>
            <w:hyperlink w:anchor="d28850dex51.htm">
              <w:r>
                <w:rPr>
                  <w:rStyle w:val="InternetLink"/>
                </w:rPr>
                <w:t xml:space="preserve">Consent of Hogan Lovells US LLP (included in Exhibit 5.1). </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23.3</w:t>
            </w:r>
          </w:p>
        </w:tc>
        <w:tc>
          <w:tcPr>
            <w:tcW w:w="683" w:type="dxa"/>
            <w:tcBorders/>
            <w:vAlign w:val="bottom"/>
          </w:tcPr>
          <w:p>
            <w:pPr>
              <w:pStyle w:val="TableContents"/>
              <w:bidi w:val="0"/>
              <w:spacing w:before="0" w:after="283"/>
              <w:jc w:val="left"/>
              <w:rPr/>
            </w:pPr>
            <w:r>
              <w:rPr/>
              <w:t>  </w:t>
            </w:r>
          </w:p>
        </w:tc>
        <w:tc>
          <w:tcPr>
            <w:tcW w:w="8324" w:type="dxa"/>
            <w:tcBorders/>
          </w:tcPr>
          <w:p>
            <w:pPr>
              <w:pStyle w:val="TableContents"/>
              <w:bidi w:val="0"/>
              <w:spacing w:before="0" w:after="283"/>
              <w:jc w:val="left"/>
              <w:rPr/>
            </w:pPr>
            <w:hyperlink w:anchor="d28850dex52.htm">
              <w:r>
                <w:rPr>
                  <w:rStyle w:val="InternetLink"/>
                </w:rPr>
                <w:t xml:space="preserve">Consent of Hogan Lovells US LLP (included in Exhibit 5.2). </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24.1</w:t>
            </w:r>
          </w:p>
        </w:tc>
        <w:tc>
          <w:tcPr>
            <w:tcW w:w="683" w:type="dxa"/>
            <w:tcBorders/>
            <w:vAlign w:val="bottom"/>
          </w:tcPr>
          <w:p>
            <w:pPr>
              <w:pStyle w:val="TableContents"/>
              <w:bidi w:val="0"/>
              <w:spacing w:before="0" w:after="283"/>
              <w:jc w:val="left"/>
              <w:rPr/>
            </w:pPr>
            <w:r>
              <w:rPr/>
              <w:t>  </w:t>
            </w:r>
          </w:p>
        </w:tc>
        <w:tc>
          <w:tcPr>
            <w:tcW w:w="8324" w:type="dxa"/>
            <w:tcBorders/>
          </w:tcPr>
          <w:p>
            <w:pPr>
              <w:pStyle w:val="TableContents"/>
              <w:bidi w:val="0"/>
              <w:spacing w:before="0" w:after="283"/>
              <w:jc w:val="left"/>
              <w:rPr/>
            </w:pPr>
            <w:hyperlink w:anchor="sig">
              <w:r>
                <w:rPr>
                  <w:rStyle w:val="InternetLink"/>
                </w:rPr>
                <w:t xml:space="preserve">Power of Attorney (included on signature page hereto). </w:t>
              </w:r>
            </w:hyperlink>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25.1**</w:t>
            </w:r>
          </w:p>
        </w:tc>
        <w:tc>
          <w:tcPr>
            <w:tcW w:w="683" w:type="dxa"/>
            <w:tcBorders/>
            <w:vAlign w:val="bottom"/>
          </w:tcPr>
          <w:p>
            <w:pPr>
              <w:pStyle w:val="TableContents"/>
              <w:bidi w:val="0"/>
              <w:spacing w:before="0" w:after="283"/>
              <w:jc w:val="left"/>
              <w:rPr/>
            </w:pPr>
            <w:r>
              <w:rPr/>
              <w:t>  </w:t>
            </w:r>
          </w:p>
        </w:tc>
        <w:tc>
          <w:tcPr>
            <w:tcW w:w="8324" w:type="dxa"/>
            <w:tcBorders/>
          </w:tcPr>
          <w:p>
            <w:pPr>
              <w:pStyle w:val="TableContents"/>
              <w:bidi w:val="0"/>
              <w:spacing w:before="0" w:after="283"/>
              <w:jc w:val="left"/>
              <w:rPr/>
            </w:pPr>
            <w:r>
              <w:rPr/>
              <w:t>Form T-1 Statement of Eligibility and Qualification under the Trust Indenture Act of 1939 of Trustee for Form of Indenture.</w:t>
            </w:r>
          </w:p>
        </w:tc>
      </w:tr>
      <w:tr>
        <w:trPr>
          <w:trHeight w:val="120" w:hRule="atLeast"/>
        </w:trPr>
        <w:tc>
          <w:tcPr>
            <w:tcW w:w="1198" w:type="dxa"/>
            <w:tcBorders/>
            <w:vAlign w:val="center"/>
          </w:tcPr>
          <w:p>
            <w:pPr>
              <w:pStyle w:val="TableContents"/>
              <w:bidi w:val="0"/>
              <w:spacing w:before="0" w:after="283"/>
              <w:jc w:val="left"/>
              <w:rPr>
                <w:sz w:val="4"/>
                <w:szCs w:val="4"/>
              </w:rPr>
            </w:pPr>
            <w:r>
              <w:rPr>
                <w:sz w:val="4"/>
                <w:szCs w:val="4"/>
              </w:rPr>
            </w:r>
          </w:p>
        </w:tc>
        <w:tc>
          <w:tcPr>
            <w:tcW w:w="9007" w:type="dxa"/>
            <w:gridSpan w:val="2"/>
            <w:tcBorders/>
            <w:vAlign w:val="center"/>
          </w:tcPr>
          <w:p>
            <w:pPr>
              <w:pStyle w:val="TableContents"/>
              <w:bidi w:val="0"/>
              <w:spacing w:before="0" w:after="283"/>
              <w:jc w:val="left"/>
              <w:rPr>
                <w:sz w:val="4"/>
                <w:szCs w:val="4"/>
              </w:rPr>
            </w:pPr>
            <w:r>
              <w:rPr>
                <w:sz w:val="4"/>
                <w:szCs w:val="4"/>
              </w:rPr>
            </w:r>
          </w:p>
        </w:tc>
      </w:tr>
      <w:tr>
        <w:trPr/>
        <w:tc>
          <w:tcPr>
            <w:tcW w:w="1198" w:type="dxa"/>
            <w:tcBorders/>
          </w:tcPr>
          <w:p>
            <w:pPr>
              <w:pStyle w:val="TableContents"/>
              <w:bidi w:val="0"/>
              <w:spacing w:before="0" w:after="283"/>
              <w:jc w:val="left"/>
              <w:rPr/>
            </w:pPr>
            <w:r>
              <w:rPr/>
              <w:t> </w:t>
            </w:r>
            <w:r>
              <w:rPr/>
              <w:t>107</w:t>
            </w:r>
          </w:p>
        </w:tc>
        <w:tc>
          <w:tcPr>
            <w:tcW w:w="683" w:type="dxa"/>
            <w:tcBorders/>
            <w:vAlign w:val="bottom"/>
          </w:tcPr>
          <w:p>
            <w:pPr>
              <w:pStyle w:val="TableContents"/>
              <w:bidi w:val="0"/>
              <w:spacing w:before="0" w:after="283"/>
              <w:jc w:val="left"/>
              <w:rPr/>
            </w:pPr>
            <w:r>
              <w:rPr/>
              <w:t>  </w:t>
            </w:r>
          </w:p>
        </w:tc>
        <w:tc>
          <w:tcPr>
            <w:tcW w:w="8324" w:type="dxa"/>
            <w:tcBorders/>
          </w:tcPr>
          <w:p>
            <w:pPr>
              <w:pStyle w:val="TableContents"/>
              <w:bidi w:val="0"/>
              <w:spacing w:before="0" w:after="283"/>
              <w:jc w:val="left"/>
              <w:rPr/>
            </w:pPr>
            <w:hyperlink w:anchor="d28850dexfilingfees.htm">
              <w:r>
                <w:rPr>
                  <w:rStyle w:val="InternetLink"/>
                </w:rPr>
                <w:t xml:space="preserve">Filing Fee Table (filed herewith).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if necessary, subsequent to the effectiveness of this registration statement by an amendment to this registration statement or incorporated by reference pursuant to a Current Report on Form 8-K in connection with an offering of securities.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in accordance with the requirements of Section 305(b)(2) of the Trust Indenture Act of 1939 and Rule 5b-3 thereunder.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2"/>
        <w:gridCol w:w="8883"/>
      </w:tblGrid>
      <w:tr>
        <w:trPr/>
        <w:tc>
          <w:tcPr>
            <w:tcW w:w="1322" w:type="dxa"/>
            <w:tcBorders/>
            <w:vAlign w:val="center"/>
          </w:tcPr>
          <w:p>
            <w:pPr>
              <w:pStyle w:val="TableContents"/>
              <w:bidi w:val="0"/>
              <w:spacing w:before="0" w:after="283"/>
              <w:jc w:val="left"/>
              <w:rPr/>
            </w:pPr>
            <w:r>
              <w:rPr/>
              <w:t> </w:t>
            </w:r>
          </w:p>
        </w:tc>
        <w:tc>
          <w:tcPr>
            <w:tcW w:w="8883" w:type="dxa"/>
            <w:tcBorders/>
          </w:tcPr>
          <w:p>
            <w:pPr>
              <w:pStyle w:val="TableContents"/>
              <w:bidi w:val="0"/>
              <w:spacing w:before="0" w:after="283"/>
              <w:jc w:val="left"/>
              <w:rPr/>
            </w:pPr>
            <w:r>
              <w:rPr/>
              <w:t xml:space="preserve">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(i), (ii) and (iii)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of 1933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of 1933, each filing of the registrant’s annual report pursuant to Section 13(a) or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when applicable, the undersigned registrant hereby undertakes to file an application for the purpose of determining the eligibility of the trustee to act under subsection (a) of Section 310 of the Trust Indenture Act in accordance with the rules and regulations prescribed by the Securities and Exchange Commission under Section 305(b)(2) of the Trust Indenture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sig"/>
      <w:bookmarkEnd w:id="33"/>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Invivyd, Inc., certifies that it has reasonable grounds to believe that it meets all of the requirements for filing on Form S-3 and has duly caused this registration statement to be signed on its behalf by the undersigned, thereunto duly authorized, in the City of New Haven, State of Connecticut, on this 2nd day of October,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Invivyd, Inc.</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William Duke, Jr.</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William Duke, Jr.</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BY THESE PRESENTS, that each person whose signature appears below constitutes and appoints William Duke, Jr. and Jill Andersen as his or her true and lawful attorney-in-fact and agent, with the full power of substitution, for him or her and in his or her name, place or stead, in any and all capacities, to sign any and all amendments to this registration statement (including post-effective amendments), and any other registration statements for the same offering pursuant to Rule 462(b) of the Securities Act of 1933, as amended, and to file the same, with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84"/>
        <w:gridCol w:w="120"/>
        <w:gridCol w:w="4046"/>
        <w:gridCol w:w="199"/>
        <w:gridCol w:w="1956"/>
      </w:tblGrid>
      <w:tr>
        <w:trPr/>
        <w:tc>
          <w:tcPr>
            <w:tcW w:w="388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r>
      <w:tr>
        <w:trPr/>
        <w:tc>
          <w:tcPr>
            <w:tcW w:w="388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04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99" w:type="dxa"/>
            <w:tcBorders/>
            <w:vAlign w:val="bottom"/>
          </w:tcPr>
          <w:p>
            <w:pPr>
              <w:pStyle w:val="TableContents"/>
              <w:bidi w:val="0"/>
              <w:spacing w:before="0" w:after="283"/>
              <w:jc w:val="left"/>
              <w:rPr/>
            </w:pPr>
            <w:r>
              <w:rPr/>
              <w:t> </w:t>
            </w:r>
          </w:p>
        </w:tc>
        <w:tc>
          <w:tcPr>
            <w:tcW w:w="19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884" w:type="dxa"/>
            <w:tcBorders/>
            <w:vAlign w:val="center"/>
          </w:tcPr>
          <w:p>
            <w:pPr>
              <w:pStyle w:val="TableContents"/>
              <w:bidi w:val="0"/>
              <w:spacing w:before="0" w:after="283"/>
              <w:jc w:val="left"/>
              <w:rPr>
                <w:sz w:val="4"/>
                <w:szCs w:val="4"/>
              </w:rPr>
            </w:pPr>
            <w:r>
              <w:rPr>
                <w:sz w:val="4"/>
                <w:szCs w:val="4"/>
              </w:rPr>
            </w:r>
          </w:p>
        </w:tc>
        <w:tc>
          <w:tcPr>
            <w:tcW w:w="4166" w:type="dxa"/>
            <w:gridSpan w:val="2"/>
            <w:tcBorders/>
            <w:vAlign w:val="center"/>
          </w:tcPr>
          <w:p>
            <w:pPr>
              <w:pStyle w:val="TableContents"/>
              <w:bidi w:val="0"/>
              <w:spacing w:before="0" w:after="283"/>
              <w:jc w:val="left"/>
              <w:rPr>
                <w:sz w:val="4"/>
                <w:szCs w:val="4"/>
              </w:rPr>
            </w:pPr>
            <w:r>
              <w:rPr>
                <w:sz w:val="4"/>
                <w:szCs w:val="4"/>
              </w:rPr>
            </w:r>
          </w:p>
        </w:tc>
        <w:tc>
          <w:tcPr>
            <w:tcW w:w="2155" w:type="dxa"/>
            <w:gridSpan w:val="2"/>
            <w:tcBorders/>
            <w:vAlign w:val="center"/>
          </w:tcPr>
          <w:p>
            <w:pPr>
              <w:pStyle w:val="TableContents"/>
              <w:bidi w:val="0"/>
              <w:spacing w:before="0" w:after="283"/>
              <w:jc w:val="left"/>
              <w:rPr>
                <w:sz w:val="4"/>
                <w:szCs w:val="4"/>
              </w:rPr>
            </w:pPr>
            <w:r>
              <w:rPr>
                <w:sz w:val="4"/>
                <w:szCs w:val="4"/>
              </w:rPr>
            </w:r>
          </w:p>
        </w:tc>
      </w:tr>
      <w:tr>
        <w:trPr/>
        <w:tc>
          <w:tcPr>
            <w:tcW w:w="388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William Duke, Jr.</w:t>
            </w:r>
          </w:p>
          <w:p>
            <w:pPr>
              <w:pStyle w:val="TableContents"/>
              <w:bidi w:val="0"/>
              <w:spacing w:before="0" w:after="20"/>
              <w:jc w:val="center"/>
              <w:rPr>
                <w:rFonts w:ascii="Times New Roman" w:hAnsi="Times New Roman"/>
                <w:b/>
                <w:sz w:val="20"/>
              </w:rPr>
            </w:pPr>
            <w:r>
              <w:rPr>
                <w:rFonts w:ascii="Times New Roman" w:hAnsi="Times New Roman"/>
                <w:b/>
                <w:sz w:val="20"/>
              </w:rPr>
              <w:t>William Duke, Jr.</w:t>
            </w:r>
          </w:p>
        </w:tc>
        <w:tc>
          <w:tcPr>
            <w:tcW w:w="120" w:type="dxa"/>
            <w:tcBorders/>
            <w:vAlign w:val="bottom"/>
          </w:tcPr>
          <w:p>
            <w:pPr>
              <w:pStyle w:val="TableContents"/>
              <w:bidi w:val="0"/>
              <w:spacing w:before="0" w:after="283"/>
              <w:jc w:val="left"/>
              <w:rPr/>
            </w:pPr>
            <w:r>
              <w:rPr/>
              <w:t>  </w:t>
            </w:r>
          </w:p>
        </w:tc>
        <w:tc>
          <w:tcPr>
            <w:tcW w:w="4046"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i/>
                <w:sz w:val="20"/>
              </w:rPr>
            </w:pPr>
            <w:r>
              <w:rPr>
                <w:rFonts w:ascii="Times New Roman" w:hAnsi="Times New Roman"/>
                <w:i/>
                <w:sz w:val="20"/>
              </w:rPr>
              <w:t>(Principal Executive Officer, Principal Financial Officer and Principal Accounting Officer)</w:t>
            </w:r>
          </w:p>
        </w:tc>
        <w:tc>
          <w:tcPr>
            <w:tcW w:w="199" w:type="dxa"/>
            <w:tcBorders/>
            <w:vAlign w:val="bottom"/>
          </w:tcPr>
          <w:p>
            <w:pPr>
              <w:pStyle w:val="TableContents"/>
              <w:bidi w:val="0"/>
              <w:spacing w:before="0" w:after="283"/>
              <w:jc w:val="left"/>
              <w:rPr/>
            </w:pPr>
            <w:r>
              <w:rPr/>
              <w:t> </w:t>
            </w:r>
          </w:p>
        </w:tc>
        <w:tc>
          <w:tcPr>
            <w:tcW w:w="1956" w:type="dxa"/>
            <w:tcBorders/>
          </w:tcPr>
          <w:p>
            <w:pPr>
              <w:pStyle w:val="TableContents"/>
              <w:bidi w:val="0"/>
              <w:spacing w:before="0" w:after="283"/>
              <w:jc w:val="center"/>
              <w:rPr/>
            </w:pPr>
            <w:r>
              <w:rPr/>
              <w:t>October 2, 2025</w:t>
            </w:r>
          </w:p>
        </w:tc>
      </w:tr>
      <w:tr>
        <w:trPr>
          <w:trHeight w:val="240" w:hRule="atLeast"/>
        </w:trPr>
        <w:tc>
          <w:tcPr>
            <w:tcW w:w="3884" w:type="dxa"/>
            <w:tcBorders/>
            <w:vAlign w:val="center"/>
          </w:tcPr>
          <w:p>
            <w:pPr>
              <w:pStyle w:val="TableContents"/>
              <w:bidi w:val="0"/>
              <w:spacing w:before="0" w:after="283"/>
              <w:jc w:val="left"/>
              <w:rPr>
                <w:sz w:val="4"/>
                <w:szCs w:val="4"/>
              </w:rPr>
            </w:pPr>
            <w:r>
              <w:rPr>
                <w:sz w:val="4"/>
                <w:szCs w:val="4"/>
              </w:rPr>
            </w:r>
          </w:p>
        </w:tc>
        <w:tc>
          <w:tcPr>
            <w:tcW w:w="4166" w:type="dxa"/>
            <w:gridSpan w:val="2"/>
            <w:tcBorders/>
            <w:vAlign w:val="center"/>
          </w:tcPr>
          <w:p>
            <w:pPr>
              <w:pStyle w:val="TableContents"/>
              <w:bidi w:val="0"/>
              <w:spacing w:before="0" w:after="283"/>
              <w:jc w:val="left"/>
              <w:rPr>
                <w:sz w:val="4"/>
                <w:szCs w:val="4"/>
              </w:rPr>
            </w:pPr>
            <w:r>
              <w:rPr>
                <w:sz w:val="4"/>
                <w:szCs w:val="4"/>
              </w:rPr>
            </w:r>
          </w:p>
        </w:tc>
        <w:tc>
          <w:tcPr>
            <w:tcW w:w="2155" w:type="dxa"/>
            <w:gridSpan w:val="2"/>
            <w:tcBorders/>
            <w:vAlign w:val="center"/>
          </w:tcPr>
          <w:p>
            <w:pPr>
              <w:pStyle w:val="TableContents"/>
              <w:bidi w:val="0"/>
              <w:spacing w:before="0" w:after="283"/>
              <w:jc w:val="left"/>
              <w:rPr>
                <w:sz w:val="4"/>
                <w:szCs w:val="4"/>
              </w:rPr>
            </w:pPr>
            <w:r>
              <w:rPr>
                <w:sz w:val="4"/>
                <w:szCs w:val="4"/>
              </w:rPr>
            </w:r>
          </w:p>
        </w:tc>
      </w:tr>
      <w:tr>
        <w:trPr/>
        <w:tc>
          <w:tcPr>
            <w:tcW w:w="388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Marc Elia</w:t>
            </w:r>
          </w:p>
          <w:p>
            <w:pPr>
              <w:pStyle w:val="TableContents"/>
              <w:bidi w:val="0"/>
              <w:spacing w:before="0" w:after="20"/>
              <w:jc w:val="center"/>
              <w:rPr>
                <w:rFonts w:ascii="Times New Roman" w:hAnsi="Times New Roman"/>
                <w:b/>
                <w:sz w:val="20"/>
              </w:rPr>
            </w:pPr>
            <w:r>
              <w:rPr>
                <w:rFonts w:ascii="Times New Roman" w:hAnsi="Times New Roman"/>
                <w:b/>
                <w:sz w:val="20"/>
              </w:rPr>
              <w:t>Marc Elia</w:t>
            </w:r>
          </w:p>
        </w:tc>
        <w:tc>
          <w:tcPr>
            <w:tcW w:w="120" w:type="dxa"/>
            <w:tcBorders/>
            <w:vAlign w:val="bottom"/>
          </w:tcPr>
          <w:p>
            <w:pPr>
              <w:pStyle w:val="TableContents"/>
              <w:bidi w:val="0"/>
              <w:spacing w:before="0" w:after="283"/>
              <w:jc w:val="left"/>
              <w:rPr/>
            </w:pPr>
            <w:r>
              <w:rPr/>
              <w:t>  </w:t>
            </w:r>
          </w:p>
        </w:tc>
        <w:tc>
          <w:tcPr>
            <w:tcW w:w="4046" w:type="dxa"/>
            <w:tcBorders/>
          </w:tcPr>
          <w:p>
            <w:pPr>
              <w:pStyle w:val="TableContents"/>
              <w:bidi w:val="0"/>
              <w:spacing w:before="0" w:after="283"/>
              <w:jc w:val="center"/>
              <w:rPr/>
            </w:pPr>
            <w:r>
              <w:rPr/>
              <w:t>Chairman of the Board of Directors</w:t>
            </w:r>
          </w:p>
        </w:tc>
        <w:tc>
          <w:tcPr>
            <w:tcW w:w="199" w:type="dxa"/>
            <w:tcBorders/>
            <w:vAlign w:val="bottom"/>
          </w:tcPr>
          <w:p>
            <w:pPr>
              <w:pStyle w:val="TableContents"/>
              <w:bidi w:val="0"/>
              <w:spacing w:before="0" w:after="283"/>
              <w:jc w:val="left"/>
              <w:rPr/>
            </w:pPr>
            <w:r>
              <w:rPr/>
              <w:t> </w:t>
            </w:r>
          </w:p>
        </w:tc>
        <w:tc>
          <w:tcPr>
            <w:tcW w:w="1956" w:type="dxa"/>
            <w:tcBorders/>
          </w:tcPr>
          <w:p>
            <w:pPr>
              <w:pStyle w:val="TableContents"/>
              <w:bidi w:val="0"/>
              <w:spacing w:before="0" w:after="283"/>
              <w:jc w:val="center"/>
              <w:rPr/>
            </w:pPr>
            <w:r>
              <w:rPr/>
              <w:t>October 2, 2025</w:t>
            </w:r>
          </w:p>
        </w:tc>
      </w:tr>
      <w:tr>
        <w:trPr>
          <w:trHeight w:val="240" w:hRule="atLeast"/>
        </w:trPr>
        <w:tc>
          <w:tcPr>
            <w:tcW w:w="3884" w:type="dxa"/>
            <w:tcBorders/>
            <w:vAlign w:val="center"/>
          </w:tcPr>
          <w:p>
            <w:pPr>
              <w:pStyle w:val="TableContents"/>
              <w:bidi w:val="0"/>
              <w:spacing w:before="0" w:after="283"/>
              <w:jc w:val="left"/>
              <w:rPr>
                <w:sz w:val="4"/>
                <w:szCs w:val="4"/>
              </w:rPr>
            </w:pPr>
            <w:r>
              <w:rPr>
                <w:sz w:val="4"/>
                <w:szCs w:val="4"/>
              </w:rPr>
            </w:r>
          </w:p>
        </w:tc>
        <w:tc>
          <w:tcPr>
            <w:tcW w:w="4166" w:type="dxa"/>
            <w:gridSpan w:val="2"/>
            <w:tcBorders/>
            <w:vAlign w:val="center"/>
          </w:tcPr>
          <w:p>
            <w:pPr>
              <w:pStyle w:val="TableContents"/>
              <w:bidi w:val="0"/>
              <w:spacing w:before="0" w:after="283"/>
              <w:jc w:val="left"/>
              <w:rPr>
                <w:sz w:val="4"/>
                <w:szCs w:val="4"/>
              </w:rPr>
            </w:pPr>
            <w:r>
              <w:rPr>
                <w:sz w:val="4"/>
                <w:szCs w:val="4"/>
              </w:rPr>
            </w:r>
          </w:p>
        </w:tc>
        <w:tc>
          <w:tcPr>
            <w:tcW w:w="2155" w:type="dxa"/>
            <w:gridSpan w:val="2"/>
            <w:tcBorders/>
            <w:vAlign w:val="center"/>
          </w:tcPr>
          <w:p>
            <w:pPr>
              <w:pStyle w:val="TableContents"/>
              <w:bidi w:val="0"/>
              <w:spacing w:before="0" w:after="283"/>
              <w:jc w:val="left"/>
              <w:rPr>
                <w:sz w:val="4"/>
                <w:szCs w:val="4"/>
              </w:rPr>
            </w:pPr>
            <w:r>
              <w:rPr>
                <w:sz w:val="4"/>
                <w:szCs w:val="4"/>
              </w:rPr>
            </w:r>
          </w:p>
        </w:tc>
      </w:tr>
      <w:tr>
        <w:trPr/>
        <w:tc>
          <w:tcPr>
            <w:tcW w:w="388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Tamsin Berry</w:t>
            </w:r>
          </w:p>
          <w:p>
            <w:pPr>
              <w:pStyle w:val="TableContents"/>
              <w:bidi w:val="0"/>
              <w:spacing w:before="0" w:after="20"/>
              <w:jc w:val="center"/>
              <w:rPr>
                <w:rFonts w:ascii="Times New Roman" w:hAnsi="Times New Roman"/>
                <w:b/>
                <w:sz w:val="20"/>
              </w:rPr>
            </w:pPr>
            <w:r>
              <w:rPr>
                <w:rFonts w:ascii="Times New Roman" w:hAnsi="Times New Roman"/>
                <w:b/>
                <w:sz w:val="20"/>
              </w:rPr>
              <w:t>Tamsin Berry</w:t>
            </w:r>
          </w:p>
        </w:tc>
        <w:tc>
          <w:tcPr>
            <w:tcW w:w="120" w:type="dxa"/>
            <w:tcBorders/>
            <w:vAlign w:val="bottom"/>
          </w:tcPr>
          <w:p>
            <w:pPr>
              <w:pStyle w:val="TableContents"/>
              <w:bidi w:val="0"/>
              <w:spacing w:before="0" w:after="283"/>
              <w:jc w:val="left"/>
              <w:rPr/>
            </w:pPr>
            <w:r>
              <w:rPr/>
              <w:t>  </w:t>
            </w:r>
          </w:p>
        </w:tc>
        <w:tc>
          <w:tcPr>
            <w:tcW w:w="4046" w:type="dxa"/>
            <w:tcBorders/>
          </w:tcPr>
          <w:p>
            <w:pPr>
              <w:pStyle w:val="TableContents"/>
              <w:bidi w:val="0"/>
              <w:spacing w:before="0" w:after="283"/>
              <w:jc w:val="center"/>
              <w:rPr/>
            </w:pPr>
            <w:r>
              <w:rPr/>
              <w:t>Director</w:t>
            </w:r>
          </w:p>
        </w:tc>
        <w:tc>
          <w:tcPr>
            <w:tcW w:w="199" w:type="dxa"/>
            <w:tcBorders/>
            <w:vAlign w:val="bottom"/>
          </w:tcPr>
          <w:p>
            <w:pPr>
              <w:pStyle w:val="TableContents"/>
              <w:bidi w:val="0"/>
              <w:spacing w:before="0" w:after="283"/>
              <w:jc w:val="left"/>
              <w:rPr/>
            </w:pPr>
            <w:r>
              <w:rPr/>
              <w:t> </w:t>
            </w:r>
          </w:p>
        </w:tc>
        <w:tc>
          <w:tcPr>
            <w:tcW w:w="1956" w:type="dxa"/>
            <w:tcBorders/>
          </w:tcPr>
          <w:p>
            <w:pPr>
              <w:pStyle w:val="TableContents"/>
              <w:bidi w:val="0"/>
              <w:spacing w:before="0" w:after="283"/>
              <w:jc w:val="center"/>
              <w:rPr/>
            </w:pPr>
            <w:r>
              <w:rPr/>
              <w:t>October 2, 2025</w:t>
            </w:r>
          </w:p>
        </w:tc>
      </w:tr>
      <w:tr>
        <w:trPr>
          <w:trHeight w:val="240" w:hRule="atLeast"/>
        </w:trPr>
        <w:tc>
          <w:tcPr>
            <w:tcW w:w="3884" w:type="dxa"/>
            <w:tcBorders/>
            <w:vAlign w:val="center"/>
          </w:tcPr>
          <w:p>
            <w:pPr>
              <w:pStyle w:val="TableContents"/>
              <w:bidi w:val="0"/>
              <w:spacing w:before="0" w:after="283"/>
              <w:jc w:val="left"/>
              <w:rPr>
                <w:sz w:val="4"/>
                <w:szCs w:val="4"/>
              </w:rPr>
            </w:pPr>
            <w:r>
              <w:rPr>
                <w:sz w:val="4"/>
                <w:szCs w:val="4"/>
              </w:rPr>
            </w:r>
          </w:p>
        </w:tc>
        <w:tc>
          <w:tcPr>
            <w:tcW w:w="4166" w:type="dxa"/>
            <w:gridSpan w:val="2"/>
            <w:tcBorders/>
            <w:vAlign w:val="center"/>
          </w:tcPr>
          <w:p>
            <w:pPr>
              <w:pStyle w:val="TableContents"/>
              <w:bidi w:val="0"/>
              <w:spacing w:before="0" w:after="283"/>
              <w:jc w:val="left"/>
              <w:rPr>
                <w:sz w:val="4"/>
                <w:szCs w:val="4"/>
              </w:rPr>
            </w:pPr>
            <w:r>
              <w:rPr>
                <w:sz w:val="4"/>
                <w:szCs w:val="4"/>
              </w:rPr>
            </w:r>
          </w:p>
        </w:tc>
        <w:tc>
          <w:tcPr>
            <w:tcW w:w="2155" w:type="dxa"/>
            <w:gridSpan w:val="2"/>
            <w:tcBorders/>
            <w:vAlign w:val="center"/>
          </w:tcPr>
          <w:p>
            <w:pPr>
              <w:pStyle w:val="TableContents"/>
              <w:bidi w:val="0"/>
              <w:spacing w:before="0" w:after="283"/>
              <w:jc w:val="left"/>
              <w:rPr>
                <w:sz w:val="4"/>
                <w:szCs w:val="4"/>
              </w:rPr>
            </w:pPr>
            <w:r>
              <w:rPr>
                <w:sz w:val="4"/>
                <w:szCs w:val="4"/>
              </w:rPr>
            </w:r>
          </w:p>
        </w:tc>
      </w:tr>
      <w:tr>
        <w:trPr/>
        <w:tc>
          <w:tcPr>
            <w:tcW w:w="388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Paul B. Bolno, M.D.</w:t>
            </w:r>
          </w:p>
          <w:p>
            <w:pPr>
              <w:pStyle w:val="TableContents"/>
              <w:bidi w:val="0"/>
              <w:spacing w:before="0" w:after="20"/>
              <w:jc w:val="center"/>
              <w:rPr>
                <w:rFonts w:ascii="Times New Roman" w:hAnsi="Times New Roman"/>
                <w:b/>
                <w:sz w:val="20"/>
              </w:rPr>
            </w:pPr>
            <w:r>
              <w:rPr>
                <w:rFonts w:ascii="Times New Roman" w:hAnsi="Times New Roman"/>
                <w:b/>
                <w:sz w:val="20"/>
              </w:rPr>
              <w:t>Paul B. Bolno, M.D.</w:t>
            </w:r>
          </w:p>
        </w:tc>
        <w:tc>
          <w:tcPr>
            <w:tcW w:w="120" w:type="dxa"/>
            <w:tcBorders/>
            <w:vAlign w:val="bottom"/>
          </w:tcPr>
          <w:p>
            <w:pPr>
              <w:pStyle w:val="TableContents"/>
              <w:bidi w:val="0"/>
              <w:spacing w:before="0" w:after="283"/>
              <w:jc w:val="left"/>
              <w:rPr/>
            </w:pPr>
            <w:r>
              <w:rPr/>
              <w:t>  </w:t>
            </w:r>
          </w:p>
        </w:tc>
        <w:tc>
          <w:tcPr>
            <w:tcW w:w="4046" w:type="dxa"/>
            <w:tcBorders/>
          </w:tcPr>
          <w:p>
            <w:pPr>
              <w:pStyle w:val="TableContents"/>
              <w:bidi w:val="0"/>
              <w:spacing w:before="0" w:after="283"/>
              <w:jc w:val="center"/>
              <w:rPr/>
            </w:pPr>
            <w:r>
              <w:rPr/>
              <w:t>Director</w:t>
            </w:r>
          </w:p>
        </w:tc>
        <w:tc>
          <w:tcPr>
            <w:tcW w:w="199" w:type="dxa"/>
            <w:tcBorders/>
            <w:vAlign w:val="bottom"/>
          </w:tcPr>
          <w:p>
            <w:pPr>
              <w:pStyle w:val="TableContents"/>
              <w:bidi w:val="0"/>
              <w:spacing w:before="0" w:after="283"/>
              <w:jc w:val="left"/>
              <w:rPr/>
            </w:pPr>
            <w:r>
              <w:rPr/>
              <w:t> </w:t>
            </w:r>
          </w:p>
        </w:tc>
        <w:tc>
          <w:tcPr>
            <w:tcW w:w="1956" w:type="dxa"/>
            <w:tcBorders/>
          </w:tcPr>
          <w:p>
            <w:pPr>
              <w:pStyle w:val="TableContents"/>
              <w:bidi w:val="0"/>
              <w:spacing w:before="0" w:after="283"/>
              <w:jc w:val="center"/>
              <w:rPr/>
            </w:pPr>
            <w:r>
              <w:rPr/>
              <w:t>October 2, 2025</w:t>
            </w:r>
          </w:p>
        </w:tc>
      </w:tr>
      <w:tr>
        <w:trPr>
          <w:trHeight w:val="240" w:hRule="atLeast"/>
        </w:trPr>
        <w:tc>
          <w:tcPr>
            <w:tcW w:w="3884" w:type="dxa"/>
            <w:tcBorders/>
            <w:vAlign w:val="center"/>
          </w:tcPr>
          <w:p>
            <w:pPr>
              <w:pStyle w:val="TableContents"/>
              <w:bidi w:val="0"/>
              <w:spacing w:before="0" w:after="283"/>
              <w:jc w:val="left"/>
              <w:rPr>
                <w:sz w:val="4"/>
                <w:szCs w:val="4"/>
              </w:rPr>
            </w:pPr>
            <w:r>
              <w:rPr>
                <w:sz w:val="4"/>
                <w:szCs w:val="4"/>
              </w:rPr>
            </w:r>
          </w:p>
        </w:tc>
        <w:tc>
          <w:tcPr>
            <w:tcW w:w="4166" w:type="dxa"/>
            <w:gridSpan w:val="2"/>
            <w:tcBorders/>
            <w:vAlign w:val="center"/>
          </w:tcPr>
          <w:p>
            <w:pPr>
              <w:pStyle w:val="TableContents"/>
              <w:bidi w:val="0"/>
              <w:spacing w:before="0" w:after="283"/>
              <w:jc w:val="left"/>
              <w:rPr>
                <w:sz w:val="4"/>
                <w:szCs w:val="4"/>
              </w:rPr>
            </w:pPr>
            <w:r>
              <w:rPr>
                <w:sz w:val="4"/>
                <w:szCs w:val="4"/>
              </w:rPr>
            </w:r>
          </w:p>
        </w:tc>
        <w:tc>
          <w:tcPr>
            <w:tcW w:w="2155" w:type="dxa"/>
            <w:gridSpan w:val="2"/>
            <w:tcBorders/>
            <w:vAlign w:val="center"/>
          </w:tcPr>
          <w:p>
            <w:pPr>
              <w:pStyle w:val="TableContents"/>
              <w:bidi w:val="0"/>
              <w:spacing w:before="0" w:after="283"/>
              <w:jc w:val="left"/>
              <w:rPr>
                <w:sz w:val="4"/>
                <w:szCs w:val="4"/>
              </w:rPr>
            </w:pPr>
            <w:r>
              <w:rPr>
                <w:sz w:val="4"/>
                <w:szCs w:val="4"/>
              </w:rPr>
            </w:r>
          </w:p>
        </w:tc>
      </w:tr>
      <w:tr>
        <w:trPr/>
        <w:tc>
          <w:tcPr>
            <w:tcW w:w="388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Terrance McGuire</w:t>
            </w:r>
          </w:p>
          <w:p>
            <w:pPr>
              <w:pStyle w:val="TableContents"/>
              <w:bidi w:val="0"/>
              <w:spacing w:before="0" w:after="20"/>
              <w:jc w:val="center"/>
              <w:rPr>
                <w:rFonts w:ascii="Times New Roman" w:hAnsi="Times New Roman"/>
                <w:b/>
                <w:sz w:val="20"/>
              </w:rPr>
            </w:pPr>
            <w:r>
              <w:rPr>
                <w:rFonts w:ascii="Times New Roman" w:hAnsi="Times New Roman"/>
                <w:b/>
                <w:sz w:val="20"/>
              </w:rPr>
              <w:t>Terrance McGuire</w:t>
            </w:r>
          </w:p>
        </w:tc>
        <w:tc>
          <w:tcPr>
            <w:tcW w:w="120" w:type="dxa"/>
            <w:tcBorders/>
            <w:vAlign w:val="bottom"/>
          </w:tcPr>
          <w:p>
            <w:pPr>
              <w:pStyle w:val="TableContents"/>
              <w:bidi w:val="0"/>
              <w:spacing w:before="0" w:after="283"/>
              <w:jc w:val="left"/>
              <w:rPr/>
            </w:pPr>
            <w:r>
              <w:rPr/>
              <w:t>  </w:t>
            </w:r>
          </w:p>
        </w:tc>
        <w:tc>
          <w:tcPr>
            <w:tcW w:w="4046" w:type="dxa"/>
            <w:tcBorders/>
          </w:tcPr>
          <w:p>
            <w:pPr>
              <w:pStyle w:val="TableContents"/>
              <w:bidi w:val="0"/>
              <w:spacing w:before="0" w:after="283"/>
              <w:jc w:val="center"/>
              <w:rPr/>
            </w:pPr>
            <w:r>
              <w:rPr/>
              <w:t>Director</w:t>
            </w:r>
          </w:p>
        </w:tc>
        <w:tc>
          <w:tcPr>
            <w:tcW w:w="199" w:type="dxa"/>
            <w:tcBorders/>
            <w:vAlign w:val="bottom"/>
          </w:tcPr>
          <w:p>
            <w:pPr>
              <w:pStyle w:val="TableContents"/>
              <w:bidi w:val="0"/>
              <w:spacing w:before="0" w:after="283"/>
              <w:jc w:val="left"/>
              <w:rPr/>
            </w:pPr>
            <w:r>
              <w:rPr/>
              <w:t> </w:t>
            </w:r>
          </w:p>
        </w:tc>
        <w:tc>
          <w:tcPr>
            <w:tcW w:w="1956" w:type="dxa"/>
            <w:tcBorders/>
          </w:tcPr>
          <w:p>
            <w:pPr>
              <w:pStyle w:val="TableContents"/>
              <w:bidi w:val="0"/>
              <w:spacing w:before="0" w:after="283"/>
              <w:jc w:val="center"/>
              <w:rPr/>
            </w:pPr>
            <w:r>
              <w:rPr/>
              <w:t>October 2, 2025</w:t>
            </w:r>
          </w:p>
        </w:tc>
      </w:tr>
      <w:tr>
        <w:trPr>
          <w:trHeight w:val="240" w:hRule="atLeast"/>
        </w:trPr>
        <w:tc>
          <w:tcPr>
            <w:tcW w:w="3884" w:type="dxa"/>
            <w:tcBorders/>
            <w:vAlign w:val="center"/>
          </w:tcPr>
          <w:p>
            <w:pPr>
              <w:pStyle w:val="TableContents"/>
              <w:bidi w:val="0"/>
              <w:spacing w:before="0" w:after="283"/>
              <w:jc w:val="left"/>
              <w:rPr>
                <w:sz w:val="4"/>
                <w:szCs w:val="4"/>
              </w:rPr>
            </w:pPr>
            <w:r>
              <w:rPr>
                <w:sz w:val="4"/>
                <w:szCs w:val="4"/>
              </w:rPr>
            </w:r>
          </w:p>
        </w:tc>
        <w:tc>
          <w:tcPr>
            <w:tcW w:w="4166" w:type="dxa"/>
            <w:gridSpan w:val="2"/>
            <w:tcBorders/>
            <w:vAlign w:val="center"/>
          </w:tcPr>
          <w:p>
            <w:pPr>
              <w:pStyle w:val="TableContents"/>
              <w:bidi w:val="0"/>
              <w:spacing w:before="0" w:after="283"/>
              <w:jc w:val="left"/>
              <w:rPr>
                <w:sz w:val="4"/>
                <w:szCs w:val="4"/>
              </w:rPr>
            </w:pPr>
            <w:r>
              <w:rPr>
                <w:sz w:val="4"/>
                <w:szCs w:val="4"/>
              </w:rPr>
            </w:r>
          </w:p>
        </w:tc>
        <w:tc>
          <w:tcPr>
            <w:tcW w:w="2155" w:type="dxa"/>
            <w:gridSpan w:val="2"/>
            <w:tcBorders/>
            <w:vAlign w:val="center"/>
          </w:tcPr>
          <w:p>
            <w:pPr>
              <w:pStyle w:val="TableContents"/>
              <w:bidi w:val="0"/>
              <w:spacing w:before="0" w:after="283"/>
              <w:jc w:val="left"/>
              <w:rPr>
                <w:sz w:val="4"/>
                <w:szCs w:val="4"/>
              </w:rPr>
            </w:pPr>
            <w:r>
              <w:rPr>
                <w:sz w:val="4"/>
                <w:szCs w:val="4"/>
              </w:rPr>
            </w:r>
          </w:p>
        </w:tc>
      </w:tr>
      <w:tr>
        <w:trPr/>
        <w:tc>
          <w:tcPr>
            <w:tcW w:w="388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Kevin F. McLaughlin</w:t>
            </w:r>
          </w:p>
          <w:p>
            <w:pPr>
              <w:pStyle w:val="TableContents"/>
              <w:bidi w:val="0"/>
              <w:spacing w:before="0" w:after="20"/>
              <w:jc w:val="center"/>
              <w:rPr>
                <w:rFonts w:ascii="Times New Roman" w:hAnsi="Times New Roman"/>
                <w:b/>
                <w:sz w:val="20"/>
              </w:rPr>
            </w:pPr>
            <w:r>
              <w:rPr>
                <w:rFonts w:ascii="Times New Roman" w:hAnsi="Times New Roman"/>
                <w:b/>
                <w:sz w:val="20"/>
              </w:rPr>
              <w:t>Kevin F. McLaughlin</w:t>
            </w:r>
          </w:p>
        </w:tc>
        <w:tc>
          <w:tcPr>
            <w:tcW w:w="120" w:type="dxa"/>
            <w:tcBorders/>
            <w:vAlign w:val="bottom"/>
          </w:tcPr>
          <w:p>
            <w:pPr>
              <w:pStyle w:val="TableContents"/>
              <w:bidi w:val="0"/>
              <w:spacing w:before="0" w:after="283"/>
              <w:jc w:val="left"/>
              <w:rPr/>
            </w:pPr>
            <w:r>
              <w:rPr/>
              <w:t>  </w:t>
            </w:r>
          </w:p>
        </w:tc>
        <w:tc>
          <w:tcPr>
            <w:tcW w:w="4046" w:type="dxa"/>
            <w:tcBorders/>
          </w:tcPr>
          <w:p>
            <w:pPr>
              <w:pStyle w:val="TableContents"/>
              <w:bidi w:val="0"/>
              <w:spacing w:before="0" w:after="283"/>
              <w:jc w:val="center"/>
              <w:rPr/>
            </w:pPr>
            <w:r>
              <w:rPr/>
              <w:t>Director</w:t>
            </w:r>
          </w:p>
        </w:tc>
        <w:tc>
          <w:tcPr>
            <w:tcW w:w="199" w:type="dxa"/>
            <w:tcBorders/>
            <w:vAlign w:val="bottom"/>
          </w:tcPr>
          <w:p>
            <w:pPr>
              <w:pStyle w:val="TableContents"/>
              <w:bidi w:val="0"/>
              <w:spacing w:before="0" w:after="283"/>
              <w:jc w:val="left"/>
              <w:rPr/>
            </w:pPr>
            <w:r>
              <w:rPr/>
              <w:t> </w:t>
            </w:r>
          </w:p>
        </w:tc>
        <w:tc>
          <w:tcPr>
            <w:tcW w:w="1956" w:type="dxa"/>
            <w:tcBorders/>
          </w:tcPr>
          <w:p>
            <w:pPr>
              <w:pStyle w:val="TableContents"/>
              <w:bidi w:val="0"/>
              <w:spacing w:before="0" w:after="283"/>
              <w:jc w:val="center"/>
              <w:rPr/>
            </w:pPr>
            <w:r>
              <w:rPr/>
              <w:t>October 2, 2025</w:t>
            </w:r>
          </w:p>
        </w:tc>
      </w:tr>
      <w:tr>
        <w:trPr>
          <w:trHeight w:val="240" w:hRule="atLeast"/>
        </w:trPr>
        <w:tc>
          <w:tcPr>
            <w:tcW w:w="3884" w:type="dxa"/>
            <w:tcBorders/>
            <w:vAlign w:val="center"/>
          </w:tcPr>
          <w:p>
            <w:pPr>
              <w:pStyle w:val="TableContents"/>
              <w:bidi w:val="0"/>
              <w:spacing w:before="0" w:after="283"/>
              <w:jc w:val="left"/>
              <w:rPr>
                <w:sz w:val="4"/>
                <w:szCs w:val="4"/>
              </w:rPr>
            </w:pPr>
            <w:r>
              <w:rPr>
                <w:sz w:val="4"/>
                <w:szCs w:val="4"/>
              </w:rPr>
            </w:r>
          </w:p>
        </w:tc>
        <w:tc>
          <w:tcPr>
            <w:tcW w:w="4166" w:type="dxa"/>
            <w:gridSpan w:val="2"/>
            <w:tcBorders/>
            <w:vAlign w:val="center"/>
          </w:tcPr>
          <w:p>
            <w:pPr>
              <w:pStyle w:val="TableContents"/>
              <w:bidi w:val="0"/>
              <w:spacing w:before="0" w:after="283"/>
              <w:jc w:val="left"/>
              <w:rPr>
                <w:sz w:val="4"/>
                <w:szCs w:val="4"/>
              </w:rPr>
            </w:pPr>
            <w:r>
              <w:rPr>
                <w:sz w:val="4"/>
                <w:szCs w:val="4"/>
              </w:rPr>
            </w:r>
          </w:p>
        </w:tc>
        <w:tc>
          <w:tcPr>
            <w:tcW w:w="2155" w:type="dxa"/>
            <w:gridSpan w:val="2"/>
            <w:tcBorders/>
            <w:vAlign w:val="center"/>
          </w:tcPr>
          <w:p>
            <w:pPr>
              <w:pStyle w:val="TableContents"/>
              <w:bidi w:val="0"/>
              <w:spacing w:before="0" w:after="283"/>
              <w:jc w:val="left"/>
              <w:rPr>
                <w:sz w:val="4"/>
                <w:szCs w:val="4"/>
              </w:rPr>
            </w:pPr>
            <w:r>
              <w:rPr>
                <w:sz w:val="4"/>
                <w:szCs w:val="4"/>
              </w:rPr>
            </w:r>
          </w:p>
        </w:tc>
      </w:tr>
      <w:tr>
        <w:trPr/>
        <w:tc>
          <w:tcPr>
            <w:tcW w:w="388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Ajay Royan</w:t>
            </w:r>
          </w:p>
          <w:p>
            <w:pPr>
              <w:pStyle w:val="TableContents"/>
              <w:bidi w:val="0"/>
              <w:spacing w:before="0" w:after="20"/>
              <w:jc w:val="center"/>
              <w:rPr>
                <w:rFonts w:ascii="Times New Roman" w:hAnsi="Times New Roman"/>
                <w:b/>
                <w:sz w:val="20"/>
              </w:rPr>
            </w:pPr>
            <w:r>
              <w:rPr>
                <w:rFonts w:ascii="Times New Roman" w:hAnsi="Times New Roman"/>
                <w:b/>
                <w:sz w:val="20"/>
              </w:rPr>
              <w:t>Ajay Royan</w:t>
            </w:r>
          </w:p>
        </w:tc>
        <w:tc>
          <w:tcPr>
            <w:tcW w:w="120" w:type="dxa"/>
            <w:tcBorders/>
            <w:vAlign w:val="bottom"/>
          </w:tcPr>
          <w:p>
            <w:pPr>
              <w:pStyle w:val="TableContents"/>
              <w:bidi w:val="0"/>
              <w:spacing w:before="0" w:after="283"/>
              <w:jc w:val="left"/>
              <w:rPr/>
            </w:pPr>
            <w:r>
              <w:rPr/>
              <w:t>  </w:t>
            </w:r>
          </w:p>
        </w:tc>
        <w:tc>
          <w:tcPr>
            <w:tcW w:w="4046" w:type="dxa"/>
            <w:tcBorders/>
          </w:tcPr>
          <w:p>
            <w:pPr>
              <w:pStyle w:val="TableContents"/>
              <w:bidi w:val="0"/>
              <w:spacing w:before="0" w:after="283"/>
              <w:jc w:val="center"/>
              <w:rPr/>
            </w:pPr>
            <w:r>
              <w:rPr/>
              <w:t>Director</w:t>
            </w:r>
          </w:p>
        </w:tc>
        <w:tc>
          <w:tcPr>
            <w:tcW w:w="199" w:type="dxa"/>
            <w:tcBorders/>
            <w:vAlign w:val="bottom"/>
          </w:tcPr>
          <w:p>
            <w:pPr>
              <w:pStyle w:val="TableContents"/>
              <w:bidi w:val="0"/>
              <w:spacing w:before="0" w:after="283"/>
              <w:jc w:val="left"/>
              <w:rPr/>
            </w:pPr>
            <w:r>
              <w:rPr/>
              <w:t> </w:t>
            </w:r>
          </w:p>
        </w:tc>
        <w:tc>
          <w:tcPr>
            <w:tcW w:w="1956" w:type="dxa"/>
            <w:tcBorders/>
          </w:tcPr>
          <w:p>
            <w:pPr>
              <w:pStyle w:val="TableContents"/>
              <w:bidi w:val="0"/>
              <w:spacing w:before="0" w:after="283"/>
              <w:jc w:val="center"/>
              <w:rPr/>
            </w:pPr>
            <w:r>
              <w:rPr/>
              <w:t>October 2, 2025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b/>
          <w:sz w:val="20"/>
        </w:rPr>
      </w:pPr>
      <w:bookmarkStart w:id="34" w:name="d28850dex44.htm"/>
      <w:bookmarkStart w:id="35" w:name="ksd28850dex44"/>
      <w:bookmarkEnd w:id="34"/>
      <w:bookmarkEnd w:id="35"/>
      <w:r>
        <w:rPr>
          <w:rFonts w:ascii="Times New Roman" w:hAnsi="Times New Roman"/>
          <w:b/>
          <w:sz w:val="20"/>
        </w:rPr>
        <w:t xml:space="preserve">Exhibit 4.4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 20 </w:t>
      </w:r>
    </w:p>
    <w:p>
      <w:pPr>
        <w:pStyle w:val="TextBody"/>
        <w:bidi w:val="0"/>
        <w:spacing w:before="240" w:after="0"/>
        <w:jc w:val="center"/>
        <w:rPr>
          <w:rFonts w:ascii="Times New Roman" w:hAnsi="Times New Roman"/>
          <w:sz w:val="20"/>
        </w:rPr>
      </w:pPr>
      <w:r>
        <w:rPr>
          <w:rFonts w:ascii="Times New Roman" w:hAnsi="Times New Roman"/>
          <w:sz w:val="20"/>
        </w:rPr>
        <w:t xml:space="preserve">BETWEEN </w:t>
      </w:r>
    </w:p>
    <w:p>
      <w:pPr>
        <w:pStyle w:val="TextBody"/>
        <w:bidi w:val="0"/>
        <w:spacing w:before="240" w:after="0"/>
        <w:jc w:val="center"/>
        <w:rPr>
          <w:rFonts w:ascii="Times New Roman" w:hAnsi="Times New Roman"/>
          <w:sz w:val="20"/>
        </w:rPr>
      </w:pPr>
      <w:r>
        <w:rPr>
          <w:rFonts w:ascii="Times New Roman" w:hAnsi="Times New Roman"/>
          <w:sz w:val="20"/>
        </w:rPr>
        <w:t xml:space="preserve">INVIVYD, INC. </w:t>
      </w:r>
    </w:p>
    <w:p>
      <w:pPr>
        <w:pStyle w:val="TextBody"/>
        <w:bidi w:val="0"/>
        <w:spacing w:before="240" w:after="0"/>
        <w:jc w:val="center"/>
        <w:rPr>
          <w:rFonts w:ascii="Times New Roman" w:hAnsi="Times New Roman"/>
          <w:sz w:val="20"/>
        </w:rPr>
      </w:pPr>
      <w:r>
        <w:rPr>
          <w:rFonts w:ascii="Times New Roman" w:hAnsi="Times New Roman"/>
          <w:sz w:val="20"/>
        </w:rPr>
        <w:t xml:space="preserve">as Issuer,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as Trustee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Providing for Issuance of </w:t>
      </w:r>
    </w:p>
    <w:p>
      <w:pPr>
        <w:pStyle w:val="TextBody"/>
        <w:bidi w:val="0"/>
        <w:spacing w:before="0" w:after="0"/>
        <w:jc w:val="center"/>
        <w:rPr>
          <w:rFonts w:ascii="Times New Roman" w:hAnsi="Times New Roman"/>
          <w:sz w:val="20"/>
        </w:rPr>
      </w:pPr>
      <w:r>
        <w:rPr>
          <w:rFonts w:ascii="Times New Roman" w:hAnsi="Times New Roman"/>
          <w:sz w:val="20"/>
        </w:rPr>
        <w:t xml:space="preserve">Debt Securities </w:t>
      </w:r>
    </w:p>
    <w:p>
      <w:pPr>
        <w:pStyle w:val="TextBody"/>
        <w:bidi w:val="0"/>
        <w:spacing w:before="0" w:after="0"/>
        <w:jc w:val="center"/>
        <w:rPr>
          <w:rFonts w:ascii="Times New Roman" w:hAnsi="Times New Roman"/>
          <w:sz w:val="20"/>
        </w:rPr>
      </w:pPr>
      <w:r>
        <w:rPr>
          <w:rFonts w:ascii="Times New Roman" w:hAnsi="Times New Roman"/>
          <w:sz w:val="20"/>
        </w:rPr>
        <w:t xml:space="preserve">in Series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56"/>
        <w:gridCol w:w="122"/>
        <w:gridCol w:w="7371"/>
        <w:gridCol w:w="172"/>
        <w:gridCol w:w="96"/>
        <w:gridCol w:w="424"/>
        <w:gridCol w:w="64"/>
      </w:tblGrid>
      <w:tr>
        <w:trPr/>
        <w:tc>
          <w:tcPr>
            <w:tcW w:w="195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371"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956"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520"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1956" w:type="dxa"/>
            <w:tcBorders/>
            <w:vAlign w:val="center"/>
          </w:tcPr>
          <w:p>
            <w:pPr>
              <w:pStyle w:val="TableContents"/>
              <w:bidi w:val="0"/>
              <w:spacing w:before="0" w:after="283"/>
              <w:jc w:val="left"/>
              <w:rPr>
                <w:sz w:val="4"/>
                <w:szCs w:val="4"/>
              </w:rPr>
            </w:pPr>
            <w:r>
              <w:rPr>
                <w:sz w:val="4"/>
                <w:szCs w:val="4"/>
              </w:rPr>
            </w:r>
          </w:p>
        </w:tc>
        <w:tc>
          <w:tcPr>
            <w:tcW w:w="7493" w:type="dxa"/>
            <w:gridSpan w:val="2"/>
            <w:tcBorders/>
            <w:vAlign w:val="center"/>
          </w:tcPr>
          <w:p>
            <w:pPr>
              <w:pStyle w:val="TableContents"/>
              <w:bidi w:val="0"/>
              <w:spacing w:before="0" w:after="283"/>
              <w:jc w:val="left"/>
              <w:rPr>
                <w:sz w:val="4"/>
                <w:szCs w:val="4"/>
              </w:rPr>
            </w:pPr>
            <w:r>
              <w:rPr>
                <w:sz w:val="4"/>
                <w:szCs w:val="4"/>
              </w:rPr>
            </w:r>
          </w:p>
        </w:tc>
        <w:tc>
          <w:tcPr>
            <w:tcW w:w="756" w:type="dxa"/>
            <w:gridSpan w:val="4"/>
            <w:tcBorders/>
            <w:vAlign w:val="center"/>
          </w:tcPr>
          <w:p>
            <w:pPr>
              <w:pStyle w:val="TableContents"/>
              <w:bidi w:val="0"/>
              <w:spacing w:before="0" w:after="283"/>
              <w:jc w:val="left"/>
              <w:rPr>
                <w:sz w:val="4"/>
                <w:szCs w:val="4"/>
              </w:rPr>
            </w:pPr>
            <w:r>
              <w:rPr>
                <w:sz w:val="4"/>
                <w:szCs w:val="4"/>
              </w:rPr>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ARTICLE I.</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DEFINITIONS AND OTHER PROVISIONS OF GENERAL APPLICATION</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1956" w:type="dxa"/>
            <w:tcBorders/>
            <w:vAlign w:val="center"/>
          </w:tcPr>
          <w:p>
            <w:pPr>
              <w:pStyle w:val="TableContents"/>
              <w:bidi w:val="0"/>
              <w:spacing w:before="0" w:after="283"/>
              <w:jc w:val="left"/>
              <w:rPr>
                <w:sz w:val="4"/>
                <w:szCs w:val="4"/>
              </w:rPr>
            </w:pPr>
            <w:r>
              <w:rPr>
                <w:sz w:val="4"/>
                <w:szCs w:val="4"/>
              </w:rPr>
            </w:r>
          </w:p>
        </w:tc>
        <w:tc>
          <w:tcPr>
            <w:tcW w:w="7493" w:type="dxa"/>
            <w:gridSpan w:val="2"/>
            <w:tcBorders/>
            <w:vAlign w:val="center"/>
          </w:tcPr>
          <w:p>
            <w:pPr>
              <w:pStyle w:val="TableContents"/>
              <w:bidi w:val="0"/>
              <w:spacing w:before="0" w:after="283"/>
              <w:jc w:val="left"/>
              <w:rPr>
                <w:sz w:val="4"/>
                <w:szCs w:val="4"/>
              </w:rPr>
            </w:pPr>
            <w:r>
              <w:rPr>
                <w:sz w:val="4"/>
                <w:szCs w:val="4"/>
              </w:rPr>
            </w:r>
          </w:p>
        </w:tc>
        <w:tc>
          <w:tcPr>
            <w:tcW w:w="756" w:type="dxa"/>
            <w:gridSpan w:val="4"/>
            <w:tcBorders/>
            <w:vAlign w:val="center"/>
          </w:tcPr>
          <w:p>
            <w:pPr>
              <w:pStyle w:val="TableContents"/>
              <w:bidi w:val="0"/>
              <w:spacing w:before="0" w:after="283"/>
              <w:jc w:val="left"/>
              <w:rPr>
                <w:sz w:val="4"/>
                <w:szCs w:val="4"/>
              </w:rPr>
            </w:pPr>
            <w:r>
              <w:rPr>
                <w:sz w:val="4"/>
                <w:szCs w:val="4"/>
              </w:rPr>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Definitions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Compliance Certificates and Opinions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Form of Documents Delivered to Trustee</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Acts of Holders; Record Dates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Notices, Etc., to Trustee and Company</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Notice to Holders; Waiver</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Conflict with Trust Indenture Act</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Effect of Headings and Table of Contents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Successors and Assigns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Separability Clause</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Benefits of Indenture</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Governing Law</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Legal Holidays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1.14</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Incorporators, Equityholders, Directors, Members, Managers, Officers and Employees of the Company Exempt from Individual Liability</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1.15</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Counterparts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1.16</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WAIVER OF JURY TRIAL</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120" w:hRule="atLeast"/>
        </w:trPr>
        <w:tc>
          <w:tcPr>
            <w:tcW w:w="1956" w:type="dxa"/>
            <w:tcBorders/>
            <w:vAlign w:val="center"/>
          </w:tcPr>
          <w:p>
            <w:pPr>
              <w:pStyle w:val="TableContents"/>
              <w:bidi w:val="0"/>
              <w:spacing w:before="0" w:after="283"/>
              <w:jc w:val="left"/>
              <w:rPr>
                <w:sz w:val="4"/>
                <w:szCs w:val="4"/>
              </w:rPr>
            </w:pPr>
            <w:r>
              <w:rPr>
                <w:sz w:val="4"/>
                <w:szCs w:val="4"/>
              </w:rPr>
            </w:r>
          </w:p>
        </w:tc>
        <w:tc>
          <w:tcPr>
            <w:tcW w:w="7493" w:type="dxa"/>
            <w:gridSpan w:val="2"/>
            <w:tcBorders/>
            <w:vAlign w:val="center"/>
          </w:tcPr>
          <w:p>
            <w:pPr>
              <w:pStyle w:val="TableContents"/>
              <w:bidi w:val="0"/>
              <w:spacing w:before="0" w:after="283"/>
              <w:jc w:val="left"/>
              <w:rPr>
                <w:sz w:val="4"/>
                <w:szCs w:val="4"/>
              </w:rPr>
            </w:pPr>
            <w:r>
              <w:rPr>
                <w:sz w:val="4"/>
                <w:szCs w:val="4"/>
              </w:rPr>
            </w:r>
          </w:p>
        </w:tc>
        <w:tc>
          <w:tcPr>
            <w:tcW w:w="756" w:type="dxa"/>
            <w:gridSpan w:val="4"/>
            <w:tcBorders/>
            <w:vAlign w:val="center"/>
          </w:tcPr>
          <w:p>
            <w:pPr>
              <w:pStyle w:val="TableContents"/>
              <w:bidi w:val="0"/>
              <w:spacing w:before="0" w:after="283"/>
              <w:jc w:val="left"/>
              <w:rPr>
                <w:sz w:val="4"/>
                <w:szCs w:val="4"/>
              </w:rPr>
            </w:pPr>
            <w:r>
              <w:rPr>
                <w:sz w:val="4"/>
                <w:szCs w:val="4"/>
              </w:rPr>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ARTICLE II.</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SECURITY FORM</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120" w:hRule="atLeast"/>
        </w:trPr>
        <w:tc>
          <w:tcPr>
            <w:tcW w:w="1956" w:type="dxa"/>
            <w:tcBorders/>
            <w:vAlign w:val="center"/>
          </w:tcPr>
          <w:p>
            <w:pPr>
              <w:pStyle w:val="TableContents"/>
              <w:bidi w:val="0"/>
              <w:spacing w:before="0" w:after="283"/>
              <w:jc w:val="left"/>
              <w:rPr>
                <w:sz w:val="4"/>
                <w:szCs w:val="4"/>
              </w:rPr>
            </w:pPr>
            <w:r>
              <w:rPr>
                <w:sz w:val="4"/>
                <w:szCs w:val="4"/>
              </w:rPr>
            </w:r>
          </w:p>
        </w:tc>
        <w:tc>
          <w:tcPr>
            <w:tcW w:w="7493" w:type="dxa"/>
            <w:gridSpan w:val="2"/>
            <w:tcBorders/>
            <w:vAlign w:val="center"/>
          </w:tcPr>
          <w:p>
            <w:pPr>
              <w:pStyle w:val="TableContents"/>
              <w:bidi w:val="0"/>
              <w:spacing w:before="0" w:after="283"/>
              <w:jc w:val="left"/>
              <w:rPr>
                <w:sz w:val="4"/>
                <w:szCs w:val="4"/>
              </w:rPr>
            </w:pPr>
            <w:r>
              <w:rPr>
                <w:sz w:val="4"/>
                <w:szCs w:val="4"/>
              </w:rPr>
            </w:r>
          </w:p>
        </w:tc>
        <w:tc>
          <w:tcPr>
            <w:tcW w:w="756" w:type="dxa"/>
            <w:gridSpan w:val="4"/>
            <w:tcBorders/>
            <w:vAlign w:val="center"/>
          </w:tcPr>
          <w:p>
            <w:pPr>
              <w:pStyle w:val="TableContents"/>
              <w:bidi w:val="0"/>
              <w:spacing w:before="0" w:after="283"/>
              <w:jc w:val="left"/>
              <w:rPr>
                <w:sz w:val="4"/>
                <w:szCs w:val="4"/>
              </w:rPr>
            </w:pPr>
            <w:r>
              <w:rPr>
                <w:sz w:val="4"/>
                <w:szCs w:val="4"/>
              </w:rPr>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Forms Generally</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Form of Legend for Global Securities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Form of Trustee’s Certificate of Authentication</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120" w:hRule="atLeast"/>
        </w:trPr>
        <w:tc>
          <w:tcPr>
            <w:tcW w:w="1956" w:type="dxa"/>
            <w:tcBorders/>
            <w:vAlign w:val="center"/>
          </w:tcPr>
          <w:p>
            <w:pPr>
              <w:pStyle w:val="TableContents"/>
              <w:bidi w:val="0"/>
              <w:spacing w:before="0" w:after="283"/>
              <w:jc w:val="left"/>
              <w:rPr>
                <w:sz w:val="4"/>
                <w:szCs w:val="4"/>
              </w:rPr>
            </w:pPr>
            <w:r>
              <w:rPr>
                <w:sz w:val="4"/>
                <w:szCs w:val="4"/>
              </w:rPr>
            </w:r>
          </w:p>
        </w:tc>
        <w:tc>
          <w:tcPr>
            <w:tcW w:w="7493" w:type="dxa"/>
            <w:gridSpan w:val="2"/>
            <w:tcBorders/>
            <w:vAlign w:val="center"/>
          </w:tcPr>
          <w:p>
            <w:pPr>
              <w:pStyle w:val="TableContents"/>
              <w:bidi w:val="0"/>
              <w:spacing w:before="0" w:after="283"/>
              <w:jc w:val="left"/>
              <w:rPr>
                <w:sz w:val="4"/>
                <w:szCs w:val="4"/>
              </w:rPr>
            </w:pPr>
            <w:r>
              <w:rPr>
                <w:sz w:val="4"/>
                <w:szCs w:val="4"/>
              </w:rPr>
            </w:r>
          </w:p>
        </w:tc>
        <w:tc>
          <w:tcPr>
            <w:tcW w:w="756" w:type="dxa"/>
            <w:gridSpan w:val="4"/>
            <w:tcBorders/>
            <w:vAlign w:val="center"/>
          </w:tcPr>
          <w:p>
            <w:pPr>
              <w:pStyle w:val="TableContents"/>
              <w:bidi w:val="0"/>
              <w:spacing w:before="0" w:after="283"/>
              <w:jc w:val="left"/>
              <w:rPr>
                <w:sz w:val="4"/>
                <w:szCs w:val="4"/>
              </w:rPr>
            </w:pPr>
            <w:r>
              <w:rPr>
                <w:sz w:val="4"/>
                <w:szCs w:val="4"/>
              </w:rPr>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ARTICLE III.</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THE SECURITIES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rHeight w:val="120" w:hRule="atLeast"/>
        </w:trPr>
        <w:tc>
          <w:tcPr>
            <w:tcW w:w="1956" w:type="dxa"/>
            <w:tcBorders/>
            <w:vAlign w:val="center"/>
          </w:tcPr>
          <w:p>
            <w:pPr>
              <w:pStyle w:val="TableContents"/>
              <w:bidi w:val="0"/>
              <w:spacing w:before="0" w:after="283"/>
              <w:jc w:val="left"/>
              <w:rPr>
                <w:sz w:val="4"/>
                <w:szCs w:val="4"/>
              </w:rPr>
            </w:pPr>
            <w:r>
              <w:rPr>
                <w:sz w:val="4"/>
                <w:szCs w:val="4"/>
              </w:rPr>
            </w:r>
          </w:p>
        </w:tc>
        <w:tc>
          <w:tcPr>
            <w:tcW w:w="7493" w:type="dxa"/>
            <w:gridSpan w:val="2"/>
            <w:tcBorders/>
            <w:vAlign w:val="center"/>
          </w:tcPr>
          <w:p>
            <w:pPr>
              <w:pStyle w:val="TableContents"/>
              <w:bidi w:val="0"/>
              <w:spacing w:before="0" w:after="283"/>
              <w:jc w:val="left"/>
              <w:rPr>
                <w:sz w:val="4"/>
                <w:szCs w:val="4"/>
              </w:rPr>
            </w:pPr>
            <w:r>
              <w:rPr>
                <w:sz w:val="4"/>
                <w:szCs w:val="4"/>
              </w:rPr>
            </w:r>
          </w:p>
        </w:tc>
        <w:tc>
          <w:tcPr>
            <w:tcW w:w="756" w:type="dxa"/>
            <w:gridSpan w:val="4"/>
            <w:tcBorders/>
            <w:vAlign w:val="center"/>
          </w:tcPr>
          <w:p>
            <w:pPr>
              <w:pStyle w:val="TableContents"/>
              <w:bidi w:val="0"/>
              <w:spacing w:before="0" w:after="283"/>
              <w:jc w:val="left"/>
              <w:rPr>
                <w:sz w:val="4"/>
                <w:szCs w:val="4"/>
              </w:rPr>
            </w:pPr>
            <w:r>
              <w:rPr>
                <w:sz w:val="4"/>
                <w:szCs w:val="4"/>
              </w:rPr>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Amount Unlimited; Issuable in Series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Denominations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Execution, Authentication, Delivery and Dating</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Temporary Securities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Registration; Registration of Transfer and Exchange</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Mutilated, Destroyed, Lost and Stolen Securities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Payment of Interest; Interest Rights Preserved</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Persons Deemed Owners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Cancellation</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Computation of Interest</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CUSIP Numbers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Original Issue Discount</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1956" w:type="dxa"/>
            <w:tcBorders/>
            <w:vAlign w:val="center"/>
          </w:tcPr>
          <w:p>
            <w:pPr>
              <w:pStyle w:val="TableContents"/>
              <w:bidi w:val="0"/>
              <w:spacing w:before="0" w:after="283"/>
              <w:jc w:val="left"/>
              <w:rPr>
                <w:sz w:val="4"/>
                <w:szCs w:val="4"/>
              </w:rPr>
            </w:pPr>
            <w:r>
              <w:rPr>
                <w:sz w:val="4"/>
                <w:szCs w:val="4"/>
              </w:rPr>
            </w:r>
          </w:p>
        </w:tc>
        <w:tc>
          <w:tcPr>
            <w:tcW w:w="7493" w:type="dxa"/>
            <w:gridSpan w:val="2"/>
            <w:tcBorders/>
            <w:vAlign w:val="center"/>
          </w:tcPr>
          <w:p>
            <w:pPr>
              <w:pStyle w:val="TableContents"/>
              <w:bidi w:val="0"/>
              <w:spacing w:before="0" w:after="283"/>
              <w:jc w:val="left"/>
              <w:rPr>
                <w:sz w:val="4"/>
                <w:szCs w:val="4"/>
              </w:rPr>
            </w:pPr>
            <w:r>
              <w:rPr>
                <w:sz w:val="4"/>
                <w:szCs w:val="4"/>
              </w:rPr>
            </w:r>
          </w:p>
        </w:tc>
        <w:tc>
          <w:tcPr>
            <w:tcW w:w="756" w:type="dxa"/>
            <w:gridSpan w:val="4"/>
            <w:tcBorders/>
            <w:vAlign w:val="center"/>
          </w:tcPr>
          <w:p>
            <w:pPr>
              <w:pStyle w:val="TableContents"/>
              <w:bidi w:val="0"/>
              <w:spacing w:before="0" w:after="283"/>
              <w:jc w:val="left"/>
              <w:rPr>
                <w:sz w:val="4"/>
                <w:szCs w:val="4"/>
              </w:rPr>
            </w:pPr>
            <w:r>
              <w:rPr>
                <w:sz w:val="4"/>
                <w:szCs w:val="4"/>
              </w:rPr>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ARTICLE IV.</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SATISFACTION AND DISCHARGE</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1956" w:type="dxa"/>
            <w:tcBorders/>
            <w:vAlign w:val="center"/>
          </w:tcPr>
          <w:p>
            <w:pPr>
              <w:pStyle w:val="TableContents"/>
              <w:bidi w:val="0"/>
              <w:spacing w:before="0" w:after="283"/>
              <w:jc w:val="left"/>
              <w:rPr>
                <w:sz w:val="4"/>
                <w:szCs w:val="4"/>
              </w:rPr>
            </w:pPr>
            <w:r>
              <w:rPr>
                <w:sz w:val="4"/>
                <w:szCs w:val="4"/>
              </w:rPr>
            </w:r>
          </w:p>
        </w:tc>
        <w:tc>
          <w:tcPr>
            <w:tcW w:w="7493" w:type="dxa"/>
            <w:gridSpan w:val="2"/>
            <w:tcBorders/>
            <w:vAlign w:val="center"/>
          </w:tcPr>
          <w:p>
            <w:pPr>
              <w:pStyle w:val="TableContents"/>
              <w:bidi w:val="0"/>
              <w:spacing w:before="0" w:after="283"/>
              <w:jc w:val="left"/>
              <w:rPr>
                <w:sz w:val="4"/>
                <w:szCs w:val="4"/>
              </w:rPr>
            </w:pPr>
            <w:r>
              <w:rPr>
                <w:sz w:val="4"/>
                <w:szCs w:val="4"/>
              </w:rPr>
            </w:r>
          </w:p>
        </w:tc>
        <w:tc>
          <w:tcPr>
            <w:tcW w:w="756" w:type="dxa"/>
            <w:gridSpan w:val="4"/>
            <w:tcBorders/>
            <w:vAlign w:val="center"/>
          </w:tcPr>
          <w:p>
            <w:pPr>
              <w:pStyle w:val="TableContents"/>
              <w:bidi w:val="0"/>
              <w:spacing w:before="0" w:after="283"/>
              <w:jc w:val="left"/>
              <w:rPr>
                <w:sz w:val="4"/>
                <w:szCs w:val="4"/>
              </w:rPr>
            </w:pPr>
            <w:r>
              <w:rPr>
                <w:sz w:val="4"/>
                <w:szCs w:val="4"/>
              </w:rPr>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Satisfaction and Discharge of Indenture</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Application of Trust Money</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rHeight w:val="120" w:hRule="atLeast"/>
        </w:trPr>
        <w:tc>
          <w:tcPr>
            <w:tcW w:w="1956" w:type="dxa"/>
            <w:tcBorders/>
            <w:vAlign w:val="center"/>
          </w:tcPr>
          <w:p>
            <w:pPr>
              <w:pStyle w:val="TableContents"/>
              <w:bidi w:val="0"/>
              <w:spacing w:before="0" w:after="283"/>
              <w:jc w:val="left"/>
              <w:rPr>
                <w:sz w:val="4"/>
                <w:szCs w:val="4"/>
              </w:rPr>
            </w:pPr>
            <w:r>
              <w:rPr>
                <w:sz w:val="4"/>
                <w:szCs w:val="4"/>
              </w:rPr>
            </w:r>
          </w:p>
        </w:tc>
        <w:tc>
          <w:tcPr>
            <w:tcW w:w="7493" w:type="dxa"/>
            <w:gridSpan w:val="2"/>
            <w:tcBorders/>
            <w:vAlign w:val="center"/>
          </w:tcPr>
          <w:p>
            <w:pPr>
              <w:pStyle w:val="TableContents"/>
              <w:bidi w:val="0"/>
              <w:spacing w:before="0" w:after="283"/>
              <w:jc w:val="left"/>
              <w:rPr>
                <w:sz w:val="4"/>
                <w:szCs w:val="4"/>
              </w:rPr>
            </w:pPr>
            <w:r>
              <w:rPr>
                <w:sz w:val="4"/>
                <w:szCs w:val="4"/>
              </w:rPr>
            </w:r>
          </w:p>
        </w:tc>
        <w:tc>
          <w:tcPr>
            <w:tcW w:w="756" w:type="dxa"/>
            <w:gridSpan w:val="4"/>
            <w:tcBorders/>
            <w:vAlign w:val="center"/>
          </w:tcPr>
          <w:p>
            <w:pPr>
              <w:pStyle w:val="TableContents"/>
              <w:bidi w:val="0"/>
              <w:spacing w:before="0" w:after="283"/>
              <w:jc w:val="left"/>
              <w:rPr>
                <w:sz w:val="4"/>
                <w:szCs w:val="4"/>
              </w:rPr>
            </w:pPr>
            <w:r>
              <w:rPr>
                <w:sz w:val="4"/>
                <w:szCs w:val="4"/>
              </w:rPr>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ARTICLE V.</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REMEDIES</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rHeight w:val="120" w:hRule="atLeast"/>
        </w:trPr>
        <w:tc>
          <w:tcPr>
            <w:tcW w:w="1956" w:type="dxa"/>
            <w:tcBorders/>
            <w:vAlign w:val="center"/>
          </w:tcPr>
          <w:p>
            <w:pPr>
              <w:pStyle w:val="TableContents"/>
              <w:bidi w:val="0"/>
              <w:spacing w:before="0" w:after="283"/>
              <w:jc w:val="left"/>
              <w:rPr>
                <w:sz w:val="4"/>
                <w:szCs w:val="4"/>
              </w:rPr>
            </w:pPr>
            <w:r>
              <w:rPr>
                <w:sz w:val="4"/>
                <w:szCs w:val="4"/>
              </w:rPr>
            </w:r>
          </w:p>
        </w:tc>
        <w:tc>
          <w:tcPr>
            <w:tcW w:w="7493" w:type="dxa"/>
            <w:gridSpan w:val="2"/>
            <w:tcBorders/>
            <w:vAlign w:val="center"/>
          </w:tcPr>
          <w:p>
            <w:pPr>
              <w:pStyle w:val="TableContents"/>
              <w:bidi w:val="0"/>
              <w:spacing w:before="0" w:after="283"/>
              <w:jc w:val="left"/>
              <w:rPr>
                <w:sz w:val="4"/>
                <w:szCs w:val="4"/>
              </w:rPr>
            </w:pPr>
            <w:r>
              <w:rPr>
                <w:sz w:val="4"/>
                <w:szCs w:val="4"/>
              </w:rPr>
            </w:r>
          </w:p>
        </w:tc>
        <w:tc>
          <w:tcPr>
            <w:tcW w:w="756" w:type="dxa"/>
            <w:gridSpan w:val="4"/>
            <w:tcBorders/>
            <w:vAlign w:val="center"/>
          </w:tcPr>
          <w:p>
            <w:pPr>
              <w:pStyle w:val="TableContents"/>
              <w:bidi w:val="0"/>
              <w:spacing w:before="0" w:after="283"/>
              <w:jc w:val="left"/>
              <w:rPr>
                <w:sz w:val="4"/>
                <w:szCs w:val="4"/>
              </w:rPr>
            </w:pPr>
            <w:r>
              <w:rPr>
                <w:sz w:val="4"/>
                <w:szCs w:val="4"/>
              </w:rPr>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Events of Default</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Acceleration of Maturity; Rescission and Annulment</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1956"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122" w:type="dxa"/>
            <w:tcBorders/>
            <w:vAlign w:val="bottom"/>
          </w:tcPr>
          <w:p>
            <w:pPr>
              <w:pStyle w:val="TableContents"/>
              <w:bidi w:val="0"/>
              <w:spacing w:before="0" w:after="283"/>
              <w:jc w:val="left"/>
              <w:rPr/>
            </w:pPr>
            <w:r>
              <w:rPr/>
              <w:t> </w:t>
            </w:r>
          </w:p>
        </w:tc>
        <w:tc>
          <w:tcPr>
            <w:tcW w:w="7371" w:type="dxa"/>
            <w:tcBorders/>
            <w:vAlign w:val="bottom"/>
          </w:tcPr>
          <w:p>
            <w:pPr>
              <w:pStyle w:val="TableContents"/>
              <w:bidi w:val="0"/>
              <w:spacing w:before="0" w:after="283"/>
              <w:jc w:val="left"/>
              <w:rPr/>
            </w:pPr>
            <w:r>
              <w:rPr/>
              <w:t>Collection of Indebtedness and Suits for Enforcement by Trustee</w:t>
            </w:r>
          </w:p>
        </w:tc>
        <w:tc>
          <w:tcPr>
            <w:tcW w:w="1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35"/>
        <w:gridCol w:w="117"/>
        <w:gridCol w:w="7611"/>
        <w:gridCol w:w="160"/>
        <w:gridCol w:w="60"/>
        <w:gridCol w:w="260"/>
        <w:gridCol w:w="62"/>
      </w:tblGrid>
      <w:tr>
        <w:trPr/>
        <w:tc>
          <w:tcPr>
            <w:tcW w:w="1935"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7611"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Trustee May File Proofs of Claim</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Trustee May Enforce Claims Without Possession of Securities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Application of Money Collected</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Limitation on Suits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Unconditional Right of Holders to Receive Principal Premium and Interest and to Convert Securities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Restoration of Rights and Remedies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Rights and Remedies Cumulative</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Delay or Omission Not Waiver</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Control by Holders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Waiver of Past Defaults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Undertaking for Costs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Waiver of Usury, Stay or Extension Laws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rHeight w:val="120" w:hRule="atLeast"/>
        </w:trPr>
        <w:tc>
          <w:tcPr>
            <w:tcW w:w="1935" w:type="dxa"/>
            <w:tcBorders/>
            <w:vAlign w:val="center"/>
          </w:tcPr>
          <w:p>
            <w:pPr>
              <w:pStyle w:val="TableContents"/>
              <w:bidi w:val="0"/>
              <w:spacing w:before="0" w:after="283"/>
              <w:jc w:val="left"/>
              <w:rPr>
                <w:sz w:val="4"/>
                <w:szCs w:val="4"/>
              </w:rPr>
            </w:pPr>
            <w:r>
              <w:rPr>
                <w:sz w:val="4"/>
                <w:szCs w:val="4"/>
              </w:rPr>
            </w:r>
          </w:p>
        </w:tc>
        <w:tc>
          <w:tcPr>
            <w:tcW w:w="7728" w:type="dxa"/>
            <w:gridSpan w:val="2"/>
            <w:tcBorders/>
            <w:vAlign w:val="center"/>
          </w:tcPr>
          <w:p>
            <w:pPr>
              <w:pStyle w:val="TableContents"/>
              <w:bidi w:val="0"/>
              <w:spacing w:before="0" w:after="283"/>
              <w:jc w:val="left"/>
              <w:rPr>
                <w:sz w:val="4"/>
                <w:szCs w:val="4"/>
              </w:rPr>
            </w:pPr>
            <w:r>
              <w:rPr>
                <w:sz w:val="4"/>
                <w:szCs w:val="4"/>
              </w:rPr>
            </w:r>
          </w:p>
        </w:tc>
        <w:tc>
          <w:tcPr>
            <w:tcW w:w="542" w:type="dxa"/>
            <w:gridSpan w:val="4"/>
            <w:tcBorders/>
            <w:vAlign w:val="center"/>
          </w:tcPr>
          <w:p>
            <w:pPr>
              <w:pStyle w:val="TableContents"/>
              <w:bidi w:val="0"/>
              <w:spacing w:before="0" w:after="283"/>
              <w:jc w:val="left"/>
              <w:rPr>
                <w:sz w:val="4"/>
                <w:szCs w:val="4"/>
              </w:rPr>
            </w:pPr>
            <w:r>
              <w:rPr>
                <w:sz w:val="4"/>
                <w:szCs w:val="4"/>
              </w:rPr>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ARTICLE VI.</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THE TRUSTEE</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rHeight w:val="120" w:hRule="atLeast"/>
        </w:trPr>
        <w:tc>
          <w:tcPr>
            <w:tcW w:w="1935" w:type="dxa"/>
            <w:tcBorders/>
            <w:vAlign w:val="center"/>
          </w:tcPr>
          <w:p>
            <w:pPr>
              <w:pStyle w:val="TableContents"/>
              <w:bidi w:val="0"/>
              <w:spacing w:before="0" w:after="283"/>
              <w:jc w:val="left"/>
              <w:rPr>
                <w:sz w:val="4"/>
                <w:szCs w:val="4"/>
              </w:rPr>
            </w:pPr>
            <w:r>
              <w:rPr>
                <w:sz w:val="4"/>
                <w:szCs w:val="4"/>
              </w:rPr>
            </w:r>
          </w:p>
        </w:tc>
        <w:tc>
          <w:tcPr>
            <w:tcW w:w="7728" w:type="dxa"/>
            <w:gridSpan w:val="2"/>
            <w:tcBorders/>
            <w:vAlign w:val="center"/>
          </w:tcPr>
          <w:p>
            <w:pPr>
              <w:pStyle w:val="TableContents"/>
              <w:bidi w:val="0"/>
              <w:spacing w:before="0" w:after="283"/>
              <w:jc w:val="left"/>
              <w:rPr>
                <w:sz w:val="4"/>
                <w:szCs w:val="4"/>
              </w:rPr>
            </w:pPr>
            <w:r>
              <w:rPr>
                <w:sz w:val="4"/>
                <w:szCs w:val="4"/>
              </w:rPr>
            </w:r>
          </w:p>
        </w:tc>
        <w:tc>
          <w:tcPr>
            <w:tcW w:w="542" w:type="dxa"/>
            <w:gridSpan w:val="4"/>
            <w:tcBorders/>
            <w:vAlign w:val="center"/>
          </w:tcPr>
          <w:p>
            <w:pPr>
              <w:pStyle w:val="TableContents"/>
              <w:bidi w:val="0"/>
              <w:spacing w:before="0" w:after="283"/>
              <w:jc w:val="left"/>
              <w:rPr>
                <w:sz w:val="4"/>
                <w:szCs w:val="4"/>
              </w:rPr>
            </w:pPr>
            <w:r>
              <w:rPr>
                <w:sz w:val="4"/>
                <w:szCs w:val="4"/>
              </w:rPr>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Certain Duties and Responsibilities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Notice of Defaults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Certain Rights of Trustee</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Not Responsible for Recitals or Issuance of Securities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May Hold Securities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Money Held in Trust</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Compensation and Reimbursement</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Conflicting Interests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Corporate Trustee Required, Eligibility</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Resignation and Removal, Appointment of Successor</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Acceptance of Appointment by Successor</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Merger, Conversion, Consolidation or Succession to Business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Preferential Collection of Claims Against Company</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Appointment of Authenticating Agent</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rHeight w:val="120" w:hRule="atLeast"/>
        </w:trPr>
        <w:tc>
          <w:tcPr>
            <w:tcW w:w="1935" w:type="dxa"/>
            <w:tcBorders/>
            <w:vAlign w:val="center"/>
          </w:tcPr>
          <w:p>
            <w:pPr>
              <w:pStyle w:val="TableContents"/>
              <w:bidi w:val="0"/>
              <w:spacing w:before="0" w:after="283"/>
              <w:jc w:val="left"/>
              <w:rPr>
                <w:sz w:val="4"/>
                <w:szCs w:val="4"/>
              </w:rPr>
            </w:pPr>
            <w:r>
              <w:rPr>
                <w:sz w:val="4"/>
                <w:szCs w:val="4"/>
              </w:rPr>
            </w:r>
          </w:p>
        </w:tc>
        <w:tc>
          <w:tcPr>
            <w:tcW w:w="7728" w:type="dxa"/>
            <w:gridSpan w:val="2"/>
            <w:tcBorders/>
            <w:vAlign w:val="center"/>
          </w:tcPr>
          <w:p>
            <w:pPr>
              <w:pStyle w:val="TableContents"/>
              <w:bidi w:val="0"/>
              <w:spacing w:before="0" w:after="283"/>
              <w:jc w:val="left"/>
              <w:rPr>
                <w:sz w:val="4"/>
                <w:szCs w:val="4"/>
              </w:rPr>
            </w:pPr>
            <w:r>
              <w:rPr>
                <w:sz w:val="4"/>
                <w:szCs w:val="4"/>
              </w:rPr>
            </w:r>
          </w:p>
        </w:tc>
        <w:tc>
          <w:tcPr>
            <w:tcW w:w="542" w:type="dxa"/>
            <w:gridSpan w:val="4"/>
            <w:tcBorders/>
            <w:vAlign w:val="center"/>
          </w:tcPr>
          <w:p>
            <w:pPr>
              <w:pStyle w:val="TableContents"/>
              <w:bidi w:val="0"/>
              <w:spacing w:before="0" w:after="283"/>
              <w:jc w:val="left"/>
              <w:rPr>
                <w:sz w:val="4"/>
                <w:szCs w:val="4"/>
              </w:rPr>
            </w:pPr>
            <w:r>
              <w:rPr>
                <w:sz w:val="4"/>
                <w:szCs w:val="4"/>
              </w:rPr>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ARTICLE VII.</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HOLDERS’ LISTS AND REPORTS BY TRUSTEE AND COMPANY</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rHeight w:val="120" w:hRule="atLeast"/>
        </w:trPr>
        <w:tc>
          <w:tcPr>
            <w:tcW w:w="1935" w:type="dxa"/>
            <w:tcBorders/>
            <w:vAlign w:val="center"/>
          </w:tcPr>
          <w:p>
            <w:pPr>
              <w:pStyle w:val="TableContents"/>
              <w:bidi w:val="0"/>
              <w:spacing w:before="0" w:after="283"/>
              <w:jc w:val="left"/>
              <w:rPr>
                <w:sz w:val="4"/>
                <w:szCs w:val="4"/>
              </w:rPr>
            </w:pPr>
            <w:r>
              <w:rPr>
                <w:sz w:val="4"/>
                <w:szCs w:val="4"/>
              </w:rPr>
            </w:r>
          </w:p>
        </w:tc>
        <w:tc>
          <w:tcPr>
            <w:tcW w:w="7728" w:type="dxa"/>
            <w:gridSpan w:val="2"/>
            <w:tcBorders/>
            <w:vAlign w:val="center"/>
          </w:tcPr>
          <w:p>
            <w:pPr>
              <w:pStyle w:val="TableContents"/>
              <w:bidi w:val="0"/>
              <w:spacing w:before="0" w:after="283"/>
              <w:jc w:val="left"/>
              <w:rPr>
                <w:sz w:val="4"/>
                <w:szCs w:val="4"/>
              </w:rPr>
            </w:pPr>
            <w:r>
              <w:rPr>
                <w:sz w:val="4"/>
                <w:szCs w:val="4"/>
              </w:rPr>
            </w:r>
          </w:p>
        </w:tc>
        <w:tc>
          <w:tcPr>
            <w:tcW w:w="542" w:type="dxa"/>
            <w:gridSpan w:val="4"/>
            <w:tcBorders/>
            <w:vAlign w:val="center"/>
          </w:tcPr>
          <w:p>
            <w:pPr>
              <w:pStyle w:val="TableContents"/>
              <w:bidi w:val="0"/>
              <w:spacing w:before="0" w:after="283"/>
              <w:jc w:val="left"/>
              <w:rPr>
                <w:sz w:val="4"/>
                <w:szCs w:val="4"/>
              </w:rPr>
            </w:pPr>
            <w:r>
              <w:rPr>
                <w:sz w:val="4"/>
                <w:szCs w:val="4"/>
              </w:rPr>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Company to Furnish Trustee Names and Addresses of Holders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Preservation of Information; Communications to Holders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Reports by Trustee</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Reports by Company</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rHeight w:val="120" w:hRule="atLeast"/>
        </w:trPr>
        <w:tc>
          <w:tcPr>
            <w:tcW w:w="1935" w:type="dxa"/>
            <w:tcBorders/>
            <w:vAlign w:val="center"/>
          </w:tcPr>
          <w:p>
            <w:pPr>
              <w:pStyle w:val="TableContents"/>
              <w:bidi w:val="0"/>
              <w:spacing w:before="0" w:after="283"/>
              <w:jc w:val="left"/>
              <w:rPr>
                <w:sz w:val="4"/>
                <w:szCs w:val="4"/>
              </w:rPr>
            </w:pPr>
            <w:r>
              <w:rPr>
                <w:sz w:val="4"/>
                <w:szCs w:val="4"/>
              </w:rPr>
            </w:r>
          </w:p>
        </w:tc>
        <w:tc>
          <w:tcPr>
            <w:tcW w:w="7728" w:type="dxa"/>
            <w:gridSpan w:val="2"/>
            <w:tcBorders/>
            <w:vAlign w:val="center"/>
          </w:tcPr>
          <w:p>
            <w:pPr>
              <w:pStyle w:val="TableContents"/>
              <w:bidi w:val="0"/>
              <w:spacing w:before="0" w:after="283"/>
              <w:jc w:val="left"/>
              <w:rPr>
                <w:sz w:val="4"/>
                <w:szCs w:val="4"/>
              </w:rPr>
            </w:pPr>
            <w:r>
              <w:rPr>
                <w:sz w:val="4"/>
                <w:szCs w:val="4"/>
              </w:rPr>
            </w:r>
          </w:p>
        </w:tc>
        <w:tc>
          <w:tcPr>
            <w:tcW w:w="542" w:type="dxa"/>
            <w:gridSpan w:val="4"/>
            <w:tcBorders/>
            <w:vAlign w:val="center"/>
          </w:tcPr>
          <w:p>
            <w:pPr>
              <w:pStyle w:val="TableContents"/>
              <w:bidi w:val="0"/>
              <w:spacing w:before="0" w:after="283"/>
              <w:jc w:val="left"/>
              <w:rPr>
                <w:sz w:val="4"/>
                <w:szCs w:val="4"/>
              </w:rPr>
            </w:pPr>
            <w:r>
              <w:rPr>
                <w:sz w:val="4"/>
                <w:szCs w:val="4"/>
              </w:rPr>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ARTICLE VIII.</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CONSOLIDATION, MERGER, CONVEYANCE, TRANSFER OR LEASE</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rHeight w:val="120" w:hRule="atLeast"/>
        </w:trPr>
        <w:tc>
          <w:tcPr>
            <w:tcW w:w="1935" w:type="dxa"/>
            <w:tcBorders/>
            <w:vAlign w:val="center"/>
          </w:tcPr>
          <w:p>
            <w:pPr>
              <w:pStyle w:val="TableContents"/>
              <w:bidi w:val="0"/>
              <w:spacing w:before="0" w:after="283"/>
              <w:jc w:val="left"/>
              <w:rPr>
                <w:sz w:val="4"/>
                <w:szCs w:val="4"/>
              </w:rPr>
            </w:pPr>
            <w:r>
              <w:rPr>
                <w:sz w:val="4"/>
                <w:szCs w:val="4"/>
              </w:rPr>
            </w:r>
          </w:p>
        </w:tc>
        <w:tc>
          <w:tcPr>
            <w:tcW w:w="7728" w:type="dxa"/>
            <w:gridSpan w:val="2"/>
            <w:tcBorders/>
            <w:vAlign w:val="center"/>
          </w:tcPr>
          <w:p>
            <w:pPr>
              <w:pStyle w:val="TableContents"/>
              <w:bidi w:val="0"/>
              <w:spacing w:before="0" w:after="283"/>
              <w:jc w:val="left"/>
              <w:rPr>
                <w:sz w:val="4"/>
                <w:szCs w:val="4"/>
              </w:rPr>
            </w:pPr>
            <w:r>
              <w:rPr>
                <w:sz w:val="4"/>
                <w:szCs w:val="4"/>
              </w:rPr>
            </w:r>
          </w:p>
        </w:tc>
        <w:tc>
          <w:tcPr>
            <w:tcW w:w="542" w:type="dxa"/>
            <w:gridSpan w:val="4"/>
            <w:tcBorders/>
            <w:vAlign w:val="center"/>
          </w:tcPr>
          <w:p>
            <w:pPr>
              <w:pStyle w:val="TableContents"/>
              <w:bidi w:val="0"/>
              <w:spacing w:before="0" w:after="283"/>
              <w:jc w:val="left"/>
              <w:rPr>
                <w:sz w:val="4"/>
                <w:szCs w:val="4"/>
              </w:rPr>
            </w:pPr>
            <w:r>
              <w:rPr>
                <w:sz w:val="4"/>
                <w:szCs w:val="4"/>
              </w:rPr>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Company May Consolidate, Etc., Only on Certain Terms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Successor Substituted</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rHeight w:val="120" w:hRule="atLeast"/>
        </w:trPr>
        <w:tc>
          <w:tcPr>
            <w:tcW w:w="1935" w:type="dxa"/>
            <w:tcBorders/>
            <w:vAlign w:val="center"/>
          </w:tcPr>
          <w:p>
            <w:pPr>
              <w:pStyle w:val="TableContents"/>
              <w:bidi w:val="0"/>
              <w:spacing w:before="0" w:after="283"/>
              <w:jc w:val="left"/>
              <w:rPr>
                <w:sz w:val="4"/>
                <w:szCs w:val="4"/>
              </w:rPr>
            </w:pPr>
            <w:r>
              <w:rPr>
                <w:sz w:val="4"/>
                <w:szCs w:val="4"/>
              </w:rPr>
            </w:r>
          </w:p>
        </w:tc>
        <w:tc>
          <w:tcPr>
            <w:tcW w:w="7728" w:type="dxa"/>
            <w:gridSpan w:val="2"/>
            <w:tcBorders/>
            <w:vAlign w:val="center"/>
          </w:tcPr>
          <w:p>
            <w:pPr>
              <w:pStyle w:val="TableContents"/>
              <w:bidi w:val="0"/>
              <w:spacing w:before="0" w:after="283"/>
              <w:jc w:val="left"/>
              <w:rPr>
                <w:sz w:val="4"/>
                <w:szCs w:val="4"/>
              </w:rPr>
            </w:pPr>
            <w:r>
              <w:rPr>
                <w:sz w:val="4"/>
                <w:szCs w:val="4"/>
              </w:rPr>
            </w:r>
          </w:p>
        </w:tc>
        <w:tc>
          <w:tcPr>
            <w:tcW w:w="542" w:type="dxa"/>
            <w:gridSpan w:val="4"/>
            <w:tcBorders/>
            <w:vAlign w:val="center"/>
          </w:tcPr>
          <w:p>
            <w:pPr>
              <w:pStyle w:val="TableContents"/>
              <w:bidi w:val="0"/>
              <w:spacing w:before="0" w:after="283"/>
              <w:jc w:val="left"/>
              <w:rPr>
                <w:sz w:val="4"/>
                <w:szCs w:val="4"/>
              </w:rPr>
            </w:pPr>
            <w:r>
              <w:rPr>
                <w:sz w:val="4"/>
                <w:szCs w:val="4"/>
              </w:rPr>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ARTICLE IX.</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SUPPLEMENTAL INDENTURES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rHeight w:val="120" w:hRule="atLeast"/>
        </w:trPr>
        <w:tc>
          <w:tcPr>
            <w:tcW w:w="1935" w:type="dxa"/>
            <w:tcBorders/>
            <w:vAlign w:val="center"/>
          </w:tcPr>
          <w:p>
            <w:pPr>
              <w:pStyle w:val="TableContents"/>
              <w:bidi w:val="0"/>
              <w:spacing w:before="0" w:after="283"/>
              <w:jc w:val="left"/>
              <w:rPr>
                <w:sz w:val="4"/>
                <w:szCs w:val="4"/>
              </w:rPr>
            </w:pPr>
            <w:r>
              <w:rPr>
                <w:sz w:val="4"/>
                <w:szCs w:val="4"/>
              </w:rPr>
            </w:r>
          </w:p>
        </w:tc>
        <w:tc>
          <w:tcPr>
            <w:tcW w:w="7728" w:type="dxa"/>
            <w:gridSpan w:val="2"/>
            <w:tcBorders/>
            <w:vAlign w:val="center"/>
          </w:tcPr>
          <w:p>
            <w:pPr>
              <w:pStyle w:val="TableContents"/>
              <w:bidi w:val="0"/>
              <w:spacing w:before="0" w:after="283"/>
              <w:jc w:val="left"/>
              <w:rPr>
                <w:sz w:val="4"/>
                <w:szCs w:val="4"/>
              </w:rPr>
            </w:pPr>
            <w:r>
              <w:rPr>
                <w:sz w:val="4"/>
                <w:szCs w:val="4"/>
              </w:rPr>
            </w:r>
          </w:p>
        </w:tc>
        <w:tc>
          <w:tcPr>
            <w:tcW w:w="542" w:type="dxa"/>
            <w:gridSpan w:val="4"/>
            <w:tcBorders/>
            <w:vAlign w:val="center"/>
          </w:tcPr>
          <w:p>
            <w:pPr>
              <w:pStyle w:val="TableContents"/>
              <w:bidi w:val="0"/>
              <w:spacing w:before="0" w:after="283"/>
              <w:jc w:val="left"/>
              <w:rPr>
                <w:sz w:val="4"/>
                <w:szCs w:val="4"/>
              </w:rPr>
            </w:pPr>
            <w:r>
              <w:rPr>
                <w:sz w:val="4"/>
                <w:szCs w:val="4"/>
              </w:rPr>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Supplemental Indentures Without Consent of Holders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Supplemental Indentures With Consent of Holders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Execution of Supplemental Indentures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Effect of Supplemental Indentures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Conformity with Trust Indenture Act</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1935"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117" w:type="dxa"/>
            <w:tcBorders/>
            <w:vAlign w:val="bottom"/>
          </w:tcPr>
          <w:p>
            <w:pPr>
              <w:pStyle w:val="TableContents"/>
              <w:bidi w:val="0"/>
              <w:spacing w:before="0" w:after="283"/>
              <w:jc w:val="left"/>
              <w:rPr/>
            </w:pPr>
            <w:r>
              <w:rPr/>
              <w:t> </w:t>
            </w:r>
          </w:p>
        </w:tc>
        <w:tc>
          <w:tcPr>
            <w:tcW w:w="7611" w:type="dxa"/>
            <w:tcBorders/>
            <w:vAlign w:val="bottom"/>
          </w:tcPr>
          <w:p>
            <w:pPr>
              <w:pStyle w:val="TableContents"/>
              <w:bidi w:val="0"/>
              <w:spacing w:before="0" w:after="283"/>
              <w:jc w:val="left"/>
              <w:rPr/>
            </w:pPr>
            <w:r>
              <w:rPr/>
              <w:t>Reference in Securities to Supplemental Indentures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11235" w:type="dxa"/>
        <w:jc w:val="center"/>
        <w:tblInd w:w="0" w:type="dxa"/>
        <w:tblLayout w:type="fixed"/>
        <w:tblCellMar>
          <w:top w:w="0" w:type="dxa"/>
          <w:left w:w="0" w:type="dxa"/>
          <w:bottom w:w="0" w:type="dxa"/>
          <w:right w:w="0" w:type="dxa"/>
        </w:tblCellMar>
      </w:tblPr>
      <w:tblGrid>
        <w:gridCol w:w="1250"/>
        <w:gridCol w:w="60"/>
        <w:gridCol w:w="9425"/>
        <w:gridCol w:w="120"/>
        <w:gridCol w:w="60"/>
        <w:gridCol w:w="260"/>
        <w:gridCol w:w="60"/>
      </w:tblGrid>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4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ARTICLE X.</w:t>
            </w:r>
          </w:p>
        </w:tc>
        <w:tc>
          <w:tcPr>
            <w:tcW w:w="60" w:type="dxa"/>
            <w:tcBorders/>
            <w:vAlign w:val="bottom"/>
          </w:tcPr>
          <w:p>
            <w:pPr>
              <w:pStyle w:val="TableContents"/>
              <w:bidi w:val="0"/>
              <w:spacing w:before="0" w:after="283"/>
              <w:jc w:val="left"/>
              <w:rPr/>
            </w:pPr>
            <w:r>
              <w:rPr/>
              <w:t> </w:t>
            </w:r>
          </w:p>
        </w:tc>
        <w:tc>
          <w:tcPr>
            <w:tcW w:w="9425" w:type="dxa"/>
            <w:tcBorders/>
            <w:vAlign w:val="bottom"/>
          </w:tcPr>
          <w:p>
            <w:pPr>
              <w:pStyle w:val="TableContents"/>
              <w:bidi w:val="0"/>
              <w:spacing w:before="0" w:after="283"/>
              <w:jc w:val="left"/>
              <w:rPr/>
            </w:pPr>
            <w:r>
              <w:rPr/>
              <w:t>COVENANTS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948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60" w:type="dxa"/>
            <w:tcBorders/>
            <w:vAlign w:val="bottom"/>
          </w:tcPr>
          <w:p>
            <w:pPr>
              <w:pStyle w:val="TableContents"/>
              <w:bidi w:val="0"/>
              <w:spacing w:before="0" w:after="283"/>
              <w:jc w:val="left"/>
              <w:rPr/>
            </w:pPr>
            <w:r>
              <w:rPr/>
              <w:t> </w:t>
            </w:r>
          </w:p>
        </w:tc>
        <w:tc>
          <w:tcPr>
            <w:tcW w:w="9425" w:type="dxa"/>
            <w:tcBorders/>
            <w:vAlign w:val="bottom"/>
          </w:tcPr>
          <w:p>
            <w:pPr>
              <w:pStyle w:val="TableContents"/>
              <w:bidi w:val="0"/>
              <w:spacing w:before="0" w:after="283"/>
              <w:jc w:val="left"/>
              <w:rPr/>
            </w:pPr>
            <w:r>
              <w:rPr/>
              <w:t>Payment of Principal, Premium and Interest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60" w:type="dxa"/>
            <w:tcBorders/>
            <w:vAlign w:val="bottom"/>
          </w:tcPr>
          <w:p>
            <w:pPr>
              <w:pStyle w:val="TableContents"/>
              <w:bidi w:val="0"/>
              <w:spacing w:before="0" w:after="283"/>
              <w:jc w:val="left"/>
              <w:rPr/>
            </w:pPr>
            <w:r>
              <w:rPr/>
              <w:t> </w:t>
            </w:r>
          </w:p>
        </w:tc>
        <w:tc>
          <w:tcPr>
            <w:tcW w:w="9425" w:type="dxa"/>
            <w:tcBorders/>
            <w:vAlign w:val="bottom"/>
          </w:tcPr>
          <w:p>
            <w:pPr>
              <w:pStyle w:val="TableContents"/>
              <w:bidi w:val="0"/>
              <w:spacing w:before="0" w:after="283"/>
              <w:jc w:val="left"/>
              <w:rPr/>
            </w:pPr>
            <w:r>
              <w:rPr/>
              <w:t>Maintenance of Office or Agency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60" w:type="dxa"/>
            <w:tcBorders/>
            <w:vAlign w:val="bottom"/>
          </w:tcPr>
          <w:p>
            <w:pPr>
              <w:pStyle w:val="TableContents"/>
              <w:bidi w:val="0"/>
              <w:spacing w:before="0" w:after="283"/>
              <w:jc w:val="left"/>
              <w:rPr/>
            </w:pPr>
            <w:r>
              <w:rPr/>
              <w:t> </w:t>
            </w:r>
          </w:p>
        </w:tc>
        <w:tc>
          <w:tcPr>
            <w:tcW w:w="9425" w:type="dxa"/>
            <w:tcBorders/>
            <w:vAlign w:val="bottom"/>
          </w:tcPr>
          <w:p>
            <w:pPr>
              <w:pStyle w:val="TableContents"/>
              <w:bidi w:val="0"/>
              <w:spacing w:before="0" w:after="283"/>
              <w:jc w:val="left"/>
              <w:rPr/>
            </w:pPr>
            <w:r>
              <w:rPr/>
              <w:t>Money for Securities Payments to Be Held in Trust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60" w:type="dxa"/>
            <w:tcBorders/>
            <w:vAlign w:val="bottom"/>
          </w:tcPr>
          <w:p>
            <w:pPr>
              <w:pStyle w:val="TableContents"/>
              <w:bidi w:val="0"/>
              <w:spacing w:before="0" w:after="283"/>
              <w:jc w:val="left"/>
              <w:rPr/>
            </w:pPr>
            <w:r>
              <w:rPr/>
              <w:t> </w:t>
            </w:r>
          </w:p>
        </w:tc>
        <w:tc>
          <w:tcPr>
            <w:tcW w:w="9425" w:type="dxa"/>
            <w:tcBorders/>
            <w:vAlign w:val="bottom"/>
          </w:tcPr>
          <w:p>
            <w:pPr>
              <w:pStyle w:val="TableContents"/>
              <w:bidi w:val="0"/>
              <w:spacing w:before="0" w:after="283"/>
              <w:jc w:val="left"/>
              <w:rPr/>
            </w:pPr>
            <w:r>
              <w:rPr/>
              <w:t>Statement by Officer as to Default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60" w:type="dxa"/>
            <w:tcBorders/>
            <w:vAlign w:val="bottom"/>
          </w:tcPr>
          <w:p>
            <w:pPr>
              <w:pStyle w:val="TableContents"/>
              <w:bidi w:val="0"/>
              <w:spacing w:before="0" w:after="283"/>
              <w:jc w:val="left"/>
              <w:rPr/>
            </w:pPr>
            <w:r>
              <w:rPr/>
              <w:t> </w:t>
            </w:r>
          </w:p>
        </w:tc>
        <w:tc>
          <w:tcPr>
            <w:tcW w:w="9425" w:type="dxa"/>
            <w:tcBorders/>
            <w:vAlign w:val="bottom"/>
          </w:tcPr>
          <w:p>
            <w:pPr>
              <w:pStyle w:val="TableContents"/>
              <w:bidi w:val="0"/>
              <w:spacing w:before="0" w:after="283"/>
              <w:jc w:val="left"/>
              <w:rPr/>
            </w:pPr>
            <w:r>
              <w:rPr/>
              <w:t>Existence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Section 10.06</w:t>
            </w:r>
          </w:p>
        </w:tc>
        <w:tc>
          <w:tcPr>
            <w:tcW w:w="60" w:type="dxa"/>
            <w:tcBorders/>
            <w:vAlign w:val="bottom"/>
          </w:tcPr>
          <w:p>
            <w:pPr>
              <w:pStyle w:val="TableContents"/>
              <w:bidi w:val="0"/>
              <w:spacing w:before="0" w:after="283"/>
              <w:jc w:val="left"/>
              <w:rPr/>
            </w:pPr>
            <w:r>
              <w:rPr/>
              <w:t> </w:t>
            </w:r>
          </w:p>
        </w:tc>
        <w:tc>
          <w:tcPr>
            <w:tcW w:w="9425" w:type="dxa"/>
            <w:tcBorders/>
            <w:vAlign w:val="bottom"/>
          </w:tcPr>
          <w:p>
            <w:pPr>
              <w:pStyle w:val="TableContents"/>
              <w:bidi w:val="0"/>
              <w:spacing w:before="0" w:after="283"/>
              <w:jc w:val="left"/>
              <w:rPr/>
            </w:pPr>
            <w:r>
              <w:rPr/>
              <w:t>Waiver of Certain Covenants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948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ARTICLE XI.</w:t>
            </w:r>
          </w:p>
        </w:tc>
        <w:tc>
          <w:tcPr>
            <w:tcW w:w="60" w:type="dxa"/>
            <w:tcBorders/>
            <w:vAlign w:val="bottom"/>
          </w:tcPr>
          <w:p>
            <w:pPr>
              <w:pStyle w:val="TableContents"/>
              <w:bidi w:val="0"/>
              <w:spacing w:before="0" w:after="283"/>
              <w:jc w:val="left"/>
              <w:rPr/>
            </w:pPr>
            <w:r>
              <w:rPr/>
              <w:t> </w:t>
            </w:r>
          </w:p>
        </w:tc>
        <w:tc>
          <w:tcPr>
            <w:tcW w:w="9425" w:type="dxa"/>
            <w:tcBorders/>
            <w:vAlign w:val="bottom"/>
          </w:tcPr>
          <w:p>
            <w:pPr>
              <w:pStyle w:val="TableContents"/>
              <w:bidi w:val="0"/>
              <w:spacing w:before="0" w:after="283"/>
              <w:jc w:val="left"/>
              <w:rPr/>
            </w:pPr>
            <w:r>
              <w:rPr/>
              <w:t>REDEMPTION OF SECURITIES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948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60" w:type="dxa"/>
            <w:tcBorders/>
            <w:vAlign w:val="bottom"/>
          </w:tcPr>
          <w:p>
            <w:pPr>
              <w:pStyle w:val="TableContents"/>
              <w:bidi w:val="0"/>
              <w:spacing w:before="0" w:after="283"/>
              <w:jc w:val="left"/>
              <w:rPr/>
            </w:pPr>
            <w:r>
              <w:rPr/>
              <w:t> </w:t>
            </w:r>
          </w:p>
        </w:tc>
        <w:tc>
          <w:tcPr>
            <w:tcW w:w="9425" w:type="dxa"/>
            <w:tcBorders/>
            <w:vAlign w:val="bottom"/>
          </w:tcPr>
          <w:p>
            <w:pPr>
              <w:pStyle w:val="TableContents"/>
              <w:bidi w:val="0"/>
              <w:spacing w:before="0" w:after="283"/>
              <w:jc w:val="left"/>
              <w:rPr/>
            </w:pPr>
            <w:r>
              <w:rPr/>
              <w:t>Applicability of Article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60" w:type="dxa"/>
            <w:tcBorders/>
            <w:vAlign w:val="bottom"/>
          </w:tcPr>
          <w:p>
            <w:pPr>
              <w:pStyle w:val="TableContents"/>
              <w:bidi w:val="0"/>
              <w:spacing w:before="0" w:after="283"/>
              <w:jc w:val="left"/>
              <w:rPr/>
            </w:pPr>
            <w:r>
              <w:rPr/>
              <w:t> </w:t>
            </w:r>
          </w:p>
        </w:tc>
        <w:tc>
          <w:tcPr>
            <w:tcW w:w="9425" w:type="dxa"/>
            <w:tcBorders/>
            <w:vAlign w:val="bottom"/>
          </w:tcPr>
          <w:p>
            <w:pPr>
              <w:pStyle w:val="TableContents"/>
              <w:bidi w:val="0"/>
              <w:spacing w:before="0" w:after="283"/>
              <w:jc w:val="left"/>
              <w:rPr/>
            </w:pPr>
            <w:r>
              <w:rPr/>
              <w:t>Election to Redeem; Notice to Trustee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60" w:type="dxa"/>
            <w:tcBorders/>
            <w:vAlign w:val="bottom"/>
          </w:tcPr>
          <w:p>
            <w:pPr>
              <w:pStyle w:val="TableContents"/>
              <w:bidi w:val="0"/>
              <w:spacing w:before="0" w:after="283"/>
              <w:jc w:val="left"/>
              <w:rPr/>
            </w:pPr>
            <w:r>
              <w:rPr/>
              <w:t> </w:t>
            </w:r>
          </w:p>
        </w:tc>
        <w:tc>
          <w:tcPr>
            <w:tcW w:w="9425" w:type="dxa"/>
            <w:tcBorders/>
            <w:vAlign w:val="bottom"/>
          </w:tcPr>
          <w:p>
            <w:pPr>
              <w:pStyle w:val="TableContents"/>
              <w:bidi w:val="0"/>
              <w:spacing w:before="0" w:after="283"/>
              <w:jc w:val="left"/>
              <w:rPr/>
            </w:pPr>
            <w:r>
              <w:rPr/>
              <w:t>Selection by Trustee of Securities to Be Redeemed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60" w:type="dxa"/>
            <w:tcBorders/>
            <w:vAlign w:val="bottom"/>
          </w:tcPr>
          <w:p>
            <w:pPr>
              <w:pStyle w:val="TableContents"/>
              <w:bidi w:val="0"/>
              <w:spacing w:before="0" w:after="283"/>
              <w:jc w:val="left"/>
              <w:rPr/>
            </w:pPr>
            <w:r>
              <w:rPr/>
              <w:t> </w:t>
            </w:r>
          </w:p>
        </w:tc>
        <w:tc>
          <w:tcPr>
            <w:tcW w:w="9425" w:type="dxa"/>
            <w:tcBorders/>
            <w:vAlign w:val="bottom"/>
          </w:tcPr>
          <w:p>
            <w:pPr>
              <w:pStyle w:val="TableContents"/>
              <w:bidi w:val="0"/>
              <w:spacing w:before="0" w:after="283"/>
              <w:jc w:val="left"/>
              <w:rPr/>
            </w:pPr>
            <w:r>
              <w:rPr/>
              <w:t>Notice of Redemption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60" w:type="dxa"/>
            <w:tcBorders/>
            <w:vAlign w:val="bottom"/>
          </w:tcPr>
          <w:p>
            <w:pPr>
              <w:pStyle w:val="TableContents"/>
              <w:bidi w:val="0"/>
              <w:spacing w:before="0" w:after="283"/>
              <w:jc w:val="left"/>
              <w:rPr/>
            </w:pPr>
            <w:r>
              <w:rPr/>
              <w:t> </w:t>
            </w:r>
          </w:p>
        </w:tc>
        <w:tc>
          <w:tcPr>
            <w:tcW w:w="9425" w:type="dxa"/>
            <w:tcBorders/>
            <w:vAlign w:val="bottom"/>
          </w:tcPr>
          <w:p>
            <w:pPr>
              <w:pStyle w:val="TableContents"/>
              <w:bidi w:val="0"/>
              <w:spacing w:before="0" w:after="283"/>
              <w:jc w:val="left"/>
              <w:rPr/>
            </w:pPr>
            <w:r>
              <w:rPr/>
              <w:t>Deposit of Redemption Price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11.06</w:t>
            </w:r>
          </w:p>
        </w:tc>
        <w:tc>
          <w:tcPr>
            <w:tcW w:w="60" w:type="dxa"/>
            <w:tcBorders/>
            <w:vAlign w:val="bottom"/>
          </w:tcPr>
          <w:p>
            <w:pPr>
              <w:pStyle w:val="TableContents"/>
              <w:bidi w:val="0"/>
              <w:spacing w:before="0" w:after="283"/>
              <w:jc w:val="left"/>
              <w:rPr/>
            </w:pPr>
            <w:r>
              <w:rPr/>
              <w:t> </w:t>
            </w:r>
          </w:p>
        </w:tc>
        <w:tc>
          <w:tcPr>
            <w:tcW w:w="9425" w:type="dxa"/>
            <w:tcBorders/>
            <w:vAlign w:val="bottom"/>
          </w:tcPr>
          <w:p>
            <w:pPr>
              <w:pStyle w:val="TableContents"/>
              <w:bidi w:val="0"/>
              <w:spacing w:before="0" w:after="283"/>
              <w:jc w:val="left"/>
              <w:rPr/>
            </w:pPr>
            <w:r>
              <w:rPr/>
              <w:t>Securities Payable on Redemption Date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11.07</w:t>
            </w:r>
          </w:p>
        </w:tc>
        <w:tc>
          <w:tcPr>
            <w:tcW w:w="60" w:type="dxa"/>
            <w:tcBorders/>
            <w:vAlign w:val="bottom"/>
          </w:tcPr>
          <w:p>
            <w:pPr>
              <w:pStyle w:val="TableContents"/>
              <w:bidi w:val="0"/>
              <w:spacing w:before="0" w:after="283"/>
              <w:jc w:val="left"/>
              <w:rPr/>
            </w:pPr>
            <w:r>
              <w:rPr/>
              <w:t> </w:t>
            </w:r>
          </w:p>
        </w:tc>
        <w:tc>
          <w:tcPr>
            <w:tcW w:w="9425" w:type="dxa"/>
            <w:tcBorders/>
            <w:vAlign w:val="bottom"/>
          </w:tcPr>
          <w:p>
            <w:pPr>
              <w:pStyle w:val="TableContents"/>
              <w:bidi w:val="0"/>
              <w:spacing w:before="0" w:after="283"/>
              <w:jc w:val="left"/>
              <w:rPr/>
            </w:pPr>
            <w:r>
              <w:rPr/>
              <w:t>Securities Redeemed in Part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948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ARTICLE XII.</w:t>
            </w:r>
          </w:p>
        </w:tc>
        <w:tc>
          <w:tcPr>
            <w:tcW w:w="60" w:type="dxa"/>
            <w:tcBorders/>
            <w:vAlign w:val="bottom"/>
          </w:tcPr>
          <w:p>
            <w:pPr>
              <w:pStyle w:val="TableContents"/>
              <w:bidi w:val="0"/>
              <w:spacing w:before="0" w:after="283"/>
              <w:jc w:val="left"/>
              <w:rPr/>
            </w:pPr>
            <w:r>
              <w:rPr/>
              <w:t> </w:t>
            </w:r>
          </w:p>
        </w:tc>
        <w:tc>
          <w:tcPr>
            <w:tcW w:w="9425" w:type="dxa"/>
            <w:tcBorders/>
            <w:vAlign w:val="bottom"/>
          </w:tcPr>
          <w:p>
            <w:pPr>
              <w:pStyle w:val="TableContents"/>
              <w:bidi w:val="0"/>
              <w:spacing w:before="0" w:after="283"/>
              <w:jc w:val="left"/>
              <w:rPr/>
            </w:pPr>
            <w:r>
              <w:rPr/>
              <w:t>SINKING FUNDS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948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60" w:type="dxa"/>
            <w:tcBorders/>
            <w:vAlign w:val="bottom"/>
          </w:tcPr>
          <w:p>
            <w:pPr>
              <w:pStyle w:val="TableContents"/>
              <w:bidi w:val="0"/>
              <w:spacing w:before="0" w:after="283"/>
              <w:jc w:val="left"/>
              <w:rPr/>
            </w:pPr>
            <w:r>
              <w:rPr/>
              <w:t> </w:t>
            </w:r>
          </w:p>
        </w:tc>
        <w:tc>
          <w:tcPr>
            <w:tcW w:w="9425" w:type="dxa"/>
            <w:tcBorders/>
            <w:vAlign w:val="bottom"/>
          </w:tcPr>
          <w:p>
            <w:pPr>
              <w:pStyle w:val="TableContents"/>
              <w:bidi w:val="0"/>
              <w:spacing w:before="0" w:after="283"/>
              <w:jc w:val="left"/>
              <w:rPr/>
            </w:pPr>
            <w:r>
              <w:rPr/>
              <w:t>Applicability of Article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Section 12.02</w:t>
            </w:r>
          </w:p>
        </w:tc>
        <w:tc>
          <w:tcPr>
            <w:tcW w:w="60" w:type="dxa"/>
            <w:tcBorders/>
            <w:vAlign w:val="bottom"/>
          </w:tcPr>
          <w:p>
            <w:pPr>
              <w:pStyle w:val="TableContents"/>
              <w:bidi w:val="0"/>
              <w:spacing w:before="0" w:after="283"/>
              <w:jc w:val="left"/>
              <w:rPr/>
            </w:pPr>
            <w:r>
              <w:rPr/>
              <w:t> </w:t>
            </w:r>
          </w:p>
        </w:tc>
        <w:tc>
          <w:tcPr>
            <w:tcW w:w="9425" w:type="dxa"/>
            <w:tcBorders/>
            <w:vAlign w:val="bottom"/>
          </w:tcPr>
          <w:p>
            <w:pPr>
              <w:pStyle w:val="TableContents"/>
              <w:bidi w:val="0"/>
              <w:spacing w:before="0" w:after="283"/>
              <w:jc w:val="left"/>
              <w:rPr/>
            </w:pPr>
            <w:r>
              <w:rPr/>
              <w:t>Satisfaction of Sinking Fund Payments with Securities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948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ARTICLE XIII.</w:t>
            </w:r>
          </w:p>
        </w:tc>
        <w:tc>
          <w:tcPr>
            <w:tcW w:w="60" w:type="dxa"/>
            <w:tcBorders/>
            <w:vAlign w:val="bottom"/>
          </w:tcPr>
          <w:p>
            <w:pPr>
              <w:pStyle w:val="TableContents"/>
              <w:bidi w:val="0"/>
              <w:spacing w:before="0" w:after="283"/>
              <w:jc w:val="left"/>
              <w:rPr/>
            </w:pPr>
            <w:r>
              <w:rPr/>
              <w:t> </w:t>
            </w:r>
          </w:p>
        </w:tc>
        <w:tc>
          <w:tcPr>
            <w:tcW w:w="9425" w:type="dxa"/>
            <w:tcBorders/>
            <w:vAlign w:val="bottom"/>
          </w:tcPr>
          <w:p>
            <w:pPr>
              <w:pStyle w:val="TableContents"/>
              <w:bidi w:val="0"/>
              <w:spacing w:before="0" w:after="283"/>
              <w:jc w:val="left"/>
              <w:rPr/>
            </w:pPr>
            <w:r>
              <w:rPr/>
              <w:t>DEFEASANCE AND COVENANT DEFEASANCE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948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Section 13.01</w:t>
            </w:r>
          </w:p>
        </w:tc>
        <w:tc>
          <w:tcPr>
            <w:tcW w:w="60" w:type="dxa"/>
            <w:tcBorders/>
            <w:vAlign w:val="bottom"/>
          </w:tcPr>
          <w:p>
            <w:pPr>
              <w:pStyle w:val="TableContents"/>
              <w:bidi w:val="0"/>
              <w:spacing w:before="0" w:after="283"/>
              <w:jc w:val="left"/>
              <w:rPr/>
            </w:pPr>
            <w:r>
              <w:rPr/>
              <w:t> </w:t>
            </w:r>
          </w:p>
        </w:tc>
        <w:tc>
          <w:tcPr>
            <w:tcW w:w="9425" w:type="dxa"/>
            <w:tcBorders/>
            <w:vAlign w:val="bottom"/>
          </w:tcPr>
          <w:p>
            <w:pPr>
              <w:pStyle w:val="TableContents"/>
              <w:bidi w:val="0"/>
              <w:spacing w:before="0" w:after="283"/>
              <w:jc w:val="left"/>
              <w:rPr/>
            </w:pPr>
            <w:r>
              <w:rPr/>
              <w:t>Company’s Option to Effect Defeasance or Covenant Defeasance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Section 13.02</w:t>
            </w:r>
          </w:p>
        </w:tc>
        <w:tc>
          <w:tcPr>
            <w:tcW w:w="60" w:type="dxa"/>
            <w:tcBorders/>
            <w:vAlign w:val="bottom"/>
          </w:tcPr>
          <w:p>
            <w:pPr>
              <w:pStyle w:val="TableContents"/>
              <w:bidi w:val="0"/>
              <w:spacing w:before="0" w:after="283"/>
              <w:jc w:val="left"/>
              <w:rPr/>
            </w:pPr>
            <w:r>
              <w:rPr/>
              <w:t> </w:t>
            </w:r>
          </w:p>
        </w:tc>
        <w:tc>
          <w:tcPr>
            <w:tcW w:w="9425" w:type="dxa"/>
            <w:tcBorders/>
            <w:vAlign w:val="bottom"/>
          </w:tcPr>
          <w:p>
            <w:pPr>
              <w:pStyle w:val="TableContents"/>
              <w:bidi w:val="0"/>
              <w:spacing w:before="0" w:after="283"/>
              <w:jc w:val="left"/>
              <w:rPr/>
            </w:pPr>
            <w:r>
              <w:rPr/>
              <w:t>Defeasance and Discharge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0" w:type="dxa"/>
            <w:tcBorders/>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Section 13.03</w:t>
            </w:r>
          </w:p>
        </w:tc>
        <w:tc>
          <w:tcPr>
            <w:tcW w:w="60" w:type="dxa"/>
            <w:tcBorders/>
            <w:vAlign w:val="bottom"/>
          </w:tcPr>
          <w:p>
            <w:pPr>
              <w:pStyle w:val="TableContents"/>
              <w:bidi w:val="0"/>
              <w:spacing w:before="0" w:after="283"/>
              <w:jc w:val="left"/>
              <w:rPr/>
            </w:pPr>
            <w:r>
              <w:rPr/>
              <w:t> </w:t>
            </w:r>
          </w:p>
        </w:tc>
        <w:tc>
          <w:tcPr>
            <w:tcW w:w="9425" w:type="dxa"/>
            <w:tcBorders/>
            <w:vAlign w:val="bottom"/>
          </w:tcPr>
          <w:p>
            <w:pPr>
              <w:pStyle w:val="TableContents"/>
              <w:bidi w:val="0"/>
              <w:spacing w:before="0" w:after="283"/>
              <w:jc w:val="left"/>
              <w:rPr/>
            </w:pPr>
            <w:r>
              <w:rPr/>
              <w:t>Covenant Defeasance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0" w:type="dxa"/>
            <w:tcBorders/>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Section 13.04</w:t>
            </w:r>
          </w:p>
        </w:tc>
        <w:tc>
          <w:tcPr>
            <w:tcW w:w="60" w:type="dxa"/>
            <w:tcBorders/>
            <w:vAlign w:val="bottom"/>
          </w:tcPr>
          <w:p>
            <w:pPr>
              <w:pStyle w:val="TableContents"/>
              <w:bidi w:val="0"/>
              <w:spacing w:before="0" w:after="283"/>
              <w:jc w:val="left"/>
              <w:rPr/>
            </w:pPr>
            <w:r>
              <w:rPr/>
              <w:t> </w:t>
            </w:r>
          </w:p>
        </w:tc>
        <w:tc>
          <w:tcPr>
            <w:tcW w:w="9425" w:type="dxa"/>
            <w:tcBorders/>
            <w:vAlign w:val="bottom"/>
          </w:tcPr>
          <w:p>
            <w:pPr>
              <w:pStyle w:val="TableContents"/>
              <w:bidi w:val="0"/>
              <w:spacing w:before="0" w:after="283"/>
              <w:jc w:val="left"/>
              <w:rPr/>
            </w:pPr>
            <w:r>
              <w:rPr/>
              <w:t>Conditions to Defeasance or Covenant Defeasance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0" w:type="dxa"/>
            <w:tcBorders/>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Section 13.05</w:t>
            </w:r>
          </w:p>
        </w:tc>
        <w:tc>
          <w:tcPr>
            <w:tcW w:w="60" w:type="dxa"/>
            <w:tcBorders/>
            <w:vAlign w:val="bottom"/>
          </w:tcPr>
          <w:p>
            <w:pPr>
              <w:pStyle w:val="TableContents"/>
              <w:bidi w:val="0"/>
              <w:spacing w:before="0" w:after="283"/>
              <w:jc w:val="left"/>
              <w:rPr/>
            </w:pPr>
            <w:r>
              <w:rPr/>
              <w:t> </w:t>
            </w:r>
          </w:p>
        </w:tc>
        <w:tc>
          <w:tcPr>
            <w:tcW w:w="9425" w:type="dxa"/>
            <w:tcBorders/>
            <w:vAlign w:val="bottom"/>
          </w:tcPr>
          <w:p>
            <w:pPr>
              <w:pStyle w:val="TableContents"/>
              <w:bidi w:val="0"/>
              <w:spacing w:before="0" w:after="283"/>
              <w:jc w:val="left"/>
              <w:rPr/>
            </w:pPr>
            <w:r>
              <w:rPr/>
              <w:t>Deposited Money and U.S. Government Obligations to Be Held in Trust; Miscellaneous Provisions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0" w:type="dxa"/>
            <w:tcBorders/>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Section 13.06</w:t>
            </w:r>
          </w:p>
        </w:tc>
        <w:tc>
          <w:tcPr>
            <w:tcW w:w="60" w:type="dxa"/>
            <w:tcBorders/>
            <w:vAlign w:val="bottom"/>
          </w:tcPr>
          <w:p>
            <w:pPr>
              <w:pStyle w:val="TableContents"/>
              <w:bidi w:val="0"/>
              <w:spacing w:before="0" w:after="283"/>
              <w:jc w:val="left"/>
              <w:rPr/>
            </w:pPr>
            <w:r>
              <w:rPr/>
              <w:t> </w:t>
            </w:r>
          </w:p>
        </w:tc>
        <w:tc>
          <w:tcPr>
            <w:tcW w:w="9425" w:type="dxa"/>
            <w:tcBorders/>
            <w:vAlign w:val="bottom"/>
          </w:tcPr>
          <w:p>
            <w:pPr>
              <w:pStyle w:val="TableContents"/>
              <w:bidi w:val="0"/>
              <w:spacing w:before="0" w:after="283"/>
              <w:jc w:val="left"/>
              <w:rPr/>
            </w:pPr>
            <w:r>
              <w:rPr/>
              <w:t>Reinstatement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This table of contents shall not, for any purpose, be deemed to be a part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INVIVYD, INC. </w:t>
      </w:r>
    </w:p>
    <w:p>
      <w:pPr>
        <w:pStyle w:val="TextBody"/>
        <w:bidi w:val="0"/>
        <w:spacing w:before="240" w:after="0"/>
        <w:jc w:val="center"/>
        <w:rPr>
          <w:rFonts w:ascii="Times New Roman" w:hAnsi="Times New Roman"/>
          <w:sz w:val="20"/>
        </w:rPr>
      </w:pPr>
      <w:r>
        <w:rPr>
          <w:rFonts w:ascii="Times New Roman" w:hAnsi="Times New Roman"/>
          <w:sz w:val="20"/>
        </w:rPr>
        <w:t xml:space="preserve">Certain Sections of this Indenture relating to Sections 310 – 318, inclusive, </w:t>
      </w:r>
    </w:p>
    <w:p>
      <w:pPr>
        <w:pStyle w:val="TextBody"/>
        <w:bidi w:val="0"/>
        <w:spacing w:before="0" w:after="0"/>
        <w:jc w:val="center"/>
        <w:rPr>
          <w:rFonts w:ascii="Times New Roman" w:hAnsi="Times New Roman"/>
          <w:sz w:val="20"/>
        </w:rPr>
      </w:pPr>
      <w:r>
        <w:rPr>
          <w:rFonts w:ascii="Times New Roman" w:hAnsi="Times New Roman"/>
          <w:sz w:val="20"/>
        </w:rPr>
        <w:t xml:space="preserve">of the Trust Indenture Act of 1939, as amended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707"/>
        <w:gridCol w:w="2176"/>
        <w:gridCol w:w="1056"/>
      </w:tblGrid>
      <w:tr>
        <w:trPr/>
        <w:tc>
          <w:tcPr>
            <w:tcW w:w="3707" w:type="dxa"/>
            <w:tcBorders/>
            <w:vAlign w:val="center"/>
          </w:tcPr>
          <w:p>
            <w:pPr>
              <w:pStyle w:val="TableContents"/>
              <w:bidi w:val="0"/>
              <w:spacing w:before="0" w:after="283"/>
              <w:jc w:val="left"/>
              <w:rPr>
                <w:sz w:val="4"/>
                <w:szCs w:val="4"/>
              </w:rPr>
            </w:pPr>
            <w:r>
              <w:rPr>
                <w:sz w:val="4"/>
                <w:szCs w:val="4"/>
              </w:rPr>
            </w:r>
          </w:p>
        </w:tc>
        <w:tc>
          <w:tcPr>
            <w:tcW w:w="2176" w:type="dxa"/>
            <w:tcBorders/>
            <w:vAlign w:val="bottom"/>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370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Trust Indenture Act Section</w:t>
            </w:r>
          </w:p>
        </w:tc>
        <w:tc>
          <w:tcPr>
            <w:tcW w:w="2176" w:type="dxa"/>
            <w:tcBorders/>
            <w:vAlign w:val="bottom"/>
          </w:tcPr>
          <w:p>
            <w:pPr>
              <w:pStyle w:val="TableContents"/>
              <w:bidi w:val="0"/>
              <w:spacing w:before="0" w:after="283"/>
              <w:jc w:val="left"/>
              <w:rPr/>
            </w:pPr>
            <w:r>
              <w:rPr/>
              <w:t>  </w:t>
            </w:r>
          </w:p>
        </w:tc>
        <w:tc>
          <w:tcPr>
            <w:tcW w:w="1056" w:type="dxa"/>
            <w:tcBorders>
              <w:bottom w:val="single" w:sz="8" w:space="0" w:color="000000"/>
            </w:tcBorders>
            <w:tcMar>
              <w:bottom w:w="28" w:type="dxa"/>
            </w:tcMar>
            <w:vAlign w:val="bottom"/>
          </w:tcPr>
          <w:p>
            <w:pPr>
              <w:pStyle w:val="TableContents"/>
              <w:bidi w:val="0"/>
              <w:spacing w:before="0" w:after="283"/>
              <w:jc w:val="left"/>
              <w:rPr>
                <w:b/>
              </w:rPr>
            </w:pPr>
            <w:r>
              <w:rPr>
                <w:b/>
              </w:rPr>
              <w:t>Indenture</w:t>
              <w:br/>
              <w:t>Section</w:t>
            </w:r>
          </w:p>
        </w:tc>
      </w:tr>
      <w:tr>
        <w:trPr/>
        <w:tc>
          <w:tcPr>
            <w:tcW w:w="3707" w:type="dxa"/>
            <w:tcBorders/>
          </w:tcPr>
          <w:p>
            <w:pPr>
              <w:pStyle w:val="TableContents"/>
              <w:bidi w:val="0"/>
              <w:spacing w:before="0" w:after="283"/>
              <w:jc w:val="left"/>
              <w:rPr/>
            </w:pPr>
            <w:r>
              <w:rPr/>
              <w:t>310(a)(1)</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6.09</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(a)(2)</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6.09</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(a)(3)</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N.A.</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(a)(4)</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N.A.</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(a)(5)</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6.09</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6.08, 6.10</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N.A.</w:t>
            </w:r>
          </w:p>
        </w:tc>
      </w:tr>
      <w:tr>
        <w:trPr/>
        <w:tc>
          <w:tcPr>
            <w:tcW w:w="3707" w:type="dxa"/>
            <w:tcBorders/>
          </w:tcPr>
          <w:p>
            <w:pPr>
              <w:pStyle w:val="TableContents"/>
              <w:bidi w:val="0"/>
              <w:spacing w:before="0" w:after="283"/>
              <w:jc w:val="left"/>
              <w:rPr/>
            </w:pPr>
            <w:r>
              <w:rPr/>
              <w:t>311(a)</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6.13</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6.13</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N.A.</w:t>
            </w:r>
          </w:p>
        </w:tc>
      </w:tr>
      <w:tr>
        <w:trPr/>
        <w:tc>
          <w:tcPr>
            <w:tcW w:w="3707" w:type="dxa"/>
            <w:tcBorders/>
          </w:tcPr>
          <w:p>
            <w:pPr>
              <w:pStyle w:val="TableContents"/>
              <w:bidi w:val="0"/>
              <w:spacing w:before="0" w:after="283"/>
              <w:jc w:val="left"/>
              <w:rPr/>
            </w:pPr>
            <w:r>
              <w:rPr/>
              <w:t>312(a)</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7.01, 7.02</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7.02</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7.02</w:t>
            </w:r>
          </w:p>
        </w:tc>
      </w:tr>
      <w:tr>
        <w:trPr/>
        <w:tc>
          <w:tcPr>
            <w:tcW w:w="3707" w:type="dxa"/>
            <w:tcBorders/>
          </w:tcPr>
          <w:p>
            <w:pPr>
              <w:pStyle w:val="TableContents"/>
              <w:bidi w:val="0"/>
              <w:spacing w:before="0" w:after="283"/>
              <w:jc w:val="left"/>
              <w:rPr/>
            </w:pPr>
            <w:r>
              <w:rPr/>
              <w:t>313(a)</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7.03</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(b)(1)</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N.A.</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(b)(2)</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7.03</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7.03</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(d)</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7.03</w:t>
            </w:r>
          </w:p>
        </w:tc>
      </w:tr>
      <w:tr>
        <w:trPr/>
        <w:tc>
          <w:tcPr>
            <w:tcW w:w="3707" w:type="dxa"/>
            <w:tcBorders/>
          </w:tcPr>
          <w:p>
            <w:pPr>
              <w:pStyle w:val="TableContents"/>
              <w:bidi w:val="0"/>
              <w:spacing w:before="0" w:after="283"/>
              <w:jc w:val="left"/>
              <w:rPr/>
            </w:pPr>
            <w:r>
              <w:rPr/>
              <w:t>314(a)</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7.04</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(a)(4)</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1.04, 10.04</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N.A.</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(c)(1)</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1.02</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(c)(2)</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1.02</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(c)(3)</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N.A.</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(d)</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N.A.</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(e)</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1.02</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(f)</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N.A.</w:t>
            </w:r>
          </w:p>
        </w:tc>
      </w:tr>
      <w:tr>
        <w:trPr/>
        <w:tc>
          <w:tcPr>
            <w:tcW w:w="3707" w:type="dxa"/>
            <w:tcBorders/>
          </w:tcPr>
          <w:p>
            <w:pPr>
              <w:pStyle w:val="TableContents"/>
              <w:bidi w:val="0"/>
              <w:spacing w:before="0" w:after="283"/>
              <w:jc w:val="left"/>
              <w:rPr/>
            </w:pPr>
            <w:r>
              <w:rPr/>
              <w:t>315(a)</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6.01</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6.02</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6.01</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(d)</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6.01</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(e)</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5.14</w:t>
            </w:r>
          </w:p>
        </w:tc>
      </w:tr>
      <w:tr>
        <w:trPr/>
        <w:tc>
          <w:tcPr>
            <w:tcW w:w="3707" w:type="dxa"/>
            <w:tcBorders/>
          </w:tcPr>
          <w:p>
            <w:pPr>
              <w:pStyle w:val="TableContents"/>
              <w:bidi w:val="0"/>
              <w:spacing w:before="0" w:after="283"/>
              <w:jc w:val="left"/>
              <w:rPr/>
            </w:pPr>
            <w:r>
              <w:rPr/>
              <w:t>316(a)(last sentence)</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1.06</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(a)(1)(A)</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5.02, 5.12</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(a)(1)(B)</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5.13</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(a)(2)</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N.A.</w:t>
            </w:r>
          </w:p>
        </w:tc>
      </w:tr>
      <w:tr>
        <w:trPr/>
        <w:tc>
          <w:tcPr>
            <w:tcW w:w="3707"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2176" w:type="dxa"/>
            <w:tcBorders/>
            <w:vAlign w:val="bottom"/>
          </w:tcPr>
          <w:p>
            <w:pPr>
              <w:pStyle w:val="TableContents"/>
              <w:bidi w:val="0"/>
              <w:spacing w:before="0" w:after="283"/>
              <w:jc w:val="left"/>
              <w:rPr/>
            </w:pPr>
            <w:r>
              <w:rPr/>
              <w:t>  </w:t>
            </w:r>
          </w:p>
        </w:tc>
        <w:tc>
          <w:tcPr>
            <w:tcW w:w="1056" w:type="dxa"/>
            <w:tcBorders/>
          </w:tcPr>
          <w:p>
            <w:pPr>
              <w:pStyle w:val="TableContents"/>
              <w:bidi w:val="0"/>
              <w:spacing w:before="0" w:after="283"/>
              <w:jc w:val="left"/>
              <w:rPr/>
            </w:pPr>
            <w:r>
              <w:rPr/>
              <w:t>5.08</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3400" w:type="pct"/>
        <w:jc w:val="center"/>
        <w:tblInd w:w="0" w:type="dxa"/>
        <w:tblLayout w:type="fixed"/>
        <w:tblCellMar>
          <w:top w:w="0" w:type="dxa"/>
          <w:left w:w="0" w:type="dxa"/>
          <w:bottom w:w="0" w:type="dxa"/>
          <w:right w:w="0" w:type="dxa"/>
        </w:tblCellMar>
      </w:tblPr>
      <w:tblGrid>
        <w:gridCol w:w="3837"/>
        <w:gridCol w:w="2055"/>
        <w:gridCol w:w="1047"/>
      </w:tblGrid>
      <w:tr>
        <w:trPr/>
        <w:tc>
          <w:tcPr>
            <w:tcW w:w="3837" w:type="dxa"/>
            <w:tcBorders/>
            <w:vAlign w:val="center"/>
          </w:tcPr>
          <w:p>
            <w:pPr>
              <w:pStyle w:val="TableContents"/>
              <w:bidi w:val="0"/>
              <w:spacing w:before="0" w:after="283"/>
              <w:jc w:val="left"/>
              <w:rPr>
                <w:sz w:val="4"/>
                <w:szCs w:val="4"/>
              </w:rPr>
            </w:pPr>
            <w:r>
              <w:rPr>
                <w:sz w:val="4"/>
                <w:szCs w:val="4"/>
              </w:rPr>
            </w:r>
          </w:p>
        </w:tc>
        <w:tc>
          <w:tcPr>
            <w:tcW w:w="2055" w:type="dxa"/>
            <w:tcBorders/>
            <w:vAlign w:val="bottom"/>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383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Trust Indenture Act Section</w:t>
            </w:r>
          </w:p>
        </w:tc>
        <w:tc>
          <w:tcPr>
            <w:tcW w:w="2055" w:type="dxa"/>
            <w:tcBorders/>
            <w:vAlign w:val="bottom"/>
          </w:tcPr>
          <w:p>
            <w:pPr>
              <w:pStyle w:val="TableContents"/>
              <w:bidi w:val="0"/>
              <w:spacing w:before="0" w:after="283"/>
              <w:jc w:val="left"/>
              <w:rPr/>
            </w:pPr>
            <w:r>
              <w:rPr/>
              <w:t>  </w:t>
            </w:r>
          </w:p>
        </w:tc>
        <w:tc>
          <w:tcPr>
            <w:tcW w:w="1047" w:type="dxa"/>
            <w:tcBorders>
              <w:bottom w:val="single" w:sz="8" w:space="0" w:color="000000"/>
            </w:tcBorders>
            <w:tcMar>
              <w:bottom w:w="28" w:type="dxa"/>
            </w:tcMar>
            <w:vAlign w:val="bottom"/>
          </w:tcPr>
          <w:p>
            <w:pPr>
              <w:pStyle w:val="TableContents"/>
              <w:bidi w:val="0"/>
              <w:spacing w:before="0" w:after="283"/>
              <w:jc w:val="left"/>
              <w:rPr>
                <w:b/>
              </w:rPr>
            </w:pPr>
            <w:r>
              <w:rPr>
                <w:b/>
              </w:rPr>
              <w:t>Indenture</w:t>
              <w:br/>
              <w:t>Section</w:t>
            </w:r>
          </w:p>
        </w:tc>
      </w:tr>
      <w:tr>
        <w:trPr/>
        <w:tc>
          <w:tcPr>
            <w:tcW w:w="3837"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2055"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1.04</w:t>
            </w:r>
          </w:p>
        </w:tc>
      </w:tr>
      <w:tr>
        <w:trPr/>
        <w:tc>
          <w:tcPr>
            <w:tcW w:w="3837" w:type="dxa"/>
            <w:tcBorders/>
          </w:tcPr>
          <w:p>
            <w:pPr>
              <w:pStyle w:val="TableContents"/>
              <w:bidi w:val="0"/>
              <w:spacing w:before="0" w:after="283"/>
              <w:jc w:val="left"/>
              <w:rPr/>
            </w:pPr>
            <w:r>
              <w:rPr/>
              <w:t>317(a)(1)</w:t>
            </w:r>
          </w:p>
        </w:tc>
        <w:tc>
          <w:tcPr>
            <w:tcW w:w="2055"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5.03</w:t>
            </w:r>
          </w:p>
        </w:tc>
      </w:tr>
      <w:tr>
        <w:trPr/>
        <w:tc>
          <w:tcPr>
            <w:tcW w:w="3837" w:type="dxa"/>
            <w:tcBorders/>
          </w:tcPr>
          <w:p>
            <w:pPr>
              <w:pStyle w:val="TableContents"/>
              <w:bidi w:val="0"/>
              <w:spacing w:before="0" w:after="0"/>
              <w:jc w:val="left"/>
              <w:rPr>
                <w:rFonts w:ascii="Times New Roman" w:hAnsi="Times New Roman"/>
                <w:sz w:val="20"/>
              </w:rPr>
            </w:pPr>
            <w:r>
              <w:rPr>
                <w:rFonts w:ascii="Times New Roman" w:hAnsi="Times New Roman"/>
                <w:sz w:val="20"/>
              </w:rPr>
              <w:t>(a)(2)</w:t>
            </w:r>
          </w:p>
        </w:tc>
        <w:tc>
          <w:tcPr>
            <w:tcW w:w="2055"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5.04</w:t>
            </w:r>
          </w:p>
        </w:tc>
      </w:tr>
      <w:tr>
        <w:trPr/>
        <w:tc>
          <w:tcPr>
            <w:tcW w:w="3837"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2055"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10.03</w:t>
            </w:r>
          </w:p>
        </w:tc>
      </w:tr>
      <w:tr>
        <w:trPr/>
        <w:tc>
          <w:tcPr>
            <w:tcW w:w="3837" w:type="dxa"/>
            <w:tcBorders/>
          </w:tcPr>
          <w:p>
            <w:pPr>
              <w:pStyle w:val="TableContents"/>
              <w:bidi w:val="0"/>
              <w:spacing w:before="0" w:after="283"/>
              <w:jc w:val="left"/>
              <w:rPr/>
            </w:pPr>
            <w:r>
              <w:rPr/>
              <w:t>318(a)</w:t>
            </w:r>
          </w:p>
        </w:tc>
        <w:tc>
          <w:tcPr>
            <w:tcW w:w="2055"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1.07</w:t>
            </w:r>
          </w:p>
        </w:tc>
      </w:tr>
      <w:tr>
        <w:trPr/>
        <w:tc>
          <w:tcPr>
            <w:tcW w:w="3837"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2055"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N.A.</w:t>
            </w:r>
          </w:p>
        </w:tc>
      </w:tr>
      <w:tr>
        <w:trPr/>
        <w:tc>
          <w:tcPr>
            <w:tcW w:w="3837"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2055" w:type="dxa"/>
            <w:tcBorders/>
            <w:vAlign w:val="bottom"/>
          </w:tcPr>
          <w:p>
            <w:pPr>
              <w:pStyle w:val="TableContents"/>
              <w:bidi w:val="0"/>
              <w:spacing w:before="0" w:after="283"/>
              <w:jc w:val="left"/>
              <w:rPr/>
            </w:pPr>
            <w:r>
              <w:rPr/>
              <w:t>  </w:t>
            </w:r>
          </w:p>
        </w:tc>
        <w:tc>
          <w:tcPr>
            <w:tcW w:w="1047" w:type="dxa"/>
            <w:tcBorders/>
          </w:tcPr>
          <w:p>
            <w:pPr>
              <w:pStyle w:val="TableContents"/>
              <w:bidi w:val="0"/>
              <w:spacing w:before="0" w:after="283"/>
              <w:jc w:val="left"/>
              <w:rPr/>
            </w:pPr>
            <w:r>
              <w:rPr/>
              <w:t>1.07</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 means inapplicable. </w:t>
            </w:r>
          </w:p>
        </w:tc>
      </w:tr>
    </w:tbl>
    <w:p>
      <w:pPr>
        <w:pStyle w:val="TextBody"/>
        <w:bidi w:val="0"/>
        <w:spacing w:before="0" w:after="0"/>
        <w:jc w:val="left"/>
        <w:rPr>
          <w:rFonts w:ascii="Times New Roman" w:hAnsi="Times New Roman"/>
          <w:sz w:val="20"/>
        </w:rPr>
      </w:pPr>
      <w:r>
        <w:rPr>
          <w:rFonts w:ascii="Times New Roman" w:hAnsi="Times New Roman"/>
          <w:sz w:val="20"/>
          <w:u w:val="single"/>
        </w:rPr>
        <w:t>NOTE</w:t>
      </w:r>
      <w:r>
        <w:rPr>
          <w:rFonts w:ascii="Times New Roman" w:hAnsi="Times New Roman"/>
          <w:sz w:val="20"/>
        </w:rPr>
        <w:t xml:space="preserve">: This reconciliation and tie shall not, for any purpose, be deemed to be part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dated as of    , 20 , between </w:t>
      </w:r>
      <w:r>
        <w:rPr>
          <w:rFonts w:ascii="Times New Roman" w:hAnsi="Times New Roman"/>
          <w:b/>
          <w:sz w:val="20"/>
        </w:rPr>
        <w:t>INVIVYD, INC.</w:t>
      </w:r>
      <w:r>
        <w:rPr>
          <w:rFonts w:ascii="Times New Roman" w:hAnsi="Times New Roman"/>
          <w:sz w:val="20"/>
        </w:rPr>
        <w:t>, a corporation duly organized and existing under the laws of the State of Delaware (herein called the “</w:t>
      </w:r>
      <w:r>
        <w:rPr>
          <w:rFonts w:ascii="Times New Roman" w:hAnsi="Times New Roman"/>
          <w:b/>
          <w:i/>
          <w:sz w:val="20"/>
        </w:rPr>
        <w:t>Company”</w:t>
      </w:r>
      <w:r>
        <w:rPr>
          <w:rFonts w:ascii="Times New Roman" w:hAnsi="Times New Roman"/>
          <w:sz w:val="20"/>
        </w:rPr>
        <w:t>), and     , as trustee (herein called the “</w:t>
      </w:r>
      <w:r>
        <w:rPr>
          <w:rFonts w:ascii="Times New Roman" w:hAnsi="Times New Roman"/>
          <w:b/>
          <w:i/>
          <w:sz w:val="20"/>
        </w:rPr>
        <w:t>Trustee”</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The Company has duly authorized the execution and delivery of this Indenture to provide for the issuance from time to time of the Company’s debentures, notes or other evidences of indebtedness (herein called the “</w:t>
      </w:r>
      <w:r>
        <w:rPr>
          <w:rFonts w:ascii="Times New Roman" w:hAnsi="Times New Roman"/>
          <w:b/>
          <w:i/>
          <w:sz w:val="20"/>
        </w:rPr>
        <w:t>Securities”</w:t>
      </w:r>
      <w:r>
        <w:rPr>
          <w:rFonts w:ascii="Times New Roman" w:hAnsi="Times New Roman"/>
          <w:sz w:val="20"/>
        </w:rPr>
        <w:t xml:space="preserve">), to be issued in one or more series as provided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All things necessary to make this Indenture a valid agreement of the Company in accordance with its terms, have been done.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THIS INDENTURE WITNESSETH: </w:t>
      </w:r>
    </w:p>
    <w:p>
      <w:pPr>
        <w:pStyle w:val="TextBody"/>
        <w:bidi w:val="0"/>
        <w:spacing w:before="120" w:after="0"/>
        <w:jc w:val="left"/>
        <w:rPr>
          <w:rFonts w:ascii="Times New Roman" w:hAnsi="Times New Roman"/>
          <w:sz w:val="20"/>
        </w:rPr>
      </w:pPr>
      <w:r>
        <w:rPr>
          <w:rFonts w:ascii="Times New Roman" w:hAnsi="Times New Roman"/>
          <w:sz w:val="20"/>
        </w:rPr>
        <w:t xml:space="preserve">For and in consideration of the premises and the purchase of the Securities by the Holders thereof, it is mutually agreed, for the equal and proportionate benefit of all Holders of the Securities or of any series thereof,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I.DEFINITIONS AND OTHER PROVISIONS OF GENERAL APPLICATION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all purposes of this Indenture, except as otherwise expressly provided or 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(a) the terms defined in this Article have the meanings assigned to them in this Article and include the plural as well as the singular and the masculine gender shall include the feminine and neuter, and vice versa, 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(b) all other terms used herein that are defined in the Trust Indenture Act, either directly or by reference therein, have the meanings assigned to them therein; </w:t>
      </w:r>
    </w:p>
    <w:p>
      <w:pPr>
        <w:pStyle w:val="TextBody"/>
        <w:bidi w:val="0"/>
        <w:spacing w:before="240" w:after="0"/>
        <w:jc w:val="left"/>
        <w:rPr>
          <w:rFonts w:ascii="Times New Roman" w:hAnsi="Times New Roman"/>
          <w:sz w:val="20"/>
        </w:rPr>
      </w:pPr>
      <w:r>
        <w:rPr>
          <w:rFonts w:ascii="Times New Roman" w:hAnsi="Times New Roman"/>
          <w:sz w:val="20"/>
        </w:rPr>
        <w:t xml:space="preserve">(c) all accounting terms not otherwise defined herein have the meanings assigned to them in accordance with generally accepted accounting principles in the United States of America (including, if applicable, International Financial Reporting Standards) as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(d) unless the context otherwise requires, any reference to an “Article” or a “Section” refers to an Article or a Section, as the case may be,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(e) the words “herein”, “hereof” and “hereunder” and other words of similar import refer to this Indenture as a whole and not to any particular Article, Section or other subdivision; </w:t>
      </w:r>
    </w:p>
    <w:p>
      <w:pPr>
        <w:pStyle w:val="TextBody"/>
        <w:bidi w:val="0"/>
        <w:spacing w:before="240" w:after="0"/>
        <w:jc w:val="left"/>
        <w:rPr>
          <w:rFonts w:ascii="Times New Roman" w:hAnsi="Times New Roman"/>
          <w:sz w:val="20"/>
        </w:rPr>
      </w:pPr>
      <w:r>
        <w:rPr>
          <w:rFonts w:ascii="Times New Roman" w:hAnsi="Times New Roman"/>
          <w:sz w:val="20"/>
        </w:rPr>
        <w:t xml:space="preserve">(f) “or” is not exclusive, and “including” means “including without limitation”, “including but not limited to” or words of similar import; </w:t>
      </w:r>
    </w:p>
    <w:p>
      <w:pPr>
        <w:pStyle w:val="TextBody"/>
        <w:bidi w:val="0"/>
        <w:spacing w:before="240" w:after="0"/>
        <w:jc w:val="left"/>
        <w:rPr>
          <w:rFonts w:ascii="Times New Roman" w:hAnsi="Times New Roman"/>
          <w:sz w:val="20"/>
        </w:rPr>
      </w:pPr>
      <w:r>
        <w:rPr>
          <w:rFonts w:ascii="Times New Roman" w:hAnsi="Times New Roman"/>
          <w:sz w:val="20"/>
        </w:rPr>
        <w:t xml:space="preserve">(g) when used with respect to any Security, the words “convert,” “converted” and “conversion” are intended to refer to the right of the Holder or the Company to convert or exchange such Security into or for securities or other property in accordance with such terms, if any, as may hereafter be specified for such Security as contemplated by </w:t>
      </w:r>
      <w:r>
        <w:rPr>
          <w:rFonts w:ascii="Times New Roman" w:hAnsi="Times New Roman"/>
          <w:sz w:val="20"/>
          <w:u w:val="single"/>
        </w:rPr>
        <w:t>Section 3.01</w:t>
      </w:r>
      <w:r>
        <w:rPr>
          <w:rFonts w:ascii="Times New Roman" w:hAnsi="Times New Roman"/>
          <w:sz w:val="20"/>
        </w:rPr>
        <w:t xml:space="preserve">, and these words are not intended to refer to any right of the Holder or the Company to exchange such Security for other Securities of the same series and like tenor pursuant to </w:t>
      </w:r>
      <w:r>
        <w:rPr>
          <w:rFonts w:ascii="Times New Roman" w:hAnsi="Times New Roman"/>
          <w:sz w:val="20"/>
          <w:u w:val="single"/>
        </w:rPr>
        <w:t>Section 3.04</w:t>
      </w:r>
      <w:r>
        <w:rPr>
          <w:rFonts w:ascii="Times New Roman" w:hAnsi="Times New Roman"/>
          <w:sz w:val="20"/>
        </w:rPr>
        <w:t xml:space="preserve">, </w:t>
      </w:r>
      <w:r>
        <w:rPr>
          <w:rFonts w:ascii="Times New Roman" w:hAnsi="Times New Roman"/>
          <w:sz w:val="20"/>
          <w:u w:val="single"/>
        </w:rPr>
        <w:t>Section 3.05</w:t>
      </w:r>
      <w:r>
        <w:rPr>
          <w:rFonts w:ascii="Times New Roman" w:hAnsi="Times New Roman"/>
          <w:sz w:val="20"/>
        </w:rPr>
        <w:t xml:space="preserve">, </w:t>
      </w:r>
      <w:r>
        <w:rPr>
          <w:rFonts w:ascii="Times New Roman" w:hAnsi="Times New Roman"/>
          <w:sz w:val="20"/>
          <w:u w:val="single"/>
        </w:rPr>
        <w:t>Section 3.06</w:t>
      </w:r>
      <w:r>
        <w:rPr>
          <w:rFonts w:ascii="Times New Roman" w:hAnsi="Times New Roman"/>
          <w:sz w:val="20"/>
        </w:rPr>
        <w:t xml:space="preserve">, </w:t>
      </w:r>
      <w:r>
        <w:rPr>
          <w:rFonts w:ascii="Times New Roman" w:hAnsi="Times New Roman"/>
          <w:sz w:val="20"/>
          <w:u w:val="single"/>
        </w:rPr>
        <w:t>Section 9.06</w:t>
      </w:r>
      <w:r>
        <w:rPr>
          <w:rFonts w:ascii="Times New Roman" w:hAnsi="Times New Roman"/>
          <w:sz w:val="20"/>
        </w:rPr>
        <w:t xml:space="preserve"> or </w:t>
      </w:r>
      <w:r>
        <w:rPr>
          <w:rFonts w:ascii="Times New Roman" w:hAnsi="Times New Roman"/>
          <w:sz w:val="20"/>
          <w:u w:val="single"/>
        </w:rPr>
        <w:t>Section 11.07</w:t>
      </w:r>
      <w:r>
        <w:rPr>
          <w:rFonts w:ascii="Times New Roman" w:hAnsi="Times New Roman"/>
          <w:sz w:val="20"/>
        </w:rPr>
        <w:t xml:space="preserve"> or another similar provisions of this Indenture, unless the context otherwise requires; and references herein to the terms of any Security that may be converted mean such terms as may be specified for such Security as contemplated in </w:t>
      </w:r>
      <w:r>
        <w:rPr>
          <w:rFonts w:ascii="Times New Roman" w:hAnsi="Times New Roman"/>
          <w:sz w:val="20"/>
          <w:u w:val="single"/>
        </w:rPr>
        <w:t>Section 3.01</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unless otherwise provided, references to agreements and other instruments shall be deemed to include all amendments and other modifications to such agreements and instruments, but only to the extent such amendments and other modifications are not prohibited by the terms of this Indenture. </w:t>
      </w:r>
    </w:p>
    <w:p>
      <w:pPr>
        <w:pStyle w:val="TextBody"/>
        <w:bidi w:val="0"/>
        <w:spacing w:before="240" w:after="0"/>
        <w:jc w:val="left"/>
        <w:rPr/>
      </w:pPr>
      <w:r>
        <w:rPr/>
        <w:t>“</w:t>
      </w:r>
      <w:r>
        <w:rPr>
          <w:rFonts w:ascii="Times New Roman" w:hAnsi="Times New Roman"/>
          <w:b/>
          <w:sz w:val="20"/>
        </w:rPr>
        <w:t>Act</w:t>
      </w:r>
      <w:r>
        <w:rPr>
          <w:rFonts w:ascii="Times New Roman" w:hAnsi="Times New Roman"/>
          <w:sz w:val="20"/>
        </w:rPr>
        <w:t xml:space="preserve">”, when used with respect to any Holder, has the meaning specified in </w:t>
      </w:r>
      <w:r>
        <w:rPr>
          <w:rFonts w:ascii="Times New Roman" w:hAnsi="Times New Roman"/>
          <w:sz w:val="20"/>
          <w:u w:val="single"/>
        </w:rPr>
        <w:t>Section 1.04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 </w:t>
      </w:r>
    </w:p>
    <w:p>
      <w:pPr>
        <w:pStyle w:val="TextBody"/>
        <w:bidi w:val="0"/>
        <w:spacing w:before="240" w:after="0"/>
        <w:jc w:val="left"/>
        <w:rPr/>
      </w:pPr>
      <w:r>
        <w:rPr/>
        <w:t>“</w:t>
      </w:r>
      <w:r>
        <w:rPr>
          <w:rFonts w:ascii="Times New Roman" w:hAnsi="Times New Roman"/>
          <w:b/>
          <w:sz w:val="20"/>
        </w:rPr>
        <w:t>Applicable Procedures</w:t>
      </w:r>
      <w:r>
        <w:rPr>
          <w:rFonts w:ascii="Times New Roman" w:hAnsi="Times New Roman"/>
          <w:sz w:val="20"/>
        </w:rPr>
        <w:t xml:space="preserve">” of a Depositary means, with respect to any matter at any time, the policies and procedures of such Depositary, if any, that are applicable to such matter at such time. </w:t>
      </w:r>
    </w:p>
    <w:p>
      <w:pPr>
        <w:pStyle w:val="TextBody"/>
        <w:bidi w:val="0"/>
        <w:spacing w:before="240" w:after="0"/>
        <w:jc w:val="left"/>
        <w:rPr/>
      </w:pPr>
      <w:r>
        <w:rPr/>
        <w:t>“</w:t>
      </w:r>
      <w:r>
        <w:rPr>
          <w:rFonts w:ascii="Times New Roman" w:hAnsi="Times New Roman"/>
          <w:b/>
          <w:sz w:val="20"/>
        </w:rPr>
        <w:t>Authenticating Agent</w:t>
      </w:r>
      <w:r>
        <w:rPr>
          <w:rFonts w:ascii="Times New Roman" w:hAnsi="Times New Roman"/>
          <w:sz w:val="20"/>
        </w:rPr>
        <w:t xml:space="preserve">” means any Person authorized by the Trustee pursuant to </w:t>
      </w:r>
      <w:r>
        <w:rPr>
          <w:rFonts w:ascii="Times New Roman" w:hAnsi="Times New Roman"/>
          <w:sz w:val="20"/>
          <w:u w:val="single"/>
        </w:rPr>
        <w:t>Section 6.14</w:t>
      </w:r>
      <w:r>
        <w:rPr>
          <w:rFonts w:ascii="Times New Roman" w:hAnsi="Times New Roman"/>
          <w:sz w:val="20"/>
        </w:rPr>
        <w:t xml:space="preserve"> to act on behalf of the Trustee to authenticate Securities of one or more series.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means either the board of directors of the Company or any duly authorized committee of that board of directors. </w:t>
      </w:r>
    </w:p>
    <w:p>
      <w:pPr>
        <w:pStyle w:val="TextBody"/>
        <w:bidi w:val="0"/>
        <w:spacing w:before="240" w:after="0"/>
        <w:jc w:val="left"/>
        <w:rPr/>
      </w:pPr>
      <w:r>
        <w:rPr/>
        <w:t>“</w:t>
      </w:r>
      <w:r>
        <w:rPr>
          <w:rFonts w:ascii="Times New Roman" w:hAnsi="Times New Roman"/>
          <w:b/>
          <w:sz w:val="20"/>
        </w:rPr>
        <w:t>Board Resolution</w:t>
      </w:r>
      <w:r>
        <w:rPr>
          <w:rFonts w:ascii="Times New Roman" w:hAnsi="Times New Roman"/>
          <w:sz w:val="20"/>
        </w:rPr>
        <w:t xml:space="preserve">” means a copy of a resolution certified by the Secretary or an Assistant Secretary of the Company to have been duly adopted by the Board of Directors and to be in full force and effect on the date of such certification and delivered to the Trustee.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when used with respect to any Place of Payment, means, except as otherwise provided or contemplated by </w:t>
      </w:r>
      <w:r>
        <w:rPr>
          <w:rFonts w:ascii="Times New Roman" w:hAnsi="Times New Roman"/>
          <w:sz w:val="20"/>
          <w:u w:val="single"/>
        </w:rPr>
        <w:t>Section 3.01</w:t>
      </w:r>
      <w:r>
        <w:rPr>
          <w:rFonts w:ascii="Times New Roman" w:hAnsi="Times New Roman"/>
          <w:sz w:val="20"/>
        </w:rPr>
        <w:t xml:space="preserve"> with respect to any series of Securities, each Monday, Tuesday, Wednesday, Thursday and Friday which is not a day on which banking institutions in that Place of Payment are authorized or obligated by law or executive order or regulation to close. </w:t>
      </w:r>
    </w:p>
    <w:p>
      <w:pPr>
        <w:pStyle w:val="TextBody"/>
        <w:bidi w:val="0"/>
        <w:spacing w:before="240" w:after="0"/>
        <w:jc w:val="left"/>
        <w:rPr/>
      </w:pPr>
      <w:r>
        <w:rPr/>
        <w:t>“</w:t>
      </w:r>
      <w:r>
        <w:rPr>
          <w:rFonts w:ascii="Times New Roman" w:hAnsi="Times New Roman"/>
          <w:b/>
          <w:sz w:val="20"/>
        </w:rPr>
        <w:t>Commission</w:t>
      </w:r>
      <w:r>
        <w:rPr>
          <w:rFonts w:ascii="Times New Roman" w:hAnsi="Times New Roman"/>
          <w:sz w:val="20"/>
        </w:rPr>
        <w:t xml:space="preserve">” means the Securities and Exchange Commission, from time to time constituted, created under the Exchange Act, or, if at any time after the execution of this Indenture such Commission is not existing and performing the duties now assigned to it under the Trust Indenture Act, then the body performing such duties at such time.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means the Person named as the “Company” in the first paragraph of this Indenture until a successor Person shall have become such pursuant to the applicable provisions of this Indenture, and thereafter “Company” shall mean such successor Person. </w:t>
      </w:r>
    </w:p>
    <w:p>
      <w:pPr>
        <w:pStyle w:val="TextBody"/>
        <w:bidi w:val="0"/>
        <w:spacing w:before="240" w:after="0"/>
        <w:jc w:val="left"/>
        <w:rPr/>
      </w:pPr>
      <w:r>
        <w:rPr/>
        <w:t>“</w:t>
      </w:r>
      <w:r>
        <w:rPr>
          <w:rFonts w:ascii="Times New Roman" w:hAnsi="Times New Roman"/>
          <w:b/>
          <w:sz w:val="20"/>
        </w:rPr>
        <w:t>Company Request</w:t>
      </w:r>
      <w:r>
        <w:rPr>
          <w:rFonts w:ascii="Times New Roman" w:hAnsi="Times New Roman"/>
          <w:sz w:val="20"/>
        </w:rPr>
        <w:t>” or “</w:t>
      </w:r>
      <w:r>
        <w:rPr>
          <w:rFonts w:ascii="Times New Roman" w:hAnsi="Times New Roman"/>
          <w:b/>
          <w:sz w:val="20"/>
        </w:rPr>
        <w:t>Company Order</w:t>
      </w:r>
      <w:r>
        <w:rPr>
          <w:rFonts w:ascii="Times New Roman" w:hAnsi="Times New Roman"/>
          <w:sz w:val="20"/>
        </w:rPr>
        <w:t xml:space="preserve">” means a written request or order signed in the name of the Company by its Chief Executive Officer, Chief Financial Officer or Corporate Secretary, or any other officer or officers of the Company designated in writing by or pursuant to authority of the Board of Directors, and delivered to the Trustee. </w:t>
      </w:r>
    </w:p>
    <w:p>
      <w:pPr>
        <w:pStyle w:val="TextBody"/>
        <w:bidi w:val="0"/>
        <w:spacing w:before="240" w:after="0"/>
        <w:jc w:val="left"/>
        <w:rPr/>
      </w:pPr>
      <w:r>
        <w:rPr/>
        <w:t>“</w:t>
      </w:r>
      <w:r>
        <w:rPr>
          <w:rFonts w:ascii="Times New Roman" w:hAnsi="Times New Roman"/>
          <w:b/>
          <w:sz w:val="20"/>
        </w:rPr>
        <w:t>Corporate Trust Office</w:t>
      </w:r>
      <w:r>
        <w:rPr>
          <w:rFonts w:ascii="Times New Roman" w:hAnsi="Times New Roman"/>
          <w:sz w:val="20"/>
        </w:rPr>
        <w:t xml:space="preserve">” means the principal office of the Trustee at which at any particular time its corporate trust business shall be administered, or at any other time at such other address as the Trustee may designate from time to time by notice to the Holders. </w:t>
      </w:r>
    </w:p>
    <w:p>
      <w:pPr>
        <w:pStyle w:val="TextBody"/>
        <w:bidi w:val="0"/>
        <w:spacing w:before="240" w:after="0"/>
        <w:jc w:val="left"/>
        <w:rPr/>
      </w:pPr>
      <w:r>
        <w:rPr/>
        <w:t>“</w:t>
      </w:r>
      <w:r>
        <w:rPr>
          <w:rFonts w:ascii="Times New Roman" w:hAnsi="Times New Roman"/>
          <w:b/>
          <w:sz w:val="20"/>
        </w:rPr>
        <w:t>corporation</w:t>
      </w:r>
      <w:r>
        <w:rPr>
          <w:rFonts w:ascii="Times New Roman" w:hAnsi="Times New Roman"/>
          <w:sz w:val="20"/>
        </w:rPr>
        <w:t xml:space="preserve">” means a corporation, association, limited liability company, company, joint-stock company or business trust. </w:t>
      </w:r>
    </w:p>
    <w:p>
      <w:pPr>
        <w:pStyle w:val="TextBody"/>
        <w:bidi w:val="0"/>
        <w:spacing w:before="240" w:after="0"/>
        <w:jc w:val="left"/>
        <w:rPr/>
      </w:pPr>
      <w:r>
        <w:rPr/>
        <w:t>“</w:t>
      </w:r>
      <w:r>
        <w:rPr>
          <w:rFonts w:ascii="Times New Roman" w:hAnsi="Times New Roman"/>
          <w:b/>
          <w:sz w:val="20"/>
        </w:rPr>
        <w:t>Covenant Defeasance</w:t>
      </w:r>
      <w:r>
        <w:rPr>
          <w:rFonts w:ascii="Times New Roman" w:hAnsi="Times New Roman"/>
          <w:sz w:val="20"/>
        </w:rPr>
        <w:t xml:space="preserve">” has the meaning specified in </w:t>
      </w:r>
      <w:r>
        <w:rPr>
          <w:rFonts w:ascii="Times New Roman" w:hAnsi="Times New Roman"/>
          <w:sz w:val="20"/>
          <w:u w:val="single"/>
        </w:rPr>
        <w:t>Section 13.03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Defaulted Interest</w:t>
      </w:r>
      <w:r>
        <w:rPr>
          <w:rFonts w:ascii="Times New Roman" w:hAnsi="Times New Roman"/>
          <w:sz w:val="20"/>
        </w:rPr>
        <w:t xml:space="preserve">” has the meaning specified in </w:t>
      </w:r>
      <w:r>
        <w:rPr>
          <w:rFonts w:ascii="Times New Roman" w:hAnsi="Times New Roman"/>
          <w:sz w:val="20"/>
          <w:u w:val="single"/>
        </w:rPr>
        <w:t>Section 3.07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Defeasance</w:t>
      </w:r>
      <w:r>
        <w:rPr>
          <w:rFonts w:ascii="Times New Roman" w:hAnsi="Times New Roman"/>
          <w:sz w:val="20"/>
        </w:rPr>
        <w:t xml:space="preserve">” has the meaning specified in </w:t>
      </w:r>
      <w:r>
        <w:rPr>
          <w:rFonts w:ascii="Times New Roman" w:hAnsi="Times New Roman"/>
          <w:sz w:val="20"/>
          <w:u w:val="single"/>
        </w:rPr>
        <w:t>Section 13.02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Depositary</w:t>
      </w:r>
      <w:r>
        <w:rPr>
          <w:rFonts w:ascii="Times New Roman" w:hAnsi="Times New Roman"/>
          <w:sz w:val="20"/>
        </w:rPr>
        <w:t xml:space="preserve">” means, with respect to Securities of any series issuable in whole or in part in the form of one or more Global Securities, a clearing agency registered under the Exchange Act that is designated to act as Depositary for such Securities as contemplated by </w:t>
      </w:r>
      <w:r>
        <w:rPr>
          <w:rFonts w:ascii="Times New Roman" w:hAnsi="Times New Roman"/>
          <w:sz w:val="20"/>
          <w:u w:val="single"/>
        </w:rPr>
        <w:t>Section 3.01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Event of Default</w:t>
      </w:r>
      <w:r>
        <w:rPr>
          <w:rFonts w:ascii="Times New Roman" w:hAnsi="Times New Roman"/>
          <w:sz w:val="20"/>
        </w:rPr>
        <w:t xml:space="preserve">” has the meaning specified in </w:t>
      </w:r>
      <w:r>
        <w:rPr>
          <w:rFonts w:ascii="Times New Roman" w:hAnsi="Times New Roman"/>
          <w:sz w:val="20"/>
          <w:u w:val="single"/>
        </w:rPr>
        <w:t>Section 5.01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and any statute successor thereto, in each case as amended from time to time. </w:t>
      </w:r>
    </w:p>
    <w:p>
      <w:pPr>
        <w:pStyle w:val="TextBody"/>
        <w:bidi w:val="0"/>
        <w:spacing w:before="240" w:after="0"/>
        <w:jc w:val="left"/>
        <w:rPr/>
      </w:pPr>
      <w:r>
        <w:rPr/>
        <w:t>“</w:t>
      </w:r>
      <w:r>
        <w:rPr>
          <w:rFonts w:ascii="Times New Roman" w:hAnsi="Times New Roman"/>
          <w:b/>
          <w:sz w:val="20"/>
        </w:rPr>
        <w:t>Expiration Date</w:t>
      </w:r>
      <w:r>
        <w:rPr>
          <w:rFonts w:ascii="Times New Roman" w:hAnsi="Times New Roman"/>
          <w:sz w:val="20"/>
        </w:rPr>
        <w:t xml:space="preserve">” has the meaning specified in </w:t>
      </w:r>
      <w:r>
        <w:rPr>
          <w:rFonts w:ascii="Times New Roman" w:hAnsi="Times New Roman"/>
          <w:sz w:val="20"/>
          <w:u w:val="single"/>
        </w:rPr>
        <w:t>Section 1.04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Global Security</w:t>
      </w:r>
      <w:r>
        <w:rPr>
          <w:rFonts w:ascii="Times New Roman" w:hAnsi="Times New Roman"/>
          <w:sz w:val="20"/>
        </w:rPr>
        <w:t xml:space="preserve">” means a Security that evidences all or part of the Securities of any series and bears the legend set forth in </w:t>
      </w:r>
      <w:r>
        <w:rPr>
          <w:rFonts w:ascii="Times New Roman" w:hAnsi="Times New Roman"/>
          <w:sz w:val="20"/>
          <w:u w:val="single"/>
        </w:rPr>
        <w:t>Section 2.04</w:t>
      </w:r>
      <w:r>
        <w:rPr>
          <w:rFonts w:ascii="Times New Roman" w:hAnsi="Times New Roman"/>
          <w:sz w:val="20"/>
        </w:rPr>
        <w:t xml:space="preserve"> (or such legend as may be specified as contemplated by </w:t>
      </w:r>
      <w:r>
        <w:rPr>
          <w:rFonts w:ascii="Times New Roman" w:hAnsi="Times New Roman"/>
          <w:sz w:val="20"/>
          <w:u w:val="single"/>
        </w:rPr>
        <w:t>Section 3.01</w:t>
      </w:r>
      <w:r>
        <w:rPr>
          <w:rFonts w:ascii="Times New Roman" w:hAnsi="Times New Roman"/>
          <w:sz w:val="20"/>
        </w:rPr>
        <w:t xml:space="preserve"> for such Securities).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xml:space="preserve">” means a Person in whose name a Security is registered in the Security Register. </w:t>
      </w:r>
    </w:p>
    <w:p>
      <w:pPr>
        <w:pStyle w:val="TextBody"/>
        <w:bidi w:val="0"/>
        <w:spacing w:before="240" w:after="0"/>
        <w:jc w:val="left"/>
        <w:rPr/>
      </w:pPr>
      <w:r>
        <w:rPr/>
        <w:t>“</w:t>
      </w:r>
      <w:r>
        <w:rPr>
          <w:rFonts w:ascii="Times New Roman" w:hAnsi="Times New Roman"/>
          <w:b/>
          <w:sz w:val="20"/>
        </w:rPr>
        <w:t>Indenture</w:t>
      </w:r>
      <w:r>
        <w:rPr>
          <w:rFonts w:ascii="Times New Roman" w:hAnsi="Times New Roman"/>
          <w:sz w:val="20"/>
        </w:rPr>
        <w:t xml:space="preserv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w:t>
      </w:r>
      <w:r>
        <w:rPr>
          <w:rFonts w:ascii="Times New Roman" w:hAnsi="Times New Roman"/>
          <w:sz w:val="20"/>
          <w:u w:val="single"/>
        </w:rPr>
        <w:t>Section 3.01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interest</w:t>
      </w:r>
      <w:r>
        <w:rPr>
          <w:rFonts w:ascii="Times New Roman" w:hAnsi="Times New Roman"/>
          <w:sz w:val="20"/>
        </w:rPr>
        <w:t xml:space="preserve">”, when used with respect to an Original Issue Discount Security that by its terms bears interest only after Maturity, means interest payable after Maturity. </w:t>
      </w:r>
    </w:p>
    <w:p>
      <w:pPr>
        <w:pStyle w:val="TextBody"/>
        <w:bidi w:val="0"/>
        <w:spacing w:before="240" w:after="0"/>
        <w:jc w:val="left"/>
        <w:rPr/>
      </w:pPr>
      <w:r>
        <w:rPr/>
        <w:t>“</w:t>
      </w:r>
      <w:r>
        <w:rPr>
          <w:rFonts w:ascii="Times New Roman" w:hAnsi="Times New Roman"/>
          <w:b/>
          <w:sz w:val="20"/>
        </w:rPr>
        <w:t>Interest Payment Date</w:t>
      </w:r>
      <w:r>
        <w:rPr>
          <w:rFonts w:ascii="Times New Roman" w:hAnsi="Times New Roman"/>
          <w:sz w:val="20"/>
        </w:rPr>
        <w:t xml:space="preserve">”, when used with respect to any Security, means the Stated Maturity of an installment of interest on such Security. </w:t>
      </w:r>
    </w:p>
    <w:p>
      <w:pPr>
        <w:pStyle w:val="TextBody"/>
        <w:bidi w:val="0"/>
        <w:spacing w:before="240" w:after="0"/>
        <w:jc w:val="left"/>
        <w:rPr/>
      </w:pPr>
      <w:r>
        <w:rPr/>
        <w:t>“</w:t>
      </w:r>
      <w:r>
        <w:rPr>
          <w:rFonts w:ascii="Times New Roman" w:hAnsi="Times New Roman"/>
          <w:b/>
          <w:sz w:val="20"/>
        </w:rPr>
        <w:t>Internal Revenue Code</w:t>
      </w:r>
      <w:r>
        <w:rPr>
          <w:rFonts w:ascii="Times New Roman" w:hAnsi="Times New Roman"/>
          <w:sz w:val="20"/>
        </w:rPr>
        <w:t xml:space="preserve">” means the U.S. Internal Revenue Code of 1986, as amended from time to time. </w:t>
      </w:r>
    </w:p>
    <w:p>
      <w:pPr>
        <w:pStyle w:val="TextBody"/>
        <w:bidi w:val="0"/>
        <w:spacing w:before="240" w:after="0"/>
        <w:jc w:val="left"/>
        <w:rPr/>
      </w:pPr>
      <w:r>
        <w:rPr/>
        <w:t>“</w:t>
      </w:r>
      <w:r>
        <w:rPr>
          <w:rFonts w:ascii="Times New Roman" w:hAnsi="Times New Roman"/>
          <w:b/>
          <w:sz w:val="20"/>
        </w:rPr>
        <w:t>mandatory sinking fund payment</w:t>
      </w:r>
      <w:r>
        <w:rPr>
          <w:rFonts w:ascii="Times New Roman" w:hAnsi="Times New Roman"/>
          <w:sz w:val="20"/>
        </w:rPr>
        <w:t xml:space="preserve">” has the meaning specified in </w:t>
      </w:r>
      <w:r>
        <w:rPr>
          <w:rFonts w:ascii="Times New Roman" w:hAnsi="Times New Roman"/>
          <w:sz w:val="20"/>
          <w:u w:val="single"/>
        </w:rPr>
        <w:t>Section 12.01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Maturity</w:t>
      </w:r>
      <w:r>
        <w:rPr>
          <w:rFonts w:ascii="Times New Roman" w:hAnsi="Times New Roman"/>
          <w:sz w:val="20"/>
        </w:rPr>
        <w:t xml:space="preserve">”, when used with respect to any Security, means the date on which the principal of such Security or an installment of principal becomes due and payable as therein or herein provided, whether at the Stated Maturity or by declaration of acceleration, call for redemption or otherwise. </w:t>
      </w:r>
    </w:p>
    <w:p>
      <w:pPr>
        <w:pStyle w:val="TextBody"/>
        <w:bidi w:val="0"/>
        <w:spacing w:before="240" w:after="0"/>
        <w:jc w:val="left"/>
        <w:rPr/>
      </w:pPr>
      <w:r>
        <w:rPr/>
        <w:t>“</w:t>
      </w:r>
      <w:r>
        <w:rPr>
          <w:rFonts w:ascii="Times New Roman" w:hAnsi="Times New Roman"/>
          <w:b/>
          <w:sz w:val="20"/>
        </w:rPr>
        <w:t>Notice of Default</w:t>
      </w:r>
      <w:r>
        <w:rPr>
          <w:rFonts w:ascii="Times New Roman" w:hAnsi="Times New Roman"/>
          <w:sz w:val="20"/>
        </w:rPr>
        <w:t xml:space="preserve">” means a written notice of the kind specified in </w:t>
      </w:r>
      <w:r>
        <w:rPr>
          <w:rFonts w:ascii="Times New Roman" w:hAnsi="Times New Roman"/>
          <w:sz w:val="20"/>
          <w:u w:val="single"/>
        </w:rPr>
        <w:t>Section 5.01(d)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means a certificate signed by the Chairman of the Board, the Chief Executive Officer, the Chief Financial Officer or the Corporate Secretary or any other officer or officers of the Company designated in writing by or pursuant to authority of the Board of Directors and delivered to the Trustee. </w:t>
      </w:r>
    </w:p>
    <w:p>
      <w:pPr>
        <w:pStyle w:val="TextBody"/>
        <w:bidi w:val="0"/>
        <w:spacing w:before="240" w:after="0"/>
        <w:jc w:val="left"/>
        <w:rPr/>
      </w:pPr>
      <w:r>
        <w:rPr/>
        <w:t>“</w:t>
      </w:r>
      <w:r>
        <w:rPr>
          <w:rFonts w:ascii="Times New Roman" w:hAnsi="Times New Roman"/>
          <w:b/>
          <w:sz w:val="20"/>
        </w:rPr>
        <w:t>Opinion of Counsel</w:t>
      </w:r>
      <w:r>
        <w:rPr>
          <w:rFonts w:ascii="Times New Roman" w:hAnsi="Times New Roman"/>
          <w:sz w:val="20"/>
        </w:rPr>
        <w:t xml:space="preserve">” means a written opinion of counsel, who may be an employee of, or outside counsel to, but does not have to be counsel for, the Company, and who shall be acceptable to the Trustee, which acceptance shall not be unreasonably withheld. Opinions of Counsel required to be delivered under this Indenture may have qualifications customary for opinions of the type required. </w:t>
      </w:r>
    </w:p>
    <w:p>
      <w:pPr>
        <w:pStyle w:val="TextBody"/>
        <w:bidi w:val="0"/>
        <w:spacing w:before="240" w:after="0"/>
        <w:jc w:val="left"/>
        <w:rPr/>
      </w:pPr>
      <w:r>
        <w:rPr/>
        <w:t>“</w:t>
      </w:r>
      <w:r>
        <w:rPr>
          <w:rFonts w:ascii="Times New Roman" w:hAnsi="Times New Roman"/>
          <w:b/>
          <w:sz w:val="20"/>
        </w:rPr>
        <w:t>optional sinking fund payment</w:t>
      </w:r>
      <w:r>
        <w:rPr>
          <w:rFonts w:ascii="Times New Roman" w:hAnsi="Times New Roman"/>
          <w:sz w:val="20"/>
        </w:rPr>
        <w:t xml:space="preserve">” has the meaning specified in </w:t>
      </w:r>
      <w:r>
        <w:rPr>
          <w:rFonts w:ascii="Times New Roman" w:hAnsi="Times New Roman"/>
          <w:sz w:val="20"/>
          <w:u w:val="single"/>
        </w:rPr>
        <w:t>Section 12.01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Original Issue Discount Security</w:t>
      </w:r>
      <w:r>
        <w:rPr>
          <w:rFonts w:ascii="Times New Roman" w:hAnsi="Times New Roman"/>
          <w:sz w:val="20"/>
        </w:rPr>
        <w:t xml:space="preserve">” means any Security that provides for an amount less than the principal amount thereof to be due and payable upon a declaration of acceleration of the Maturity thereof pursuant to </w:t>
      </w:r>
      <w:r>
        <w:rPr>
          <w:rFonts w:ascii="Times New Roman" w:hAnsi="Times New Roman"/>
          <w:sz w:val="20"/>
          <w:u w:val="single"/>
        </w:rPr>
        <w:t>Section 5.02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Outstanding</w:t>
      </w:r>
      <w:r>
        <w:rPr>
          <w:rFonts w:ascii="Times New Roman" w:hAnsi="Times New Roman"/>
          <w:sz w:val="20"/>
        </w:rPr>
        <w:t xml:space="preserve">”, when used with respect to Securities, means, as of the date of determination, all Securities theretofore authenticated and delivered under this Indenture, except: </w:t>
      </w:r>
    </w:p>
    <w:p>
      <w:pPr>
        <w:pStyle w:val="TextBody"/>
        <w:bidi w:val="0"/>
        <w:spacing w:before="120" w:after="0"/>
        <w:jc w:val="left"/>
        <w:rPr>
          <w:rFonts w:ascii="Times New Roman" w:hAnsi="Times New Roman"/>
          <w:sz w:val="20"/>
        </w:rPr>
      </w:pPr>
      <w:r>
        <w:rPr>
          <w:rFonts w:ascii="Times New Roman" w:hAnsi="Times New Roman"/>
          <w:sz w:val="20"/>
        </w:rPr>
        <w:t xml:space="preserve">(1) Securities theretofore cancelled and delivered to the Trustee or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(2) 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has been made; </w:t>
      </w:r>
    </w:p>
    <w:p>
      <w:pPr>
        <w:pStyle w:val="TextBody"/>
        <w:bidi w:val="0"/>
        <w:spacing w:before="240" w:after="0"/>
        <w:jc w:val="left"/>
        <w:rPr>
          <w:rFonts w:ascii="Times New Roman" w:hAnsi="Times New Roman"/>
          <w:sz w:val="20"/>
        </w:rPr>
      </w:pPr>
      <w:r>
        <w:rPr>
          <w:rFonts w:ascii="Times New Roman" w:hAnsi="Times New Roman"/>
          <w:sz w:val="20"/>
        </w:rPr>
        <w:t xml:space="preserve">(3) Securities, except to the extent provided in </w:t>
      </w:r>
      <w:r>
        <w:rPr>
          <w:rFonts w:ascii="Times New Roman" w:hAnsi="Times New Roman"/>
          <w:sz w:val="20"/>
          <w:u w:val="single"/>
        </w:rPr>
        <w:t>Sections 13.02</w:t>
      </w:r>
      <w:r>
        <w:rPr>
          <w:rFonts w:ascii="Times New Roman" w:hAnsi="Times New Roman"/>
          <w:sz w:val="20"/>
        </w:rPr>
        <w:t xml:space="preserve"> and </w:t>
      </w:r>
      <w:r>
        <w:rPr>
          <w:rFonts w:ascii="Times New Roman" w:hAnsi="Times New Roman"/>
          <w:sz w:val="20"/>
          <w:u w:val="single"/>
        </w:rPr>
        <w:t>13.03</w:t>
      </w:r>
      <w:r>
        <w:rPr>
          <w:rFonts w:ascii="Times New Roman" w:hAnsi="Times New Roman"/>
          <w:sz w:val="20"/>
        </w:rPr>
        <w:t xml:space="preserve"> respectively, as to which the Company has effected Defeasance pursuant to </w:t>
      </w:r>
      <w:r>
        <w:rPr>
          <w:rFonts w:ascii="Times New Roman" w:hAnsi="Times New Roman"/>
          <w:sz w:val="20"/>
          <w:u w:val="single"/>
        </w:rPr>
        <w:t>Section 13.02</w:t>
      </w:r>
      <w:r>
        <w:rPr>
          <w:rFonts w:ascii="Times New Roman" w:hAnsi="Times New Roman"/>
          <w:sz w:val="20"/>
        </w:rPr>
        <w:t xml:space="preserve"> or Covenant Defeasance pursuant to </w:t>
      </w:r>
      <w:r>
        <w:rPr>
          <w:rFonts w:ascii="Times New Roman" w:hAnsi="Times New Roman"/>
          <w:sz w:val="20"/>
          <w:u w:val="single"/>
        </w:rPr>
        <w:t>Section 13.03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 Securities which have been paid pursuant to </w:t>
      </w:r>
      <w:r>
        <w:rPr>
          <w:rFonts w:ascii="Times New Roman" w:hAnsi="Times New Roman"/>
          <w:sz w:val="20"/>
          <w:u w:val="single"/>
        </w:rPr>
        <w:t>Section 3.06</w:t>
      </w:r>
      <w:r>
        <w:rPr>
          <w:rFonts w:ascii="Times New Roman" w:hAnsi="Times New Roman"/>
          <w:sz w:val="20"/>
        </w:rPr>
        <w:t xml:space="preserve">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(5) Securities as to which any property deliverable upon conversion thereof has been delivered (or such delivery has been made available), or as to which any other particular conditions have been satisfied, in each case as may be provided for such Securities as contemplated in </w:t>
      </w:r>
      <w:r>
        <w:rPr>
          <w:rFonts w:ascii="Times New Roman" w:hAnsi="Times New Roman"/>
          <w:sz w:val="20"/>
          <w:u w:val="single"/>
        </w:rPr>
        <w:t>Section 3.01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provided, however,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w:t>
      </w:r>
      <w:r>
        <w:rPr>
          <w:rFonts w:ascii="Times New Roman" w:hAnsi="Times New Roman"/>
          <w:sz w:val="20"/>
          <w:u w:val="single"/>
        </w:rPr>
        <w:t>Section 5.02</w:t>
      </w:r>
      <w:r>
        <w:rPr>
          <w:rFonts w:ascii="Times New Roman" w:hAnsi="Times New Roman"/>
          <w:sz w:val="20"/>
        </w:rPr>
        <w:t xml:space="preserve">, (B) if, as of such date, the principal amount payable at the Stated Maturity of a Security is not determinable, the principal amount of such Security which shall be deemed to be Outstanding shall be the amount as specified or determined as contemplated by </w:t>
      </w:r>
      <w:r>
        <w:rPr>
          <w:rFonts w:ascii="Times New Roman" w:hAnsi="Times New Roman"/>
          <w:sz w:val="20"/>
          <w:u w:val="single"/>
        </w:rPr>
        <w:t>Section 3.01</w:t>
      </w:r>
      <w:r>
        <w:rPr>
          <w:rFonts w:ascii="Times New Roman" w:hAnsi="Times New Roman"/>
          <w:sz w:val="20"/>
        </w:rPr>
        <w:t xml:space="preserve">, (C) the principal amount of a Security denominated in one or more foreign currencies, composite currencies or currency units which shall be deemed to be Outstanding shall be the U.S. dollar equivalent, determined as of such date in the manner provided as contemplated by </w:t>
      </w:r>
      <w:r>
        <w:rPr>
          <w:rFonts w:ascii="Times New Roman" w:hAnsi="Times New Roman"/>
          <w:sz w:val="20"/>
          <w:u w:val="single"/>
        </w:rPr>
        <w:t>Section 3.01</w:t>
      </w:r>
      <w:r>
        <w:rPr>
          <w:rFonts w:ascii="Times New Roman" w:hAnsi="Times New Roman"/>
          <w:sz w:val="20"/>
        </w:rPr>
        <w:t xml:space="preserve">,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The Trustee shall be protected in relying on an Officer’s Certificate or other evidence satisfactory to it in determining ownership.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w:t>
      </w:r>
    </w:p>
    <w:p>
      <w:pPr>
        <w:pStyle w:val="TextBody"/>
        <w:bidi w:val="0"/>
        <w:spacing w:before="240" w:after="0"/>
        <w:jc w:val="left"/>
        <w:rPr/>
      </w:pPr>
      <w:r>
        <w:rPr/>
        <w:t>“</w:t>
      </w:r>
      <w:r>
        <w:rPr>
          <w:rFonts w:ascii="Times New Roman" w:hAnsi="Times New Roman"/>
          <w:b/>
          <w:sz w:val="20"/>
        </w:rPr>
        <w:t>Paying Agent</w:t>
      </w:r>
      <w:r>
        <w:rPr>
          <w:rFonts w:ascii="Times New Roman" w:hAnsi="Times New Roman"/>
          <w:sz w:val="20"/>
        </w:rPr>
        <w:t xml:space="preserve">” means any Person authorized by the Company to pay the principal of or any premium or interest on any Securities on behalf of the Company.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individual, corporation, company (including a limited liability company), partnership, joint venture, association, joint stock company, trust, unincorporated organization or government or any agency or political subdivision thereof or any other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Place of Payment</w:t>
      </w:r>
      <w:r>
        <w:rPr>
          <w:rFonts w:ascii="Times New Roman" w:hAnsi="Times New Roman"/>
          <w:sz w:val="20"/>
        </w:rPr>
        <w:t xml:space="preserve">”, when used with respect to the Securities of any series, means the place or places where the principal of and any premium and interest on the Securities of that series are payable as specified or contemplated by </w:t>
      </w:r>
      <w:r>
        <w:rPr>
          <w:rFonts w:ascii="Times New Roman" w:hAnsi="Times New Roman"/>
          <w:sz w:val="20"/>
          <w:u w:val="single"/>
        </w:rPr>
        <w:t>Section 3.01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Predecessor Security</w:t>
      </w:r>
      <w:r>
        <w:rPr>
          <w:rFonts w:ascii="Times New Roman" w:hAnsi="Times New Roman"/>
          <w:sz w:val="20"/>
        </w:rPr>
        <w:t xml:space="preserve">” of any particular Security means every previous Security evidencing all or a portion of the same debt as that evidenced by such particular Security; and, for the purposes of this definition, any Security authenticated and delivered under </w:t>
      </w:r>
      <w:r>
        <w:rPr>
          <w:rFonts w:ascii="Times New Roman" w:hAnsi="Times New Roman"/>
          <w:sz w:val="20"/>
          <w:u w:val="single"/>
        </w:rPr>
        <w:t>Section 3.06</w:t>
      </w:r>
      <w:r>
        <w:rPr>
          <w:rFonts w:ascii="Times New Roman" w:hAnsi="Times New Roman"/>
          <w:sz w:val="20"/>
        </w:rPr>
        <w:t xml:space="preserve"> in exchange for or in lieu of a mutilated, destroyed, lost or stolen Security shall be deemed to evidence the same debt as the mutilated, destroyed, lost or stolen Security. </w:t>
      </w:r>
    </w:p>
    <w:p>
      <w:pPr>
        <w:pStyle w:val="TextBody"/>
        <w:bidi w:val="0"/>
        <w:spacing w:before="240" w:after="0"/>
        <w:jc w:val="left"/>
        <w:rPr/>
      </w:pPr>
      <w:r>
        <w:rPr/>
        <w:t>“</w:t>
      </w:r>
      <w:r>
        <w:rPr>
          <w:rFonts w:ascii="Times New Roman" w:hAnsi="Times New Roman"/>
          <w:b/>
          <w:sz w:val="20"/>
        </w:rPr>
        <w:t>Redemption Date</w:t>
      </w:r>
      <w:r>
        <w:rPr>
          <w:rFonts w:ascii="Times New Roman" w:hAnsi="Times New Roman"/>
          <w:sz w:val="20"/>
        </w:rPr>
        <w:t xml:space="preserve">”, when used with respect to any Security to be redeemed, means the date fixed for such redemption by or pursuant to this Indenture. </w:t>
      </w:r>
    </w:p>
    <w:p>
      <w:pPr>
        <w:pStyle w:val="TextBody"/>
        <w:bidi w:val="0"/>
        <w:spacing w:before="240" w:after="0"/>
        <w:jc w:val="left"/>
        <w:rPr/>
      </w:pPr>
      <w:r>
        <w:rPr/>
        <w:t>“</w:t>
      </w:r>
      <w:r>
        <w:rPr>
          <w:rFonts w:ascii="Times New Roman" w:hAnsi="Times New Roman"/>
          <w:b/>
          <w:sz w:val="20"/>
        </w:rPr>
        <w:t>Redemption Price</w:t>
      </w:r>
      <w:r>
        <w:rPr>
          <w:rFonts w:ascii="Times New Roman" w:hAnsi="Times New Roman"/>
          <w:sz w:val="20"/>
        </w:rPr>
        <w:t xml:space="preserve">”, when used with respect to any Security to be redeemed, means the price at which it is to be redeemed pursuant to this Indenture. </w:t>
      </w:r>
    </w:p>
    <w:p>
      <w:pPr>
        <w:pStyle w:val="TextBody"/>
        <w:bidi w:val="0"/>
        <w:spacing w:before="240" w:after="0"/>
        <w:jc w:val="left"/>
        <w:rPr/>
      </w:pPr>
      <w:r>
        <w:rPr/>
        <w:t>“</w:t>
      </w:r>
      <w:r>
        <w:rPr>
          <w:rFonts w:ascii="Times New Roman" w:hAnsi="Times New Roman"/>
          <w:b/>
          <w:sz w:val="20"/>
        </w:rPr>
        <w:t>Regular Record Date</w:t>
      </w:r>
      <w:r>
        <w:rPr>
          <w:rFonts w:ascii="Times New Roman" w:hAnsi="Times New Roman"/>
          <w:sz w:val="20"/>
        </w:rPr>
        <w:t xml:space="preserve">” for the interest payable on any Interest Payment Date on the Securities of any series means the date specified for that purpose as contemplated by </w:t>
      </w:r>
      <w:r>
        <w:rPr>
          <w:rFonts w:ascii="Times New Roman" w:hAnsi="Times New Roman"/>
          <w:sz w:val="20"/>
          <w:u w:val="single"/>
        </w:rPr>
        <w:t>Section 3.01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Responsible Officer</w:t>
      </w:r>
      <w:r>
        <w:rPr>
          <w:rFonts w:ascii="Times New Roman" w:hAnsi="Times New Roman"/>
          <w:sz w:val="20"/>
        </w:rPr>
        <w:t xml:space="preserve">”, when used with respect to the Trustee, means the chairman or any vice-chairman of the board of directors, the chairman or any vice-chairman of the executive committee of the board of directors, the chairman of the trust committee, the president, any Vice President, the secretary, any assistant secretary, the treasurer, any assistant treasurer, the cashier, any assistant cashier, any trust officer or assistant trust officer, the controller or any assistant controller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 and who shall have direct responsibility for the administration of this Indenture. </w:t>
      </w:r>
    </w:p>
    <w:p>
      <w:pPr>
        <w:pStyle w:val="TextBody"/>
        <w:bidi w:val="0"/>
        <w:spacing w:before="240" w:after="0"/>
        <w:jc w:val="left"/>
        <w:rPr/>
      </w:pPr>
      <w:r>
        <w:rPr/>
        <w:t>“</w:t>
      </w:r>
      <w:r>
        <w:rPr>
          <w:rFonts w:ascii="Times New Roman" w:hAnsi="Times New Roman"/>
          <w:b/>
          <w:sz w:val="20"/>
        </w:rPr>
        <w:t>Securities</w:t>
      </w:r>
      <w:r>
        <w:rPr>
          <w:rFonts w:ascii="Times New Roman" w:hAnsi="Times New Roman"/>
          <w:sz w:val="20"/>
        </w:rPr>
        <w:t xml:space="preserve">” has the meaning stated in the first recital of this Indenture and more particularly means any Securities authenticated and delivered under this Indenture.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and any statute successor thereto, in each case as amended from time to time. </w:t>
      </w:r>
    </w:p>
    <w:p>
      <w:pPr>
        <w:pStyle w:val="TextBody"/>
        <w:bidi w:val="0"/>
        <w:spacing w:before="240" w:after="0"/>
        <w:jc w:val="left"/>
        <w:rPr/>
      </w:pPr>
      <w:r>
        <w:rPr/>
        <w:t>“</w:t>
      </w:r>
      <w:r>
        <w:rPr>
          <w:rFonts w:ascii="Times New Roman" w:hAnsi="Times New Roman"/>
          <w:b/>
          <w:sz w:val="20"/>
        </w:rPr>
        <w:t>Security Register</w:t>
      </w:r>
      <w:r>
        <w:rPr>
          <w:rFonts w:ascii="Times New Roman" w:hAnsi="Times New Roman"/>
          <w:sz w:val="20"/>
        </w:rPr>
        <w:t>” and “</w:t>
      </w:r>
      <w:r>
        <w:rPr>
          <w:rFonts w:ascii="Times New Roman" w:hAnsi="Times New Roman"/>
          <w:b/>
          <w:sz w:val="20"/>
        </w:rPr>
        <w:t>Security Registrar</w:t>
      </w:r>
      <w:r>
        <w:rPr>
          <w:rFonts w:ascii="Times New Roman" w:hAnsi="Times New Roman"/>
          <w:sz w:val="20"/>
        </w:rPr>
        <w:t xml:space="preserve">” have the respective meanings specified in </w:t>
      </w:r>
      <w:r>
        <w:rPr>
          <w:rFonts w:ascii="Times New Roman" w:hAnsi="Times New Roman"/>
          <w:sz w:val="20"/>
          <w:u w:val="single"/>
        </w:rPr>
        <w:t>Section 3.05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Special Record Date</w:t>
      </w:r>
      <w:r>
        <w:rPr>
          <w:rFonts w:ascii="Times New Roman" w:hAnsi="Times New Roman"/>
          <w:sz w:val="20"/>
        </w:rPr>
        <w:t xml:space="preserve">” for the payment of any Defaulted Interest means a date fixed by the Trustee pursuant to </w:t>
      </w:r>
      <w:r>
        <w:rPr>
          <w:rFonts w:ascii="Times New Roman" w:hAnsi="Times New Roman"/>
          <w:sz w:val="20"/>
          <w:u w:val="single"/>
        </w:rPr>
        <w:t>Section 3.07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Stated Maturity</w:t>
      </w:r>
      <w:r>
        <w:rPr>
          <w:rFonts w:ascii="Times New Roman" w:hAnsi="Times New Roman"/>
          <w:sz w:val="20"/>
        </w:rPr>
        <w:t xml:space="preserve">”, when used with respect to any Security or any installment of principal thereof or interest thereon, means the date specified in such Security as the fixed date on which the principal of such Security or such installment of principal or interest is due and payable.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any Person a majority of the combined voting power of the total outstanding ownership interests in which is, at the time of determination, beneficially owned or held, directly or indirectly, by the Company or one or more other Subsidiaries. For this purpose, “voting power” means power to vote in an ordinary election of directors (or, in the case of a Person that is not a corporation, ordinarily to appoint or approve the appointment of Persons holding similar positions), whether at all times or only as long as no senior class of ownership interests has such voting power by reason of any contingency. </w:t>
      </w:r>
    </w:p>
    <w:p>
      <w:pPr>
        <w:pStyle w:val="TextBody"/>
        <w:bidi w:val="0"/>
        <w:spacing w:before="240" w:after="0"/>
        <w:jc w:val="left"/>
        <w:rPr/>
      </w:pPr>
      <w:r>
        <w:rPr/>
        <w:t>“</w:t>
      </w:r>
      <w:r>
        <w:rPr>
          <w:rFonts w:ascii="Times New Roman" w:hAnsi="Times New Roman"/>
          <w:b/>
          <w:sz w:val="20"/>
        </w:rPr>
        <w:t>Trust Indenture Act</w:t>
      </w:r>
      <w:r>
        <w:rPr>
          <w:rFonts w:ascii="Times New Roman" w:hAnsi="Times New Roman"/>
          <w:sz w:val="20"/>
        </w:rPr>
        <w:t xml:space="preserve">” means the Trust Indenture Act of 1939 as in force at the date as of which this Indenture was executed, except as otherwise provided in </w:t>
      </w:r>
      <w:r>
        <w:rPr>
          <w:rFonts w:ascii="Times New Roman" w:hAnsi="Times New Roman"/>
          <w:sz w:val="20"/>
          <w:u w:val="single"/>
        </w:rPr>
        <w:t>Section 9.05</w:t>
      </w:r>
      <w:r>
        <w:rPr>
          <w:rFonts w:ascii="Times New Roman" w:hAnsi="Times New Roman"/>
          <w:sz w:val="20"/>
        </w:rPr>
        <w:t xml:space="preserve">; provided, however, that in the event the Trust Indenture Act of 1939 is amended after such date, “Trust Indenture Act” means, to the extent required by any such amendment, the Trust Indenture Act of 1939 as so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Trustee</w:t>
      </w:r>
      <w:r>
        <w:rPr>
          <w:rFonts w:ascii="Times New Roman" w:hAnsi="Times New Roman"/>
          <w:sz w:val="20"/>
        </w:rPr>
        <w:t xml:space="preserve">” means the Person named as the “Trustee” in the first paragraph of this Indenture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 </w:t>
      </w:r>
    </w:p>
    <w:p>
      <w:pPr>
        <w:pStyle w:val="TextBody"/>
        <w:bidi w:val="0"/>
        <w:spacing w:before="240" w:after="0"/>
        <w:jc w:val="left"/>
        <w:rPr/>
      </w:pPr>
      <w:r>
        <w:rPr/>
        <w:t>“</w:t>
      </w:r>
      <w:r>
        <w:rPr>
          <w:rFonts w:ascii="Times New Roman" w:hAnsi="Times New Roman"/>
          <w:b/>
          <w:sz w:val="20"/>
        </w:rPr>
        <w:t>U.S. Government Obligation</w:t>
      </w:r>
      <w:r>
        <w:rPr>
          <w:rFonts w:ascii="Times New Roman" w:hAnsi="Times New Roman"/>
          <w:sz w:val="20"/>
        </w:rPr>
        <w:t xml:space="preserve">” has the meaning specified in </w:t>
      </w:r>
      <w:r>
        <w:rPr>
          <w:rFonts w:ascii="Times New Roman" w:hAnsi="Times New Roman"/>
          <w:sz w:val="20"/>
          <w:u w:val="single"/>
        </w:rPr>
        <w:t>Section 13.04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Vice President</w:t>
      </w:r>
      <w:r>
        <w:rPr>
          <w:rFonts w:ascii="Times New Roman" w:hAnsi="Times New Roman"/>
          <w:sz w:val="20"/>
        </w:rPr>
        <w:t xml:space="preserve">”, when used with respect to the Company or the Trustee, means any vice president, whether or not designated by a number or a word or words added before or after the title “vice president”.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Compliance Certificates and Opinions.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any application or request by the Company to the Trustee to take or refrain from taking any action under any provision of this Indenture, the Company shall furnish to the Trustee such certificates and opinions as may be required under the Trust Indenture Act; provided, however, that no Opinion of Counsel shall be required in connection with (i) the issuance of Securities that are part of any series as to which such an opinion has been furnished and (ii) a request by the Company that the Trustee deliver a notice to Holders under this Indenture where the Trustee receives an Officer’s Certificate with respect to such notice. Each such certificate and opinion shall be given in the form of an Officer’s Certificate, if to be given by an officer of the Company and an Opinion of Counsel, if to be given by counsel, and shall comply with the requirements of the Trust Indenture Act and any other requirements set forth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Every certificate or opinion with respect to compliance with a condition or covenant provided for in this Indenture (except for certificates provided in </w:t>
      </w:r>
      <w:r>
        <w:rPr>
          <w:rFonts w:ascii="Times New Roman" w:hAnsi="Times New Roman"/>
          <w:sz w:val="20"/>
          <w:u w:val="single"/>
        </w:rPr>
        <w:t>Section 10.04</w:t>
      </w:r>
      <w:r>
        <w:rPr>
          <w:rFonts w:ascii="Times New Roman" w:hAnsi="Times New Roman"/>
          <w:sz w:val="20"/>
        </w:rPr>
        <w:t xml:space="preserve">) shall include: </w:t>
      </w:r>
    </w:p>
    <w:p>
      <w:pPr>
        <w:pStyle w:val="TextBody"/>
        <w:bidi w:val="0"/>
        <w:spacing w:before="120" w:after="0"/>
        <w:jc w:val="left"/>
        <w:rPr>
          <w:rFonts w:ascii="Times New Roman" w:hAnsi="Times New Roman"/>
          <w:sz w:val="20"/>
        </w:rPr>
      </w:pPr>
      <w:r>
        <w:rPr>
          <w:rFonts w:ascii="Times New Roman" w:hAnsi="Times New Roman"/>
          <w:sz w:val="20"/>
        </w:rPr>
        <w:t xml:space="preserve">(a) a statement that each individual signing such certificate or opinion has read such covenant or condition and the definitions herein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(b) a brief statement as to the nature and scope of the examination or investigation upon which the statements or opinions contained in such certificate or opinion are based; </w:t>
      </w:r>
    </w:p>
    <w:p>
      <w:pPr>
        <w:pStyle w:val="TextBody"/>
        <w:bidi w:val="0"/>
        <w:spacing w:before="240" w:after="0"/>
        <w:jc w:val="left"/>
        <w:rPr>
          <w:rFonts w:ascii="Times New Roman" w:hAnsi="Times New Roman"/>
          <w:sz w:val="20"/>
        </w:rPr>
      </w:pPr>
      <w:r>
        <w:rPr>
          <w:rFonts w:ascii="Times New Roman" w:hAnsi="Times New Roman"/>
          <w:sz w:val="20"/>
        </w:rPr>
        <w:t xml:space="preserve">(c) a statement that, in the opinion of each such individual, he or she has made such examination or investigation as is necessary to enable him or her to express an informed opinion as to whether or not such covenant or condition has been complied with; and </w:t>
      </w:r>
    </w:p>
    <w:p>
      <w:pPr>
        <w:pStyle w:val="TextBody"/>
        <w:bidi w:val="0"/>
        <w:spacing w:before="240" w:after="0"/>
        <w:jc w:val="left"/>
        <w:rPr>
          <w:rFonts w:ascii="Times New Roman" w:hAnsi="Times New Roman"/>
          <w:sz w:val="20"/>
        </w:rPr>
      </w:pPr>
      <w:r>
        <w:rPr>
          <w:rFonts w:ascii="Times New Roman" w:hAnsi="Times New Roman"/>
          <w:sz w:val="20"/>
        </w:rPr>
        <w:t xml:space="preserve">(d) a statement as to whether, in the opinion of each such individual,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Form of Documents Delivered to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of Counsel or representations with respect to such matters are erroneous. Counsel delivering an Opinion of Counsel may also rely as to factual matters on certificates of governmental or other officials customary for opinions of the type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 any Person is required to make, give or execute two or more applications, requests, consents, certificates, statements, opinions or other instruments under this Indenture, they may, but need not, be consolidated and form one instrument.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Acts of Holders; Record 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w:t>
      </w:r>
      <w:r>
        <w:rPr>
          <w:rFonts w:ascii="Times New Roman" w:hAnsi="Times New Roman"/>
          <w:b/>
          <w:sz w:val="20"/>
        </w:rPr>
        <w:t>Act</w:t>
      </w:r>
      <w:r>
        <w:rPr>
          <w:rFonts w:ascii="Times New Roman" w:hAnsi="Times New Roman"/>
          <w:sz w:val="20"/>
        </w:rPr>
        <w:t xml:space="preserve">” of the Holders signing such instrument or instruments. Proof of execution of any such instrument or of a writing appointing any such agent shall be sufficient for any purpose of this Indenture and (subject to </w:t>
      </w:r>
      <w:r>
        <w:rPr>
          <w:rFonts w:ascii="Times New Roman" w:hAnsi="Times New Roman"/>
          <w:sz w:val="20"/>
          <w:u w:val="single"/>
        </w:rPr>
        <w:t>Section 6.01</w:t>
      </w:r>
      <w:r>
        <w:rPr>
          <w:rFonts w:ascii="Times New Roman" w:hAnsi="Times New Roman"/>
          <w:sz w:val="20"/>
        </w:rPr>
        <w:t xml:space="preserve">) conclusive in favor of the Trustee and the Company, if made in the manner provided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generality of the foregoing, a Holder, including a Depositary that is a Holder of a Global Security, may make, give or take, by a proxy or proxies, duly appointed in writing, any request, demand, authorization, direction, notice, consent, waiver or other action provided in this Indenture to be made, given or taken by Holders, and a Depositary that is a Holder of a Global Security may provide its proxy or proxies to the beneficial owners of interests in any such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 </w:t>
      </w:r>
    </w:p>
    <w:p>
      <w:pPr>
        <w:pStyle w:val="TextBody"/>
        <w:bidi w:val="0"/>
        <w:spacing w:before="240" w:after="0"/>
        <w:jc w:val="left"/>
        <w:rPr>
          <w:rFonts w:ascii="Times New Roman" w:hAnsi="Times New Roman"/>
          <w:sz w:val="20"/>
        </w:rPr>
      </w:pPr>
      <w:r>
        <w:rPr>
          <w:rFonts w:ascii="Times New Roman" w:hAnsi="Times New Roman"/>
          <w:sz w:val="20"/>
        </w:rPr>
        <w:t xml:space="preserve">The ownership, principal amount and serial numbers of Securities held by any Person, and the date of commencement of such Person’s holding the same, shall be proved by the Security Register. </w:t>
      </w:r>
    </w:p>
    <w:p>
      <w:pPr>
        <w:pStyle w:val="TextBody"/>
        <w:bidi w:val="0"/>
        <w:spacing w:before="240" w:after="0"/>
        <w:jc w:val="left"/>
        <w:rPr>
          <w:rFonts w:ascii="Times New Roman" w:hAnsi="Times New Roman"/>
          <w:sz w:val="20"/>
        </w:rPr>
      </w:pPr>
      <w:r>
        <w:rPr>
          <w:rFonts w:ascii="Times New Roman" w:hAnsi="Times New Roman"/>
          <w:sz w:val="20"/>
        </w:rPr>
        <w:t xml:space="preserve">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set any day as a record date for the purpose of determining the Holders of Outstanding Securities of any series entitled to give, make or take any request, demand, authorization, direction, notice, consent, waiver or other action provided or permitted by this Indenture to be given, made or taken by Holders of Securities of such series, but the Company shall have no obligation to do so; provided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w:t>
      </w:r>
      <w:r>
        <w:rPr>
          <w:rFonts w:ascii="Times New Roman" w:hAnsi="Times New Roman"/>
          <w:sz w:val="20"/>
          <w:u w:val="single"/>
        </w:rPr>
        <w:t>Section 1.05</w:t>
      </w:r>
      <w:r>
        <w:rPr>
          <w:rFonts w:ascii="Times New Roman" w:hAnsi="Times New Roman"/>
          <w:sz w:val="20"/>
        </w:rPr>
        <w:t xml:space="preserve"> or </w:t>
      </w:r>
      <w:r>
        <w:rPr>
          <w:rFonts w:ascii="Times New Roman" w:hAnsi="Times New Roman"/>
          <w:sz w:val="20"/>
          <w:u w:val="single"/>
        </w:rPr>
        <w:t>Section 1.06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may set any day as a record date for the purpose of determining the Holders of Outstanding Securities of any series entitled to join in the giving or making of (i) any Notice of Default, (ii) any declaration of acceleration referred to in </w:t>
      </w:r>
      <w:r>
        <w:rPr>
          <w:rFonts w:ascii="Times New Roman" w:hAnsi="Times New Roman"/>
          <w:sz w:val="20"/>
          <w:u w:val="single"/>
        </w:rPr>
        <w:t>Section 5.02</w:t>
      </w:r>
      <w:r>
        <w:rPr>
          <w:rFonts w:ascii="Times New Roman" w:hAnsi="Times New Roman"/>
          <w:sz w:val="20"/>
        </w:rPr>
        <w:t xml:space="preserve">, (iii) any request to institute proceedings referred to in </w:t>
      </w:r>
      <w:r>
        <w:rPr>
          <w:rFonts w:ascii="Times New Roman" w:hAnsi="Times New Roman"/>
          <w:sz w:val="20"/>
          <w:u w:val="single"/>
        </w:rPr>
        <w:t>Section 5.07(b)</w:t>
      </w:r>
      <w:r>
        <w:rPr>
          <w:rFonts w:ascii="Times New Roman" w:hAnsi="Times New Roman"/>
          <w:sz w:val="20"/>
        </w:rPr>
        <w:t xml:space="preserve"> or (iv) any direction referred to in </w:t>
      </w:r>
      <w:r>
        <w:rPr>
          <w:rFonts w:ascii="Times New Roman" w:hAnsi="Times New Roman"/>
          <w:sz w:val="20"/>
          <w:u w:val="single"/>
        </w:rPr>
        <w:t>Section 5.12</w:t>
      </w:r>
      <w:r>
        <w:rPr>
          <w:rFonts w:ascii="Times New Roman" w:hAnsi="Times New Roman"/>
          <w:sz w:val="20"/>
        </w:rPr>
        <w:t xml:space="preserve">,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w:t>
      </w:r>
      <w:r>
        <w:rPr>
          <w:rFonts w:ascii="Times New Roman" w:hAnsi="Times New Roman"/>
          <w:sz w:val="20"/>
          <w:u w:val="single"/>
        </w:rPr>
        <w:t>Section 1.05</w:t>
      </w:r>
      <w:r>
        <w:rPr>
          <w:rFonts w:ascii="Times New Roman" w:hAnsi="Times New Roman"/>
          <w:sz w:val="20"/>
        </w:rPr>
        <w:t xml:space="preserve"> or </w:t>
      </w:r>
      <w:r>
        <w:rPr>
          <w:rFonts w:ascii="Times New Roman" w:hAnsi="Times New Roman"/>
          <w:sz w:val="20"/>
          <w:u w:val="single"/>
        </w:rPr>
        <w:t>Section 1.06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With respect to any record date set pursuant to this Section, the party hereto which sets such record date may designate any day as the “</w:t>
      </w:r>
      <w:r>
        <w:rPr>
          <w:rFonts w:ascii="Times New Roman" w:hAnsi="Times New Roman"/>
          <w:b/>
          <w:sz w:val="20"/>
        </w:rPr>
        <w:t>Expiration Date</w:t>
      </w:r>
      <w:r>
        <w:rPr>
          <w:rFonts w:ascii="Times New Roman" w:hAnsi="Times New Roman"/>
          <w:sz w:val="20"/>
        </w:rPr>
        <w:t xml:space="preserve">” and from time to time may change the Expiration Date to any earlier or later day; provided that no such change shall be effective unless notice of the proposed new Expiration Date is given to the other party hereto in writing, and to each Holder of Securities of the relevant series in the manner set forth in </w:t>
      </w:r>
      <w:r>
        <w:rPr>
          <w:rFonts w:ascii="Times New Roman" w:hAnsi="Times New Roman"/>
          <w:sz w:val="20"/>
          <w:u w:val="single"/>
        </w:rPr>
        <w:t>Section 1.06</w:t>
      </w:r>
      <w:r>
        <w:rPr>
          <w:rFonts w:ascii="Times New Roman" w:hAnsi="Times New Roman"/>
          <w:sz w:val="20"/>
        </w:rPr>
        <w:t xml:space="preserve">, on or prior to the then existing Expiration Date. If an Expiration Date is not designated with respect to any record date set pursuant to this Section, the party hereto which set such record date shall be deemed to have initially designated the 180th day following such record date as the Expiration Date with respect thereto, subject to its right to change the Expiration Date as provided in this paragraph. Notwithstanding the foregoing, no Expiration Date shall be later than the 180th day following the applicable record date.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Notices, Etc., to Trustee and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request, demand, authorization, direction, notice, consent, waiver or Act of Holders or other document provided or permitted by this Indenture to be made upon, given or furnished to, or filed with: </w:t>
      </w:r>
    </w:p>
    <w:p>
      <w:pPr>
        <w:pStyle w:val="TextBody"/>
        <w:bidi w:val="0"/>
        <w:spacing w:before="120" w:after="0"/>
        <w:jc w:val="left"/>
        <w:rPr>
          <w:rFonts w:ascii="Times New Roman" w:hAnsi="Times New Roman"/>
          <w:sz w:val="20"/>
        </w:rPr>
      </w:pPr>
      <w:r>
        <w:rPr>
          <w:rFonts w:ascii="Times New Roman" w:hAnsi="Times New Roman"/>
          <w:sz w:val="20"/>
        </w:rPr>
        <w:t xml:space="preserve">(1) the Trustee by any Holder or by the Company shall be sufficient for every purpose hereunder if made, given, furnished or filed in writing (which may be by facsimile or electronic transmission) to or with the Trustee at its Corporate Trust Office at the location specified in </w:t>
      </w:r>
      <w:r>
        <w:rPr>
          <w:rFonts w:ascii="Times New Roman" w:hAnsi="Times New Roman"/>
          <w:sz w:val="20"/>
          <w:u w:val="single"/>
        </w:rPr>
        <w:t>Section 1.01</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(2) the Company by the Trustee or by any Holder shall be sufficient for every purpose hereunder (unless otherwise herein expressly provided) if in writing and mailed, first-class postage prepaid, to the Company at the address of the Company’s principal office specified in writing to the Trustee, which shall be, until further notice: </w:t>
      </w:r>
    </w:p>
    <w:p>
      <w:pPr>
        <w:pStyle w:val="TextBody"/>
        <w:bidi w:val="0"/>
        <w:spacing w:before="120" w:after="0"/>
        <w:jc w:val="left"/>
        <w:rPr>
          <w:rFonts w:ascii="Times New Roman" w:hAnsi="Times New Roman"/>
          <w:sz w:val="20"/>
        </w:rPr>
      </w:pPr>
      <w:r>
        <w:rPr>
          <w:rFonts w:ascii="Times New Roman" w:hAnsi="Times New Roman"/>
          <w:sz w:val="20"/>
        </w:rPr>
        <w:t xml:space="preserve">Invivyd, Inc. </w:t>
      </w:r>
    </w:p>
    <w:p>
      <w:pPr>
        <w:pStyle w:val="TextBody"/>
        <w:bidi w:val="0"/>
        <w:spacing w:before="0" w:after="0"/>
        <w:jc w:val="left"/>
        <w:rPr>
          <w:rFonts w:ascii="Times New Roman" w:hAnsi="Times New Roman"/>
          <w:sz w:val="20"/>
        </w:rPr>
      </w:pPr>
      <w:r>
        <w:rPr>
          <w:rFonts w:ascii="Times New Roman" w:hAnsi="Times New Roman"/>
          <w:sz w:val="20"/>
        </w:rPr>
        <w:t xml:space="preserve">209 Church Street </w:t>
      </w:r>
    </w:p>
    <w:p>
      <w:pPr>
        <w:pStyle w:val="TextBody"/>
        <w:bidi w:val="0"/>
        <w:spacing w:before="0" w:after="0"/>
        <w:jc w:val="left"/>
        <w:rPr>
          <w:rFonts w:ascii="Times New Roman" w:hAnsi="Times New Roman"/>
          <w:sz w:val="20"/>
        </w:rPr>
      </w:pPr>
      <w:r>
        <w:rPr>
          <w:rFonts w:ascii="Times New Roman" w:hAnsi="Times New Roman"/>
          <w:sz w:val="20"/>
        </w:rPr>
        <w:t xml:space="preserve">New Haven, CT 06510 </w:t>
      </w:r>
    </w:p>
    <w:p>
      <w:pPr>
        <w:pStyle w:val="TextBody"/>
        <w:bidi w:val="0"/>
        <w:spacing w:before="0" w:after="0"/>
        <w:jc w:val="left"/>
        <w:rPr>
          <w:rFonts w:ascii="Times New Roman" w:hAnsi="Times New Roman"/>
          <w:sz w:val="20"/>
        </w:rPr>
      </w:pPr>
      <w:r>
        <w:rPr>
          <w:rFonts w:ascii="Times New Roman" w:hAnsi="Times New Roman"/>
          <w:sz w:val="20"/>
        </w:rPr>
        <w:t xml:space="preserve">Attn: Chief Financial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Copy to: </w:t>
      </w:r>
    </w:p>
    <w:p>
      <w:pPr>
        <w:pStyle w:val="TextBody"/>
        <w:bidi w:val="0"/>
        <w:spacing w:before="120" w:after="0"/>
        <w:jc w:val="left"/>
        <w:rPr>
          <w:rFonts w:ascii="Times New Roman" w:hAnsi="Times New Roman"/>
          <w:sz w:val="20"/>
        </w:rPr>
      </w:pPr>
      <w:r>
        <w:rPr>
          <w:rFonts w:ascii="Times New Roman" w:hAnsi="Times New Roman"/>
          <w:sz w:val="20"/>
        </w:rPr>
        <w:t xml:space="preserve">Hogan Lovells US LLP </w:t>
      </w:r>
    </w:p>
    <w:p>
      <w:pPr>
        <w:pStyle w:val="TextBody"/>
        <w:bidi w:val="0"/>
        <w:spacing w:before="0" w:after="0"/>
        <w:jc w:val="left"/>
        <w:rPr>
          <w:rFonts w:ascii="Times New Roman" w:hAnsi="Times New Roman"/>
          <w:sz w:val="20"/>
        </w:rPr>
      </w:pPr>
      <w:r>
        <w:rPr>
          <w:rFonts w:ascii="Times New Roman" w:hAnsi="Times New Roman"/>
          <w:sz w:val="20"/>
        </w:rPr>
        <w:t xml:space="preserve">1735 Market Street, 23rd Floor </w:t>
      </w:r>
    </w:p>
    <w:p>
      <w:pPr>
        <w:pStyle w:val="TextBody"/>
        <w:bidi w:val="0"/>
        <w:spacing w:before="0" w:after="0"/>
        <w:jc w:val="left"/>
        <w:rPr>
          <w:rFonts w:ascii="Times New Roman" w:hAnsi="Times New Roman"/>
          <w:sz w:val="20"/>
        </w:rPr>
      </w:pPr>
      <w:r>
        <w:rPr>
          <w:rFonts w:ascii="Times New Roman" w:hAnsi="Times New Roman"/>
          <w:sz w:val="20"/>
        </w:rPr>
        <w:t xml:space="preserve">Philadelphia, PA 19103-2799 </w:t>
      </w:r>
    </w:p>
    <w:p>
      <w:pPr>
        <w:pStyle w:val="TextBody"/>
        <w:bidi w:val="0"/>
        <w:spacing w:before="0" w:after="0"/>
        <w:jc w:val="left"/>
        <w:rPr>
          <w:rFonts w:ascii="Times New Roman" w:hAnsi="Times New Roman"/>
          <w:sz w:val="20"/>
        </w:rPr>
      </w:pPr>
      <w:r>
        <w:rPr>
          <w:rFonts w:ascii="Times New Roman" w:hAnsi="Times New Roman"/>
          <w:sz w:val="20"/>
        </w:rPr>
        <w:t xml:space="preserve">Fax: (267) 675-4601 </w:t>
      </w:r>
    </w:p>
    <w:p>
      <w:pPr>
        <w:pStyle w:val="TextBody"/>
        <w:bidi w:val="0"/>
        <w:spacing w:before="0" w:after="0"/>
        <w:jc w:val="left"/>
        <w:rPr>
          <w:rFonts w:ascii="Times New Roman" w:hAnsi="Times New Roman"/>
          <w:sz w:val="20"/>
        </w:rPr>
      </w:pPr>
      <w:r>
        <w:rPr>
          <w:rFonts w:ascii="Times New Roman" w:hAnsi="Times New Roman"/>
          <w:sz w:val="20"/>
        </w:rPr>
        <w:t xml:space="preserve">Attention: Steven J. Abrams, Esq.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foregoing, the Trustee agrees to accept and act upon notices, instructions or directions pursuant to this Indenture sent by unsecured e-mail, facsimile transmission or other similar unsecured electronic methods. If the party elects to give the Trustee e-mail or facsimile notices, instructions or directions (or notices, instructions or directions by a similar electronic method) and the Trustee acts upon such notices, instructions or directions, the Trustee’s understanding of such notices, instructions or directions shall be deemed controlling. The Trustee shall not be liable for any losses, costs or expenses arising directly or indirectly from the Trustee’s reliance upon and compliance with such notices, instructions or directions notwithstanding such notices, instructions or directions conflict or are inconsistent with a subsequent written notice, instruction or direction. The Company agrees to assume all risks arising out of the use of such electronic methods to submit notices, instructions and directions to the Trustee, including without limitation the risk of the Trustee acting on unauthorized notices, instructions or directions, and the risk or interception and misuse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Notice to Holders;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this Indenture provides for notice to Holders of any event, such notice shall be sufficiently given (unless otherwise herein expressly provided) if in writing and mailed, first-class postage prepaid, to each Holder affected by such event, at its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Any notice when mailed to a Holder in the aforesaid manner shall be conclusively deemed to have been received by such Holder whether or not actually received by such Holder.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 </w:t>
      </w:r>
    </w:p>
    <w:p>
      <w:pPr>
        <w:pStyle w:val="TextBody"/>
        <w:bidi w:val="0"/>
        <w:spacing w:before="240" w:after="0"/>
        <w:jc w:val="left"/>
        <w:rPr>
          <w:rFonts w:ascii="Times New Roman" w:hAnsi="Times New Roman"/>
          <w:sz w:val="20"/>
        </w:rPr>
      </w:pPr>
      <w:r>
        <w:rPr>
          <w:rFonts w:ascii="Times New Roman" w:hAnsi="Times New Roman"/>
          <w:sz w:val="20"/>
        </w:rPr>
        <w:t xml:space="preserve">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 </w:t>
      </w:r>
    </w:p>
    <w:p>
      <w:pPr>
        <w:pStyle w:val="TextBody"/>
        <w:bidi w:val="0"/>
        <w:spacing w:before="240" w:after="0"/>
        <w:jc w:val="left"/>
        <w:rPr>
          <w:rFonts w:ascii="Times New Roman" w:hAnsi="Times New Roman"/>
          <w:sz w:val="20"/>
        </w:rPr>
      </w:pPr>
      <w:r>
        <w:rPr>
          <w:rFonts w:ascii="Times New Roman" w:hAnsi="Times New Roman"/>
          <w:sz w:val="20"/>
        </w:rPr>
        <w:t xml:space="preserve">Where this Indenture provides for notice of any event to a Holder of a Global Security, such notice shall be sufficiently given if given to the Depositary for such Security (or its designee), pursuant to the Applicable Procedures of the Depositary, not later than the latest date, if any, and not earlier than the earliest date, if any, prescribed for the giving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Conflict with 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is subject to the provisions of the Trust Indenture Act that are required to be a part of this Indenture and, to the extent applicable, shall be governed by such provisions. If any provision hereof limits, qualifies or conflicts with a provision of the Trust Indenture Act or with another provision hereof which is required under the Trust Indenture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excluded,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Effect of Headings and Table of Contents.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Article and Section headings herein and the Table of Contents are for convenience only and shall not affect the construction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Successors and Assigns.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covenants and agreements in this Indenture by the Company shall bind its successors and assigns, whether so expressed or not. All agreements of the Trustee in this Indenture shall bind its successors and assigns, whether so expressed or not. </w:t>
      </w:r>
    </w:p>
    <w:p>
      <w:pPr>
        <w:pStyle w:val="TextBody"/>
        <w:bidi w:val="0"/>
        <w:spacing w:before="240" w:after="0"/>
        <w:jc w:val="left"/>
        <w:rPr>
          <w:rFonts w:ascii="Times New Roman" w:hAnsi="Times New Roman"/>
          <w:sz w:val="20"/>
        </w:rPr>
      </w:pPr>
      <w:r>
        <w:rPr>
          <w:rFonts w:ascii="Times New Roman" w:hAnsi="Times New Roman"/>
          <w:sz w:val="20"/>
        </w:rPr>
        <w:t xml:space="preserve">Section 1.10 </w:t>
      </w:r>
      <w:r>
        <w:rPr>
          <w:rFonts w:ascii="Times New Roman" w:hAnsi="Times New Roman"/>
          <w:sz w:val="20"/>
          <w:u w:val="single"/>
        </w:rPr>
        <w:t>Separability Clause.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provision in this Indenture or in the Securities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Benefits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Indenture or in the Securities, express or implied, shall give to any Person, other than the parties hereto and their successors hereunder and the Holders, any benefit or any legal or equitable right, remedy or claim under this Indenture, except as may otherwise be expressly provided pursuant to </w:t>
      </w:r>
      <w:r>
        <w:rPr>
          <w:rFonts w:ascii="Times New Roman" w:hAnsi="Times New Roman"/>
          <w:sz w:val="20"/>
          <w:u w:val="single"/>
        </w:rPr>
        <w:t>Section 3.01</w:t>
      </w:r>
      <w:r>
        <w:rPr>
          <w:rFonts w:ascii="Times New Roman" w:hAnsi="Times New Roman"/>
          <w:sz w:val="20"/>
        </w:rPr>
        <w:t xml:space="preserve"> with respect to any specific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and the Securities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Legal Holidays.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any case where any Interest Payment Date, Redemption Date or Stated Maturity of any Security, or any date on which a Holder has the right to convert such Holder’s Security,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or the Redemption Price or conversion of such Security, need not be made at such Place of Payment on such date, but may be made on the next succeeding Business Day at such Place of Payment with the same force and effect as if made on the Interest Payment Date or Redemption Date, or at the Stated Maturity, or on such conversion date. No interest shall accrue for the period from and after any such Interest Payment Date, Redemption Date, Stated Maturity or conversion date, as the case may be, to the date of such payment. </w:t>
      </w:r>
    </w:p>
    <w:p>
      <w:pPr>
        <w:pStyle w:val="TextBody"/>
        <w:bidi w:val="0"/>
        <w:spacing w:before="240" w:after="0"/>
        <w:jc w:val="left"/>
        <w:rPr>
          <w:rFonts w:ascii="Times New Roman" w:hAnsi="Times New Roman"/>
          <w:sz w:val="20"/>
        </w:rPr>
      </w:pPr>
      <w:r>
        <w:rPr>
          <w:rFonts w:ascii="Times New Roman" w:hAnsi="Times New Roman"/>
          <w:sz w:val="20"/>
        </w:rPr>
        <w:t xml:space="preserve">Section 1.14 </w:t>
      </w:r>
      <w:r>
        <w:rPr>
          <w:rFonts w:ascii="Times New Roman" w:hAnsi="Times New Roman"/>
          <w:sz w:val="20"/>
          <w:u w:val="single"/>
        </w:rPr>
        <w:t>Incorporators, Equityholders, Directors, Members, Managers, Officers and Employees of the Company Exempt from Individual Liability.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recourse under or upon any obligation, covenant or agreement contained in this Indenture, or in any Security, or because of any indebtedness evidenced thereby, shall be had against any incorporator, as such, or against any past, present or future equityholder, director, member, manager, officer or employee,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1.15 </w:t>
      </w:r>
      <w:r>
        <w:rPr>
          <w:rFonts w:ascii="Times New Roman" w:hAnsi="Times New Roman"/>
          <w:sz w:val="20"/>
          <w:u w:val="single"/>
        </w:rPr>
        <w:t>Counterparts.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be executed in several counterparts, each of which shall be an original and all of which shall constitute but one and the same instrument. Delivery of an executed signature page of this Indenture by facsimile or any other rapid transmission device designed to produce a written record of the communication transmitted shall be as effective as delivery of a manually executed counterpart thereof. The words “execution,” “executed,” “signed,” signature” and words of like import in this Indenture or in any other certificate, agreement or document related to this Indenture shall include images of manually executed signatures transmitted by facsimile,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email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and any other applicable law, including, without limitation, any state law based on the Uniform Electronic Transactions Act or the Uniform Commercial Code. </w:t>
      </w:r>
    </w:p>
    <w:p>
      <w:pPr>
        <w:pStyle w:val="TextBody"/>
        <w:bidi w:val="0"/>
        <w:spacing w:before="240" w:after="0"/>
        <w:jc w:val="left"/>
        <w:rPr>
          <w:rFonts w:ascii="Times New Roman" w:hAnsi="Times New Roman"/>
          <w:sz w:val="20"/>
        </w:rPr>
      </w:pPr>
      <w:r>
        <w:rPr>
          <w:rFonts w:ascii="Times New Roman" w:hAnsi="Times New Roman"/>
          <w:sz w:val="20"/>
        </w:rPr>
        <w:t xml:space="preserve">Section 1.16 </w:t>
      </w:r>
      <w:r>
        <w:rPr>
          <w:rFonts w:ascii="Times New Roman" w:hAnsi="Times New Roman"/>
          <w:sz w:val="20"/>
          <w:u w:val="single"/>
        </w:rPr>
        <w:t xml:space="preserve">WAIVER OF JURY TRIAL. </w:t>
      </w:r>
    </w:p>
    <w:p>
      <w:pPr>
        <w:pStyle w:val="TextBody"/>
        <w:bidi w:val="0"/>
        <w:spacing w:before="240" w:after="0"/>
        <w:jc w:val="left"/>
        <w:rPr>
          <w:rFonts w:ascii="Times New Roman" w:hAnsi="Times New Roman"/>
          <w:sz w:val="20"/>
        </w:rPr>
      </w:pPr>
      <w:r>
        <w:rPr>
          <w:rFonts w:ascii="Times New Roman" w:hAnsi="Times New Roman"/>
          <w:sz w:val="20"/>
        </w:rPr>
        <w:t xml:space="preserve">EACH OF THE COMPANY, THE HOLDERS AND THE TRUSTEE HEREBY IRREVOCABLY WAIVES, TO THE FULLEST EXTENT PERMITTED BY APPLICABLE LAW, ANY AND ALL RIGHT TO TRIAL BY JURY IN ANY LEGAL PROCEEDING AS BETWEEN THE COMPANY AND THE TRUSTEE ONLY ARISING OUT OF OR RELATING TO THIS INDENTURE OR THE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SECURITY FORM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Forms Generally.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each series and the Trustee’s certificate of authentication shall be in substantially the forms set forth in this Article, or in such other form as shall be established by or pursuant to a Board Resolution and, subject to </w:t>
      </w:r>
      <w:r>
        <w:rPr>
          <w:rFonts w:ascii="Times New Roman" w:hAnsi="Times New Roman"/>
          <w:sz w:val="20"/>
          <w:u w:val="single"/>
        </w:rPr>
        <w:t>Section 3.03</w:t>
      </w:r>
      <w:r>
        <w:rPr>
          <w:rFonts w:ascii="Times New Roman" w:hAnsi="Times New Roman"/>
          <w:sz w:val="20"/>
        </w:rPr>
        <w:t xml:space="preserve">, to the extent established in an Officer’s Certificate or Company Order setting forth, or determining the manner of, such establishment,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applicable laws or the rules of any securities exchange or automated quotation system on which the Securities of such series may be listed or traded or of any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w:t>
      </w:r>
      <w:r>
        <w:rPr>
          <w:rFonts w:ascii="Times New Roman" w:hAnsi="Times New Roman"/>
          <w:sz w:val="20"/>
          <w:u w:val="single"/>
        </w:rPr>
        <w:t>Section 3.03</w:t>
      </w:r>
      <w:r>
        <w:rPr>
          <w:rFonts w:ascii="Times New Roman" w:hAnsi="Times New Roman"/>
          <w:sz w:val="20"/>
        </w:rPr>
        <w:t xml:space="preserve"> for the authentication and delivery of such Securities. If all of the Securities of any series established by action taken pursuant to a Board Resolution are not to be issued at one time, it shall not be necessary to deliver a record of such action at the time of issuance of each Security of such series, but an appropriate record of such action shall be delivered at or before the time of issuance of the first Security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definitive Securities shall be printed, lithographed or engraved on steel engraved borders or may be produced in any other manner, all as determined by the officers executing such Securities, as evidenced by their execution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Form of Legend for Global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as contemplated by </w:t>
      </w:r>
      <w:r>
        <w:rPr>
          <w:rFonts w:ascii="Times New Roman" w:hAnsi="Times New Roman"/>
          <w:sz w:val="20"/>
          <w:u w:val="single"/>
        </w:rPr>
        <w:t>Section 3.01</w:t>
      </w:r>
      <w:r>
        <w:rPr>
          <w:rFonts w:ascii="Times New Roman" w:hAnsi="Times New Roman"/>
          <w:sz w:val="20"/>
        </w:rPr>
        <w:t xml:space="preserve"> for the Securities evidenced thereby or as required by Applicable Procedures, every Global Security authenticated and delivered hereunder shall bear a legend in substantially the following form: </w:t>
      </w:r>
    </w:p>
    <w:p>
      <w:pPr>
        <w:pStyle w:val="TextBody"/>
        <w:bidi w:val="0"/>
        <w:spacing w:before="120" w:after="0"/>
        <w:jc w:val="left"/>
        <w:rPr>
          <w:rFonts w:ascii="Times New Roman" w:hAnsi="Times New Roman"/>
          <w:sz w:val="20"/>
        </w:rPr>
      </w:pPr>
      <w:r>
        <w:rPr>
          <w:rFonts w:ascii="Times New Roman" w:hAnsi="Times New Roman"/>
          <w:sz w:val="20"/>
        </w:rPr>
        <w:t>[Insert, if applicable — UNLESS THIS NOTE IS PRESENTED BY AN AUTHORIZED REPRESENTATIVE OF THE DEPOSITORY TRUST COMPANY, A NEW YORK CORPORATION (“</w:t>
      </w:r>
      <w:r>
        <w:rPr>
          <w:rFonts w:ascii="Times New Roman" w:hAnsi="Times New Roman"/>
          <w:b/>
          <w:sz w:val="20"/>
        </w:rPr>
        <w:t>DTC</w:t>
      </w:r>
      <w:r>
        <w:rPr>
          <w:rFonts w:ascii="Times New Roman" w:hAnsi="Times New Roman"/>
          <w:sz w:val="20"/>
        </w:rPr>
        <w:t xml:space="preserve">”),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INDENTURE REFERRED TO ON THE REVERSE HEREOF.] </w:t>
      </w:r>
    </w:p>
    <w:p>
      <w:pPr>
        <w:pStyle w:val="TextBody"/>
        <w:bidi w:val="0"/>
        <w:spacing w:before="240" w:after="0"/>
        <w:jc w:val="left"/>
        <w:rPr>
          <w:rFonts w:ascii="Times New Roman" w:hAnsi="Times New Roman"/>
          <w:sz w:val="20"/>
        </w:rPr>
      </w:pPr>
      <w:r>
        <w:rPr>
          <w:rFonts w:ascii="Times New Roman" w:hAnsi="Times New Roman"/>
          <w:sz w:val="20"/>
        </w:rPr>
        <w:t xml:space="preserve">[Insert, if applicable — 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 EVERY SECURITY AUTHENTICATED AND DELIVERED UPON REGISTRATION OF TRANSFER OF, OR IN EXCHANGE FOR OR IN LIEU OF, THIS SECURITY SHALL BE A GLOBAL SECURITY SUBJECT TO THE FOREGOING, EXCEPT IN SUCH LIMITED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If Securities of a series are issuable in whole or in part in the form of one or more Global Securities, as contemplated by </w:t>
      </w:r>
      <w:r>
        <w:rPr>
          <w:rFonts w:ascii="Times New Roman" w:hAnsi="Times New Roman"/>
          <w:sz w:val="20"/>
          <w:u w:val="single"/>
        </w:rPr>
        <w:t>Section 3.01</w:t>
      </w:r>
      <w:r>
        <w:rPr>
          <w:rFonts w:ascii="Times New Roman" w:hAnsi="Times New Roman"/>
          <w:sz w:val="20"/>
        </w:rPr>
        <w:t xml:space="preserve">, then, notwithstanding Clause (i) of </w:t>
      </w:r>
      <w:r>
        <w:rPr>
          <w:rFonts w:ascii="Times New Roman" w:hAnsi="Times New Roman"/>
          <w:sz w:val="20"/>
          <w:u w:val="single"/>
        </w:rPr>
        <w:t>Section 3.01</w:t>
      </w:r>
      <w:r>
        <w:rPr>
          <w:rFonts w:ascii="Times New Roman" w:hAnsi="Times New Roman"/>
          <w:sz w:val="20"/>
        </w:rPr>
        <w:t xml:space="preserve"> and the provisions of </w:t>
      </w:r>
      <w:r>
        <w:rPr>
          <w:rFonts w:ascii="Times New Roman" w:hAnsi="Times New Roman"/>
          <w:sz w:val="20"/>
          <w:u w:val="single"/>
        </w:rPr>
        <w:t>Section 3.02</w:t>
      </w:r>
      <w:r>
        <w:rPr>
          <w:rFonts w:ascii="Times New Roman" w:hAnsi="Times New Roman"/>
          <w:sz w:val="20"/>
        </w:rPr>
        <w:t xml:space="preserve">, any Global Security shall represent such of the Outstanding Securities of such series as shall be specified therein and may provide that it shall represent the aggregate amount of Outstanding Securities from time to time endorsed thereon and that the aggregate amount of Outstanding Securities represented thereby may from time to time be reduced or increased, as the case may be, to reflect exchanges. Any endorsement of a Global Security to reflect the amount, or any reduction or increase in the amount, of Outstanding Securities represented thereby shall be made in such manner and upon instructions given by such Person or Persons as shall be specified therein or in a Company Order. Subject to the provisions of </w:t>
      </w:r>
      <w:r>
        <w:rPr>
          <w:rFonts w:ascii="Times New Roman" w:hAnsi="Times New Roman"/>
          <w:sz w:val="20"/>
          <w:u w:val="single"/>
        </w:rPr>
        <w:t>Sections 3.03</w:t>
      </w:r>
      <w:r>
        <w:rPr>
          <w:rFonts w:ascii="Times New Roman" w:hAnsi="Times New Roman"/>
          <w:sz w:val="20"/>
        </w:rPr>
        <w:t xml:space="preserve">, </w:t>
      </w:r>
      <w:r>
        <w:rPr>
          <w:rFonts w:ascii="Times New Roman" w:hAnsi="Times New Roman"/>
          <w:sz w:val="20"/>
          <w:u w:val="single"/>
        </w:rPr>
        <w:t>3.04,</w:t>
      </w:r>
      <w:r>
        <w:rPr>
          <w:rFonts w:ascii="Times New Roman" w:hAnsi="Times New Roman"/>
          <w:sz w:val="20"/>
        </w:rPr>
        <w:t xml:space="preserve"> </w:t>
      </w:r>
      <w:r>
        <w:rPr>
          <w:rFonts w:ascii="Times New Roman" w:hAnsi="Times New Roman"/>
          <w:sz w:val="20"/>
          <w:u w:val="single"/>
        </w:rPr>
        <w:t>3.05</w:t>
      </w:r>
      <w:r>
        <w:rPr>
          <w:rFonts w:ascii="Times New Roman" w:hAnsi="Times New Roman"/>
          <w:sz w:val="20"/>
        </w:rPr>
        <w:t xml:space="preserve"> and </w:t>
      </w:r>
      <w:r>
        <w:rPr>
          <w:rFonts w:ascii="Times New Roman" w:hAnsi="Times New Roman"/>
          <w:sz w:val="20"/>
          <w:u w:val="single"/>
        </w:rPr>
        <w:t>3.06</w:t>
      </w:r>
      <w:r>
        <w:rPr>
          <w:rFonts w:ascii="Times New Roman" w:hAnsi="Times New Roman"/>
          <w:sz w:val="20"/>
        </w:rPr>
        <w:t xml:space="preserve">, the Trustee shall deliver and redeliver any Global Security in the manner and upon instructions given by the Person or Persons specified therein or in the applicable Company Order. Any instructions by the Company with respect to endorsement or delivery or redelivery of a Global Security shall be in a Company Order (which need not comply with </w:t>
      </w:r>
      <w:r>
        <w:rPr>
          <w:rFonts w:ascii="Times New Roman" w:hAnsi="Times New Roman"/>
          <w:sz w:val="20"/>
          <w:u w:val="single"/>
        </w:rPr>
        <w:t>Section 1.02</w:t>
      </w:r>
      <w:r>
        <w:rPr>
          <w:rFonts w:ascii="Times New Roman" w:hAnsi="Times New Roman"/>
          <w:sz w:val="20"/>
        </w:rPr>
        <w:t xml:space="preserve"> and need not be accompanied by an Opinion of Counsel).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last sentence of </w:t>
      </w:r>
      <w:r>
        <w:rPr>
          <w:rFonts w:ascii="Times New Roman" w:hAnsi="Times New Roman"/>
          <w:sz w:val="20"/>
          <w:u w:val="single"/>
        </w:rPr>
        <w:t>Section 3.03</w:t>
      </w:r>
      <w:r>
        <w:rPr>
          <w:rFonts w:ascii="Times New Roman" w:hAnsi="Times New Roman"/>
          <w:sz w:val="20"/>
        </w:rPr>
        <w:t xml:space="preserve"> shall apply to any Security represented by a Global Security if such Security was never issued and sold by the Company and the Company delivers to the Trustee the Global Security together with a Company Order (which need not comply with </w:t>
      </w:r>
      <w:r>
        <w:rPr>
          <w:rFonts w:ascii="Times New Roman" w:hAnsi="Times New Roman"/>
          <w:sz w:val="20"/>
          <w:u w:val="single"/>
        </w:rPr>
        <w:t>Section 1.02</w:t>
      </w:r>
      <w:r>
        <w:rPr>
          <w:rFonts w:ascii="Times New Roman" w:hAnsi="Times New Roman"/>
          <w:sz w:val="20"/>
        </w:rPr>
        <w:t xml:space="preserve"> and need not be accompanied by an Opinion of Counsel) with regard to the reduction in the principal amount of Securities represented thereby, together with the written statement contemplated by the last sentence of </w:t>
      </w:r>
      <w:r>
        <w:rPr>
          <w:rFonts w:ascii="Times New Roman" w:hAnsi="Times New Roman"/>
          <w:sz w:val="20"/>
          <w:u w:val="single"/>
        </w:rPr>
        <w:t>Section 3.03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Form of Trustee’s Certificate of Authentication.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Trustee’s certificates of authentication shall be in substantially the following form: </w:t>
      </w:r>
    </w:p>
    <w:p>
      <w:pPr>
        <w:pStyle w:val="TextBody"/>
        <w:bidi w:val="0"/>
        <w:spacing w:before="240" w:after="0"/>
        <w:jc w:val="left"/>
        <w:rPr>
          <w:rFonts w:ascii="Times New Roman" w:hAnsi="Times New Roman"/>
          <w:sz w:val="20"/>
        </w:rPr>
      </w:pPr>
      <w:r>
        <w:rPr>
          <w:rFonts w:ascii="Times New Roman" w:hAnsi="Times New Roman"/>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debt Securities of the series designated herein and referred to in the within-mentioned Indenture.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[        ],</w:t>
            </w:r>
          </w:p>
        </w:tc>
      </w:tr>
      <w:tr>
        <w:trPr/>
        <w:tc>
          <w:tcPr>
            <w:tcW w:w="4082" w:type="dxa"/>
            <w:tcBorders/>
            <w:vAlign w:val="bottom"/>
          </w:tcPr>
          <w:p>
            <w:pPr>
              <w:pStyle w:val="TableContents"/>
              <w:bidi w:val="0"/>
              <w:spacing w:before="0" w:after="283"/>
              <w:jc w:val="left"/>
              <w:rPr>
                <w:i/>
              </w:rPr>
            </w:pPr>
            <w:r>
              <w:rPr>
                <w:i/>
              </w:rPr>
              <w:t>As Trustee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By:</w:t>
            </w:r>
          </w:p>
        </w:tc>
      </w:tr>
      <w:tr>
        <w:trPr/>
        <w:tc>
          <w:tcPr>
            <w:tcW w:w="4082" w:type="dxa"/>
            <w:tcBorders/>
            <w:vAlign w:val="bottom"/>
          </w:tcPr>
          <w:p>
            <w:pPr>
              <w:pStyle w:val="TableContents"/>
              <w:pBdr>
                <w:bottom w:val="single" w:sz="2" w:space="1" w:color="000000"/>
              </w:pBdr>
              <w:bidi w:val="0"/>
              <w:spacing w:before="0" w:after="20"/>
              <w:jc w:val="left"/>
              <w:rPr/>
            </w:pPr>
            <w:r>
              <w:rPr/>
              <w:t> </w:t>
            </w:r>
          </w:p>
        </w:tc>
      </w:tr>
      <w:tr>
        <w:trPr/>
        <w:tc>
          <w:tcPr>
            <w:tcW w:w="4082" w:type="dxa"/>
            <w:tcBorders/>
            <w:vAlign w:val="bottom"/>
          </w:tcPr>
          <w:p>
            <w:pPr>
              <w:pStyle w:val="TableContents"/>
              <w:bidi w:val="0"/>
              <w:spacing w:before="0" w:after="283"/>
              <w:jc w:val="left"/>
              <w:rPr>
                <w:i/>
              </w:rPr>
            </w:pPr>
            <w:r>
              <w:rPr>
                <w:i/>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Amount Unlimited; Issuable in Series.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principal amount of Securities that may be authenticated and delivered under this Indenture is unlimited.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issued in one or more series. There shall be established in or pursuant to a Board Resolution and, subject to </w:t>
      </w:r>
      <w:r>
        <w:rPr>
          <w:rFonts w:ascii="Times New Roman" w:hAnsi="Times New Roman"/>
          <w:sz w:val="20"/>
          <w:u w:val="single"/>
        </w:rPr>
        <w:t>Section 3.03</w:t>
      </w:r>
      <w:r>
        <w:rPr>
          <w:rFonts w:ascii="Times New Roman" w:hAnsi="Times New Roman"/>
          <w:sz w:val="20"/>
        </w:rPr>
        <w:t xml:space="preserve">, to the extent established pursuant to, rather than set forth in, a Board Resolution, in an Officer’s Certificate or Company Order setting forth, or determining the manner of, such establishment, or established in one or more indentures supplemental hereto, prior to the issuance of Securities of any series: </w:t>
      </w:r>
    </w:p>
    <w:p>
      <w:pPr>
        <w:pStyle w:val="TextBody"/>
        <w:bidi w:val="0"/>
        <w:spacing w:before="120" w:after="0"/>
        <w:jc w:val="left"/>
        <w:rPr>
          <w:rFonts w:ascii="Times New Roman" w:hAnsi="Times New Roman"/>
          <w:sz w:val="20"/>
        </w:rPr>
      </w:pPr>
      <w:r>
        <w:rPr>
          <w:rFonts w:ascii="Times New Roman" w:hAnsi="Times New Roman"/>
          <w:sz w:val="20"/>
        </w:rPr>
        <w:t xml:space="preserve">(a) the form and title of the Securities of the series (which shall distinguish the Securities of the series from Securities of any other series); </w:t>
      </w:r>
    </w:p>
    <w:p>
      <w:pPr>
        <w:pStyle w:val="TextBody"/>
        <w:bidi w:val="0"/>
        <w:spacing w:before="240" w:after="0"/>
        <w:jc w:val="left"/>
        <w:rPr>
          <w:rFonts w:ascii="Times New Roman" w:hAnsi="Times New Roman"/>
          <w:sz w:val="20"/>
        </w:rPr>
      </w:pPr>
      <w:r>
        <w:rPr>
          <w:rFonts w:ascii="Times New Roman" w:hAnsi="Times New Roman"/>
          <w:sz w:val="20"/>
        </w:rPr>
        <w:t xml:space="preserve">(b) 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w:t>
      </w:r>
      <w:r>
        <w:rPr>
          <w:rFonts w:ascii="Times New Roman" w:hAnsi="Times New Roman"/>
          <w:sz w:val="20"/>
          <w:u w:val="single"/>
        </w:rPr>
        <w:t>Section 3.04</w:t>
      </w:r>
      <w:r>
        <w:rPr>
          <w:rFonts w:ascii="Times New Roman" w:hAnsi="Times New Roman"/>
          <w:sz w:val="20"/>
        </w:rPr>
        <w:t xml:space="preserve">, </w:t>
      </w:r>
      <w:r>
        <w:rPr>
          <w:rFonts w:ascii="Times New Roman" w:hAnsi="Times New Roman"/>
          <w:sz w:val="20"/>
          <w:u w:val="single"/>
        </w:rPr>
        <w:t>3.05</w:t>
      </w:r>
      <w:r>
        <w:rPr>
          <w:rFonts w:ascii="Times New Roman" w:hAnsi="Times New Roman"/>
          <w:sz w:val="20"/>
        </w:rPr>
        <w:t xml:space="preserve">, </w:t>
      </w:r>
      <w:r>
        <w:rPr>
          <w:rFonts w:ascii="Times New Roman" w:hAnsi="Times New Roman"/>
          <w:sz w:val="20"/>
          <w:u w:val="single"/>
        </w:rPr>
        <w:t>3.06</w:t>
      </w:r>
      <w:r>
        <w:rPr>
          <w:rFonts w:ascii="Times New Roman" w:hAnsi="Times New Roman"/>
          <w:sz w:val="20"/>
        </w:rPr>
        <w:t xml:space="preserve">, </w:t>
      </w:r>
      <w:r>
        <w:rPr>
          <w:rFonts w:ascii="Times New Roman" w:hAnsi="Times New Roman"/>
          <w:sz w:val="20"/>
          <w:u w:val="single"/>
        </w:rPr>
        <w:t>9.06</w:t>
      </w:r>
      <w:r>
        <w:rPr>
          <w:rFonts w:ascii="Times New Roman" w:hAnsi="Times New Roman"/>
          <w:sz w:val="20"/>
        </w:rPr>
        <w:t xml:space="preserve"> or </w:t>
      </w:r>
      <w:r>
        <w:rPr>
          <w:rFonts w:ascii="Times New Roman" w:hAnsi="Times New Roman"/>
          <w:sz w:val="20"/>
          <w:u w:val="single"/>
        </w:rPr>
        <w:t>11.07</w:t>
      </w:r>
      <w:r>
        <w:rPr>
          <w:rFonts w:ascii="Times New Roman" w:hAnsi="Times New Roman"/>
          <w:sz w:val="20"/>
        </w:rPr>
        <w:t xml:space="preserve"> and except for any Securities which, pursuant to </w:t>
      </w:r>
      <w:r>
        <w:rPr>
          <w:rFonts w:ascii="Times New Roman" w:hAnsi="Times New Roman"/>
          <w:sz w:val="20"/>
          <w:u w:val="single"/>
        </w:rPr>
        <w:t>Section 3.03</w:t>
      </w:r>
      <w:r>
        <w:rPr>
          <w:rFonts w:ascii="Times New Roman" w:hAnsi="Times New Roman"/>
          <w:sz w:val="20"/>
        </w:rPr>
        <w:t xml:space="preserve">, are deemed never to have been authenticated and delivered hereunder); provided, however, that the authorized aggregate principal amount of such series may from time to time be increased above such amount by a Board Resolution to such effect; </w:t>
      </w:r>
    </w:p>
    <w:p>
      <w:pPr>
        <w:pStyle w:val="TextBody"/>
        <w:bidi w:val="0"/>
        <w:spacing w:before="240" w:after="0"/>
        <w:jc w:val="left"/>
        <w:rPr>
          <w:rFonts w:ascii="Times New Roman" w:hAnsi="Times New Roman"/>
          <w:sz w:val="20"/>
        </w:rPr>
      </w:pPr>
      <w:r>
        <w:rPr>
          <w:rFonts w:ascii="Times New Roman" w:hAnsi="Times New Roman"/>
          <w:sz w:val="20"/>
        </w:rPr>
        <w:t xml:space="preserve">(c) the issue price or prices of originally issued Securities, expressed as a percentage of the principal amount, and the original issue date; </w:t>
      </w:r>
    </w:p>
    <w:p>
      <w:pPr>
        <w:pStyle w:val="TextBody"/>
        <w:bidi w:val="0"/>
        <w:spacing w:before="240" w:after="0"/>
        <w:jc w:val="left"/>
        <w:rPr>
          <w:rFonts w:ascii="Times New Roman" w:hAnsi="Times New Roman"/>
          <w:sz w:val="20"/>
        </w:rPr>
      </w:pPr>
      <w:r>
        <w:rPr>
          <w:rFonts w:ascii="Times New Roman" w:hAnsi="Times New Roman"/>
          <w:sz w:val="20"/>
        </w:rPr>
        <w:t xml:space="preserve">(d) the Person to whom any interest on a Security of the series shall be payable, if other than the Person in whose name that Security (or one or more Predecessor Securities) is registered at the close of business on the Regular Record Date for such interest; </w:t>
      </w:r>
    </w:p>
    <w:p>
      <w:pPr>
        <w:pStyle w:val="TextBody"/>
        <w:bidi w:val="0"/>
        <w:spacing w:before="240" w:after="0"/>
        <w:jc w:val="left"/>
        <w:rPr>
          <w:rFonts w:ascii="Times New Roman" w:hAnsi="Times New Roman"/>
          <w:sz w:val="20"/>
        </w:rPr>
      </w:pPr>
      <w:r>
        <w:rPr>
          <w:rFonts w:ascii="Times New Roman" w:hAnsi="Times New Roman"/>
          <w:sz w:val="20"/>
        </w:rPr>
        <w:t xml:space="preserve">(e) the date or dates on which the Securities will be issued and on which principal of, and premium, if any, on, any Securities of the series is payable or the method of determination thereof; </w:t>
      </w:r>
    </w:p>
    <w:p>
      <w:pPr>
        <w:pStyle w:val="TextBody"/>
        <w:bidi w:val="0"/>
        <w:spacing w:before="240" w:after="0"/>
        <w:jc w:val="left"/>
        <w:rPr>
          <w:rFonts w:ascii="Times New Roman" w:hAnsi="Times New Roman"/>
          <w:sz w:val="20"/>
        </w:rPr>
      </w:pPr>
      <w:r>
        <w:rPr>
          <w:rFonts w:ascii="Times New Roman" w:hAnsi="Times New Roman"/>
          <w:sz w:val="20"/>
        </w:rPr>
        <w:t xml:space="preserve">(f) the rate or rates (which may be fixed or variable, or a combination thereof) at which any Securities of the series shall bear interest, if any, or the method of determination thereof, the date or dates from which any such interest shall accrue, or the method of determination thereof, the Interest Payment Dates on which any such interest shall be payable and the Regular Record Date for any such interest payable on any Interest Payment Date, or the method by which such date or dates shall be determined, and the basis upon which interest shall be calculated if other than that of a 360-day year of twelve 30-day months, the right, if any, to extend or defer interest payments and the duration of such extension or deferral; </w:t>
      </w:r>
    </w:p>
    <w:p>
      <w:pPr>
        <w:pStyle w:val="TextBody"/>
        <w:bidi w:val="0"/>
        <w:spacing w:before="240" w:after="0"/>
        <w:jc w:val="left"/>
        <w:rPr>
          <w:rFonts w:ascii="Times New Roman" w:hAnsi="Times New Roman"/>
          <w:sz w:val="20"/>
        </w:rPr>
      </w:pPr>
      <w:r>
        <w:rPr>
          <w:rFonts w:ascii="Times New Roman" w:hAnsi="Times New Roman"/>
          <w:sz w:val="20"/>
        </w:rPr>
        <w:t xml:space="preserve">(g) the place or places where, subject to the provisions of </w:t>
      </w:r>
      <w:r>
        <w:rPr>
          <w:rFonts w:ascii="Times New Roman" w:hAnsi="Times New Roman"/>
          <w:sz w:val="20"/>
          <w:u w:val="single"/>
        </w:rPr>
        <w:t>Section 10.02</w:t>
      </w:r>
      <w:r>
        <w:rPr>
          <w:rFonts w:ascii="Times New Roman" w:hAnsi="Times New Roman"/>
          <w:sz w:val="20"/>
        </w:rPr>
        <w:t xml:space="preserve">, the principal of and any premium and interest on any Securities of the series shall be payable, Securities of the series may be surrendered for registration or transfer, Securities of the series may be surrendered for exchange, and notices and demands to or upon the Company in respect of the Securities of the series and this Indenture may be served; </w:t>
      </w:r>
    </w:p>
    <w:p>
      <w:pPr>
        <w:pStyle w:val="TextBody"/>
        <w:bidi w:val="0"/>
        <w:spacing w:before="240" w:after="0"/>
        <w:jc w:val="left"/>
        <w:rPr>
          <w:rFonts w:ascii="Times New Roman" w:hAnsi="Times New Roman"/>
          <w:sz w:val="20"/>
        </w:rPr>
      </w:pPr>
      <w:r>
        <w:rPr>
          <w:rFonts w:ascii="Times New Roman" w:hAnsi="Times New Roman"/>
          <w:sz w:val="20"/>
        </w:rPr>
        <w:t xml:space="preserve">(h) the period or periods, if any,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 </w:t>
      </w:r>
    </w:p>
    <w:p>
      <w:pPr>
        <w:pStyle w:val="TextBody"/>
        <w:bidi w:val="0"/>
        <w:spacing w:before="240" w:after="0"/>
        <w:jc w:val="left"/>
        <w:rPr>
          <w:rFonts w:ascii="Times New Roman" w:hAnsi="Times New Roman"/>
          <w:sz w:val="20"/>
        </w:rPr>
      </w:pPr>
      <w:r>
        <w:rPr>
          <w:rFonts w:ascii="Times New Roman" w:hAnsi="Times New Roman"/>
          <w:sz w:val="20"/>
        </w:rPr>
        <w:t xml:space="preserve">(i) the obligation, if any, and the option, if any, of the Company to redeem, purchase or repay any Securities of the series pursuant to any sinking fund, amortization or analogous provisions or upon the happening of a specified event or at the option of the Holder thereof and the period or periods within which, the price or prices at which and the terms and conditions upon which any Securities of the series shall be redeemed, purchased or repaid, in whole or in part, pursuant to such obligation or 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if other than a minimum denomination equal to $2,000 or an integral multiple of $1,000 in excess thereof, the denominations in which any Securities of the series shall be issuable; </w:t>
      </w:r>
    </w:p>
    <w:p>
      <w:pPr>
        <w:pStyle w:val="TextBody"/>
        <w:bidi w:val="0"/>
        <w:spacing w:before="240" w:after="0"/>
        <w:jc w:val="left"/>
        <w:rPr>
          <w:rFonts w:ascii="Times New Roman" w:hAnsi="Times New Roman"/>
          <w:sz w:val="20"/>
        </w:rPr>
      </w:pPr>
      <w:r>
        <w:rPr>
          <w:rFonts w:ascii="Times New Roman" w:hAnsi="Times New Roman"/>
          <w:sz w:val="20"/>
        </w:rPr>
        <w:t xml:space="preserve">(k) if the debt Securities will be issued in registered or bearer form or both and, if in bearer form, the related terms and conditions and any limitations on issuance of such bearer debt Securities (including exchange for registered debt Securities of the same series); </w:t>
      </w:r>
    </w:p>
    <w:p>
      <w:pPr>
        <w:pStyle w:val="TextBody"/>
        <w:bidi w:val="0"/>
        <w:spacing w:before="240" w:after="0"/>
        <w:jc w:val="left"/>
        <w:rPr>
          <w:rFonts w:ascii="Times New Roman" w:hAnsi="Times New Roman"/>
          <w:sz w:val="20"/>
        </w:rPr>
      </w:pPr>
      <w:r>
        <w:rPr>
          <w:rFonts w:ascii="Times New Roman" w:hAnsi="Times New Roman"/>
          <w:sz w:val="20"/>
        </w:rPr>
        <w:t xml:space="preserve">(l) if the amount of principal of or any premium or interest on any Securities of the series may be determined with reference to an index including an index based on a currency or currencies other than in which the Securities of that series are payable or pursuant to a formula, the manner in which such amounts shall be determined; </w:t>
      </w:r>
    </w:p>
    <w:p>
      <w:pPr>
        <w:pStyle w:val="TextBody"/>
        <w:bidi w:val="0"/>
        <w:spacing w:before="240" w:after="0"/>
        <w:jc w:val="left"/>
        <w:rPr>
          <w:rFonts w:ascii="Times New Roman" w:hAnsi="Times New Roman"/>
          <w:sz w:val="20"/>
        </w:rPr>
      </w:pPr>
      <w:r>
        <w:rPr>
          <w:rFonts w:ascii="Times New Roman" w:hAnsi="Times New Roman"/>
          <w:sz w:val="20"/>
        </w:rPr>
        <w:t xml:space="preserve">(m) if other than the currency of the United States of America, the currency, currencies or currency units in which the principal of or any premium or interest on any Securities of the series shall be denominated, payable, redeemable or purchasable and the manner of determining the equivalent thereof in the currency of the United States of America for any purpose, including for purposes of the definition of “Outstanding” in </w:t>
      </w:r>
      <w:r>
        <w:rPr>
          <w:rFonts w:ascii="Times New Roman" w:hAnsi="Times New Roman"/>
          <w:sz w:val="20"/>
          <w:u w:val="single"/>
        </w:rPr>
        <w:t>Section 1.01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 if the principal of or any premium or interest on any Securities of the series is to be payable, redeemable or purchasable, at the election of the Company or the Holder thereof, in one or more currencies or currency units other than that or those in which such Securities are stated to be payable, redeemable, or purchasable, the currency, currencies or currency units in which the principal of or any premium or interest on such Securities as to which such election is made shall be payable, redeemable or purchasable, the periods within which and the terms and conditions upon which such election is to be made and the amount so payable, redeemable or purchasable (or the manner in which such amount shall be determined); </w:t>
      </w:r>
    </w:p>
    <w:p>
      <w:pPr>
        <w:pStyle w:val="TextBody"/>
        <w:bidi w:val="0"/>
        <w:spacing w:before="240" w:after="0"/>
        <w:jc w:val="left"/>
        <w:rPr>
          <w:rFonts w:ascii="Times New Roman" w:hAnsi="Times New Roman"/>
          <w:sz w:val="20"/>
        </w:rPr>
      </w:pPr>
      <w:r>
        <w:rPr>
          <w:rFonts w:ascii="Times New Roman" w:hAnsi="Times New Roman"/>
          <w:sz w:val="20"/>
        </w:rPr>
        <w:t xml:space="preserve">(o) if other than the entire principal amount thereof, the portion of the principal amount of any Securities of the series which shall be payable upon declaration of acceleration of the Maturity thereof pursuant to </w:t>
      </w:r>
      <w:r>
        <w:rPr>
          <w:rFonts w:ascii="Times New Roman" w:hAnsi="Times New Roman"/>
          <w:sz w:val="20"/>
          <w:u w:val="single"/>
        </w:rPr>
        <w:t>Section 5.02</w:t>
      </w:r>
      <w:r>
        <w:rPr>
          <w:rFonts w:ascii="Times New Roman" w:hAnsi="Times New Roman"/>
          <w:sz w:val="20"/>
        </w:rPr>
        <w:t xml:space="preserve"> or provable in bankruptcy pursuant to </w:t>
      </w:r>
      <w:r>
        <w:rPr>
          <w:rFonts w:ascii="Times New Roman" w:hAnsi="Times New Roman"/>
          <w:sz w:val="20"/>
          <w:u w:val="single"/>
        </w:rPr>
        <w:t>Section 5.04</w:t>
      </w:r>
      <w:r>
        <w:rPr>
          <w:rFonts w:ascii="Times New Roman" w:hAnsi="Times New Roman"/>
          <w:sz w:val="20"/>
        </w:rPr>
        <w:t xml:space="preserve"> or the method of determination thereof; </w:t>
      </w:r>
    </w:p>
    <w:p>
      <w:pPr>
        <w:pStyle w:val="TextBody"/>
        <w:bidi w:val="0"/>
        <w:spacing w:before="240" w:after="0"/>
        <w:jc w:val="left"/>
        <w:rPr>
          <w:rFonts w:ascii="Times New Roman" w:hAnsi="Times New Roman"/>
          <w:sz w:val="20"/>
        </w:rPr>
      </w:pPr>
      <w:r>
        <w:rPr>
          <w:rFonts w:ascii="Times New Roman" w:hAnsi="Times New Roman"/>
          <w:sz w:val="20"/>
        </w:rPr>
        <w:t xml:space="preserve">(p) 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 </w:t>
      </w:r>
    </w:p>
    <w:p>
      <w:pPr>
        <w:pStyle w:val="TextBody"/>
        <w:bidi w:val="0"/>
        <w:spacing w:before="240" w:after="0"/>
        <w:jc w:val="left"/>
        <w:rPr>
          <w:rFonts w:ascii="Times New Roman" w:hAnsi="Times New Roman"/>
          <w:sz w:val="20"/>
        </w:rPr>
      </w:pPr>
      <w:r>
        <w:rPr>
          <w:rFonts w:ascii="Times New Roman" w:hAnsi="Times New Roman"/>
          <w:sz w:val="20"/>
        </w:rPr>
        <w:t xml:space="preserve">(q) if applicable, that the Securities of the series, in whole or any specified part, shall be defeasible pursuant to </w:t>
      </w:r>
      <w:r>
        <w:rPr>
          <w:rFonts w:ascii="Times New Roman" w:hAnsi="Times New Roman"/>
          <w:sz w:val="20"/>
          <w:u w:val="single"/>
        </w:rPr>
        <w:t>Section 13.02</w:t>
      </w:r>
      <w:r>
        <w:rPr>
          <w:rFonts w:ascii="Times New Roman" w:hAnsi="Times New Roman"/>
          <w:sz w:val="20"/>
        </w:rPr>
        <w:t xml:space="preserve"> or </w:t>
      </w:r>
      <w:r>
        <w:rPr>
          <w:rFonts w:ascii="Times New Roman" w:hAnsi="Times New Roman"/>
          <w:sz w:val="20"/>
          <w:u w:val="single"/>
        </w:rPr>
        <w:t>Section 13.03</w:t>
      </w:r>
      <w:r>
        <w:rPr>
          <w:rFonts w:ascii="Times New Roman" w:hAnsi="Times New Roman"/>
          <w:sz w:val="20"/>
        </w:rPr>
        <w:t xml:space="preserve"> or both such Sections or if other than as provided in </w:t>
      </w:r>
      <w:r>
        <w:rPr>
          <w:rFonts w:ascii="Times New Roman" w:hAnsi="Times New Roman"/>
          <w:sz w:val="20"/>
          <w:u w:val="single"/>
        </w:rPr>
        <w:t>Sections 13.02</w:t>
      </w:r>
      <w:r>
        <w:rPr>
          <w:rFonts w:ascii="Times New Roman" w:hAnsi="Times New Roman"/>
          <w:sz w:val="20"/>
        </w:rPr>
        <w:t xml:space="preserve"> or </w:t>
      </w:r>
      <w:r>
        <w:rPr>
          <w:rFonts w:ascii="Times New Roman" w:hAnsi="Times New Roman"/>
          <w:sz w:val="20"/>
          <w:u w:val="single"/>
        </w:rPr>
        <w:t>13.03</w:t>
      </w:r>
      <w:r>
        <w:rPr>
          <w:rFonts w:ascii="Times New Roman" w:hAnsi="Times New Roman"/>
          <w:sz w:val="20"/>
        </w:rPr>
        <w:t xml:space="preserve">, the terms and conditions upon which and the manner in which such series of Securities may be defeased or discharged, and, if other than by a Board Resolution, the manner in which any election by the Company to defease or discharge such Securities shall be evidenced; </w:t>
      </w:r>
    </w:p>
    <w:p>
      <w:pPr>
        <w:pStyle w:val="TextBody"/>
        <w:bidi w:val="0"/>
        <w:spacing w:before="240" w:after="0"/>
        <w:jc w:val="left"/>
        <w:rPr>
          <w:rFonts w:ascii="Times New Roman" w:hAnsi="Times New Roman"/>
          <w:sz w:val="20"/>
        </w:rPr>
      </w:pPr>
      <w:r>
        <w:rPr>
          <w:rFonts w:ascii="Times New Roman" w:hAnsi="Times New Roman"/>
          <w:sz w:val="20"/>
        </w:rPr>
        <w:t xml:space="preserve">(r) 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w:t>
      </w:r>
      <w:r>
        <w:rPr>
          <w:rFonts w:ascii="Times New Roman" w:hAnsi="Times New Roman"/>
          <w:sz w:val="20"/>
          <w:u w:val="single"/>
        </w:rPr>
        <w:t>Section 2.04</w:t>
      </w:r>
      <w:r>
        <w:rPr>
          <w:rFonts w:ascii="Times New Roman" w:hAnsi="Times New Roman"/>
          <w:sz w:val="20"/>
        </w:rPr>
        <w:t xml:space="preserve">, information with respect to book-entry procedures, and any circumstances in addition to or in lieu of those set forth in </w:t>
      </w:r>
      <w:r>
        <w:rPr>
          <w:rFonts w:ascii="Times New Roman" w:hAnsi="Times New Roman"/>
          <w:sz w:val="20"/>
          <w:u w:val="single"/>
        </w:rPr>
        <w:t>Section 3.05</w:t>
      </w:r>
      <w:r>
        <w:rPr>
          <w:rFonts w:ascii="Times New Roman" w:hAnsi="Times New Roman"/>
          <w:sz w:val="20"/>
        </w:rPr>
        <w:t xml:space="preserve">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 </w:t>
      </w:r>
    </w:p>
    <w:p>
      <w:pPr>
        <w:pStyle w:val="TextBody"/>
        <w:bidi w:val="0"/>
        <w:spacing w:before="240" w:after="0"/>
        <w:jc w:val="left"/>
        <w:rPr>
          <w:rFonts w:ascii="Times New Roman" w:hAnsi="Times New Roman"/>
          <w:sz w:val="20"/>
        </w:rPr>
      </w:pPr>
      <w:r>
        <w:rPr>
          <w:rFonts w:ascii="Times New Roman" w:hAnsi="Times New Roman"/>
          <w:sz w:val="20"/>
        </w:rPr>
        <w:t xml:space="preserve">(s) if the debt Security is issued as an original issue discount debt Security, and if so, the yield to maturity;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 any deletion from, addition to or change in the Events of Default that apply to Securities of the series and any change in the right of the Trustee or the requisite Holders of such Securities to declare the principal amount thereof due and payable pursuant to </w:t>
      </w:r>
      <w:r>
        <w:rPr>
          <w:rFonts w:ascii="Times New Roman" w:hAnsi="Times New Roman"/>
          <w:sz w:val="20"/>
          <w:u w:val="single"/>
        </w:rPr>
        <w:t>Section 5.02;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 any addition to or change in the covenants set forth in </w:t>
      </w:r>
      <w:r>
        <w:rPr>
          <w:rFonts w:ascii="Times New Roman" w:hAnsi="Times New Roman"/>
          <w:sz w:val="20"/>
          <w:u w:val="single"/>
        </w:rPr>
        <w:t>Article X</w:t>
      </w:r>
      <w:r>
        <w:rPr>
          <w:rFonts w:ascii="Times New Roman" w:hAnsi="Times New Roman"/>
          <w:sz w:val="20"/>
        </w:rPr>
        <w:t xml:space="preserve"> that apply to Securities of the series or in any defined term used in </w:t>
      </w:r>
      <w:r>
        <w:rPr>
          <w:rFonts w:ascii="Times New Roman" w:hAnsi="Times New Roman"/>
          <w:sz w:val="20"/>
          <w:u w:val="single"/>
        </w:rPr>
        <w:t>Article 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 the right, if any, of the Company to defer payments of interest by extending the interest payment periods and specify the duration of such extension, the Interest Payment Dates on which such interest shall be payable and whether and under what circumstances additional interest on amounts deferred shall be payable; </w:t>
      </w:r>
    </w:p>
    <w:p>
      <w:pPr>
        <w:pStyle w:val="TextBody"/>
        <w:bidi w:val="0"/>
        <w:spacing w:before="240" w:after="0"/>
        <w:jc w:val="left"/>
        <w:rPr>
          <w:rFonts w:ascii="Times New Roman" w:hAnsi="Times New Roman"/>
          <w:sz w:val="20"/>
        </w:rPr>
      </w:pPr>
      <w:r>
        <w:rPr>
          <w:rFonts w:ascii="Times New Roman" w:hAnsi="Times New Roman"/>
          <w:sz w:val="20"/>
        </w:rPr>
        <w:t xml:space="preserve">(w) if other than the Trustee, the identity of any other trustee, the Security Registrar and any Paying Agent; </w:t>
      </w:r>
    </w:p>
    <w:p>
      <w:pPr>
        <w:pStyle w:val="TextBody"/>
        <w:bidi w:val="0"/>
        <w:spacing w:before="240" w:after="0"/>
        <w:jc w:val="left"/>
        <w:rPr>
          <w:rFonts w:ascii="Times New Roman" w:hAnsi="Times New Roman"/>
          <w:sz w:val="20"/>
        </w:rPr>
      </w:pPr>
      <w:r>
        <w:rPr>
          <w:rFonts w:ascii="Times New Roman" w:hAnsi="Times New Roman"/>
          <w:sz w:val="20"/>
        </w:rPr>
        <w:t xml:space="preserve">(x) if other than as set forth in </w:t>
      </w:r>
      <w:r>
        <w:rPr>
          <w:rFonts w:ascii="Times New Roman" w:hAnsi="Times New Roman"/>
          <w:sz w:val="20"/>
          <w:u w:val="single"/>
        </w:rPr>
        <w:t>Article IV</w:t>
      </w:r>
      <w:r>
        <w:rPr>
          <w:rFonts w:ascii="Times New Roman" w:hAnsi="Times New Roman"/>
          <w:sz w:val="20"/>
        </w:rPr>
        <w:t xml:space="preserve">, provisions relating to the satisfaction and discharge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(y) whether the Securities of the series will be guaranteed by any Person or Persons and, if so, the identity of such Person or Persons, the terms and conditions upon which such Securities shall be guaranteed and, if applicable, the terms and conditions upon which such guarantees may be subordinated to other indebtedness of the respective guarantors; </w:t>
      </w:r>
    </w:p>
    <w:p>
      <w:pPr>
        <w:pStyle w:val="TextBody"/>
        <w:bidi w:val="0"/>
        <w:spacing w:before="240" w:after="0"/>
        <w:jc w:val="left"/>
        <w:rPr>
          <w:rFonts w:ascii="Times New Roman" w:hAnsi="Times New Roman"/>
          <w:sz w:val="20"/>
        </w:rPr>
      </w:pPr>
      <w:r>
        <w:rPr>
          <w:rFonts w:ascii="Times New Roman" w:hAnsi="Times New Roman"/>
          <w:sz w:val="20"/>
        </w:rPr>
        <w:t xml:space="preserve">(z) whether the Securities of the series will be secured by any collateral and, if so, the terms and conditions upon which such Securities shall be secured and, if applicable, upon which such liens may be subordinated to other liens securing other indebtedness of the Company or any guarantor; </w:t>
      </w:r>
    </w:p>
    <w:p>
      <w:pPr>
        <w:pStyle w:val="TextBody"/>
        <w:bidi w:val="0"/>
        <w:spacing w:before="240" w:after="0"/>
        <w:jc w:val="left"/>
        <w:rPr>
          <w:rFonts w:ascii="Times New Roman" w:hAnsi="Times New Roman"/>
          <w:sz w:val="20"/>
        </w:rPr>
      </w:pPr>
      <w:r>
        <w:rPr>
          <w:rFonts w:ascii="Times New Roman" w:hAnsi="Times New Roman"/>
          <w:sz w:val="20"/>
        </w:rPr>
        <w:t xml:space="preserve">(aa) whether the Securities will be issued in a transaction exempt from registration under the Securities Act and any restriction or condition on the transferability of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(bb) the exchanges, if any, on which the Securities may be listed; </w:t>
      </w:r>
    </w:p>
    <w:p>
      <w:pPr>
        <w:pStyle w:val="TextBody"/>
        <w:bidi w:val="0"/>
        <w:spacing w:before="240" w:after="0"/>
        <w:jc w:val="left"/>
        <w:rPr>
          <w:rFonts w:ascii="Times New Roman" w:hAnsi="Times New Roman"/>
          <w:sz w:val="20"/>
        </w:rPr>
      </w:pPr>
      <w:r>
        <w:rPr>
          <w:rFonts w:ascii="Times New Roman" w:hAnsi="Times New Roman"/>
          <w:sz w:val="20"/>
        </w:rPr>
        <w:t xml:space="preserve">(cc) the terms of any right to convert or exchange Securities of such series into any other securities or property of the Company or of any other corporation or Person, and the additions or changes, if any, to this Indenture with respect to the Securities of such series to permit or facilitate such conversion or exchange; and </w:t>
      </w:r>
    </w:p>
    <w:p>
      <w:pPr>
        <w:pStyle w:val="TextBody"/>
        <w:bidi w:val="0"/>
        <w:spacing w:before="240" w:after="0"/>
        <w:jc w:val="left"/>
        <w:rPr>
          <w:rFonts w:ascii="Times New Roman" w:hAnsi="Times New Roman"/>
          <w:sz w:val="20"/>
        </w:rPr>
      </w:pPr>
      <w:r>
        <w:rPr>
          <w:rFonts w:ascii="Times New Roman" w:hAnsi="Times New Roman"/>
          <w:sz w:val="20"/>
        </w:rPr>
        <w:t xml:space="preserve">(dd) any and all other terms with respect to such series, including, but not limited to, any terms that may be required by or advisable under U.S. laws or regulations or otherwise included in connection with the marketing of the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shall be substantially identical except as to denomination and except as may otherwise be provided in or pursuant to the Board Resolution referred to above and (subject to </w:t>
      </w:r>
      <w:r>
        <w:rPr>
          <w:rFonts w:ascii="Times New Roman" w:hAnsi="Times New Roman"/>
          <w:sz w:val="20"/>
          <w:u w:val="single"/>
        </w:rPr>
        <w:t>Section 3.03</w:t>
      </w:r>
      <w:r>
        <w:rPr>
          <w:rFonts w:ascii="Times New Roman" w:hAnsi="Times New Roman"/>
          <w:sz w:val="20"/>
        </w:rPr>
        <w:t xml:space="preserve">) set forth, or determined in the manner provided, in the Officer’s Certificate referred to above or in any such indenture supplemental hereto. Accordingly, the terms of any Security of a series may differ from the terms of other Securities of the same series, if and to the extent provided pursuant to this Section. The matters referenced in any or all of Clauses (a) through (dd) above may be established and set forth or determined as aforesaid with respect to all or any specific Securities of a series (in each case to the extent permitted by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Any such Board Resolution or Officer’s Certificate referred to above with respect to Securities of any series filed with the Trustee on or before the initial issuance of the Securities of such series shall be incorporated herein by reference with respect to Securities of such series and shall thereafter be deemed to be a part of this Indenture for all purposes relating to Securities of such series as fully as if such Board Resolution or Officer’s Certificate were set forth herein in full.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need not be issued at the same time and, unless otherwise provided, a series may be reopened, without the consent of the Holders, for increases in the aggregate principal amount of such series of Securities and issuances of additional Securities of such series or for the establishment of additional terms with respect to the Securities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Denominations.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each series shall be issuable only in registered form without coupons and only in such denominations as shall be specified as contemplated by </w:t>
      </w:r>
      <w:r>
        <w:rPr>
          <w:rFonts w:ascii="Times New Roman" w:hAnsi="Times New Roman"/>
          <w:sz w:val="20"/>
          <w:u w:val="single"/>
        </w:rPr>
        <w:t>Section 3.01</w:t>
      </w:r>
      <w:r>
        <w:rPr>
          <w:rFonts w:ascii="Times New Roman" w:hAnsi="Times New Roman"/>
          <w:sz w:val="20"/>
        </w:rPr>
        <w:t xml:space="preserve">. In the absence of any such specified denomination with respect to the Securities of any series, the Securities of such series shall be issuable in a denomination equal to $2,000 or an integral multiple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Execution, Authentication, Delivery and Dating.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executed on behalf of the Company by its Chairman of the Board, Chief Executive Officer, Chief Financial Officer, or Corporate Secretary (or any other officer of the Company designated in writing by or pursuant to authority of the Board of Directors and delivered to the Trustee from time to time). The signature of any of these officers on the Securities may be manual, electronic or facsimile. </w:t>
      </w:r>
    </w:p>
    <w:p>
      <w:pPr>
        <w:pStyle w:val="TextBody"/>
        <w:bidi w:val="0"/>
        <w:spacing w:before="240" w:after="0"/>
        <w:jc w:val="left"/>
        <w:rPr>
          <w:rFonts w:ascii="Times New Roman" w:hAnsi="Times New Roman"/>
          <w:sz w:val="20"/>
        </w:rPr>
      </w:pPr>
      <w:r>
        <w:rPr>
          <w:rFonts w:ascii="Times New Roman" w:hAnsi="Times New Roman"/>
          <w:sz w:val="20"/>
        </w:rPr>
        <w:t xml:space="preserve">Securities bearing the manual, electronic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w:t>
      </w:r>
      <w:r>
        <w:rPr>
          <w:rFonts w:ascii="Times New Roman" w:hAnsi="Times New Roman"/>
          <w:sz w:val="20"/>
          <w:u w:val="single"/>
        </w:rPr>
        <w:t>Sections 2.01</w:t>
      </w:r>
      <w:r>
        <w:rPr>
          <w:rFonts w:ascii="Times New Roman" w:hAnsi="Times New Roman"/>
          <w:sz w:val="20"/>
        </w:rPr>
        <w:t xml:space="preserve"> and </w:t>
      </w:r>
      <w:r>
        <w:rPr>
          <w:rFonts w:ascii="Times New Roman" w:hAnsi="Times New Roman"/>
          <w:sz w:val="20"/>
          <w:u w:val="single"/>
        </w:rPr>
        <w:t>3.01</w:t>
      </w:r>
      <w:r>
        <w:rPr>
          <w:rFonts w:ascii="Times New Roman" w:hAnsi="Times New Roman"/>
          <w:sz w:val="20"/>
        </w:rPr>
        <w:t xml:space="preserve">, in authenticating such Securities, and accepting the additional responsibilities under this Indenture in relation to such Securities, the Trustee shall be entitled to receive, and (subject to, </w:t>
      </w:r>
      <w:r>
        <w:rPr>
          <w:rFonts w:ascii="Times New Roman" w:hAnsi="Times New Roman"/>
          <w:sz w:val="20"/>
          <w:u w:val="single"/>
        </w:rPr>
        <w:t>Section 6.01</w:t>
      </w:r>
      <w:r>
        <w:rPr>
          <w:rFonts w:ascii="Times New Roman" w:hAnsi="Times New Roman"/>
          <w:sz w:val="20"/>
        </w:rPr>
        <w:t xml:space="preserve">) shall be fully protected in relying upon, an Opinion of Counsel stating: </w:t>
      </w:r>
    </w:p>
    <w:p>
      <w:pPr>
        <w:pStyle w:val="TextBody"/>
        <w:bidi w:val="0"/>
        <w:spacing w:before="120" w:after="0"/>
        <w:jc w:val="left"/>
        <w:rPr>
          <w:rFonts w:ascii="Times New Roman" w:hAnsi="Times New Roman"/>
          <w:sz w:val="20"/>
        </w:rPr>
      </w:pPr>
      <w:r>
        <w:rPr>
          <w:rFonts w:ascii="Times New Roman" w:hAnsi="Times New Roman"/>
          <w:sz w:val="20"/>
        </w:rPr>
        <w:t xml:space="preserve">(a) if the form of such Securities has been established by or pursuant to a Board Resolution as permitted by </w:t>
      </w:r>
      <w:r>
        <w:rPr>
          <w:rFonts w:ascii="Times New Roman" w:hAnsi="Times New Roman"/>
          <w:sz w:val="20"/>
          <w:u w:val="single"/>
        </w:rPr>
        <w:t>Section 2.01</w:t>
      </w:r>
      <w:r>
        <w:rPr>
          <w:rFonts w:ascii="Times New Roman" w:hAnsi="Times New Roman"/>
          <w:sz w:val="20"/>
        </w:rPr>
        <w:t xml:space="preserve">, that such form has been established in conformity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if the terms of such Securities have been established by or pursuant to a Board Resolution as permitted by </w:t>
      </w:r>
      <w:r>
        <w:rPr>
          <w:rFonts w:ascii="Times New Roman" w:hAnsi="Times New Roman"/>
          <w:sz w:val="20"/>
          <w:u w:val="single"/>
        </w:rPr>
        <w:t>Section 3.01</w:t>
      </w:r>
      <w:r>
        <w:rPr>
          <w:rFonts w:ascii="Times New Roman" w:hAnsi="Times New Roman"/>
          <w:sz w:val="20"/>
        </w:rPr>
        <w:t xml:space="preserve">, that such terms have been established in conformity with the provisions of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(c) that such Securities, when authenticated by the Trustee and issued and delivered by the Company in the manner and subject to any conditions specified in such Opinion of Counsel, will constitute valid and legally binding obligations of the Company, enforceable against the Company in accordance with their terms, subject to bankruptcy, insolvency, fraudulent transfer, reorganization, moratorium and similar laws of general applicability relating to or affecting creditors’ rights and to general equity principles or other customary exceptions. </w:t>
      </w:r>
    </w:p>
    <w:p>
      <w:pPr>
        <w:pStyle w:val="TextBody"/>
        <w:bidi w:val="0"/>
        <w:spacing w:before="240" w:after="0"/>
        <w:jc w:val="left"/>
        <w:rPr>
          <w:rFonts w:ascii="Times New Roman" w:hAnsi="Times New Roman"/>
          <w:sz w:val="20"/>
        </w:rPr>
      </w:pPr>
      <w:r>
        <w:rPr>
          <w:rFonts w:ascii="Times New Roman" w:hAnsi="Times New Roman"/>
          <w:sz w:val="20"/>
        </w:rPr>
        <w:t xml:space="preserve">If such form or terms have been so established, the Trustee shall not be required to authenticate such Securities if the issue of such Securities pursuant to this Indenture in accordance with a Board Resolution will materially adversely affect the Trustee’s own rights, duties or immunities under the Securities and this Indenture or otherwise in a manner which is not reasonably acceptable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provisions of </w:t>
      </w:r>
      <w:r>
        <w:rPr>
          <w:rFonts w:ascii="Times New Roman" w:hAnsi="Times New Roman"/>
          <w:sz w:val="20"/>
          <w:u w:val="single"/>
        </w:rPr>
        <w:t>Section 3.01</w:t>
      </w:r>
      <w:r>
        <w:rPr>
          <w:rFonts w:ascii="Times New Roman" w:hAnsi="Times New Roman"/>
          <w:sz w:val="20"/>
        </w:rPr>
        <w:t xml:space="preserve"> and of the preceding paragraph, if all Securities of a series are not to be originally issued at one time, it shall not be necessary, unless the Trustee reasonably determines otherwise, for the Company to deliver a Board Resolution, Officer’s Certificate or supplemental indenture otherwise required pursuant to </w:t>
      </w:r>
      <w:r>
        <w:rPr>
          <w:rFonts w:ascii="Times New Roman" w:hAnsi="Times New Roman"/>
          <w:sz w:val="20"/>
          <w:u w:val="single"/>
        </w:rPr>
        <w:t>Section 3.01</w:t>
      </w:r>
      <w:r>
        <w:rPr>
          <w:rFonts w:ascii="Times New Roman" w:hAnsi="Times New Roman"/>
          <w:sz w:val="20"/>
        </w:rPr>
        <w:t xml:space="preserve"> or the Company Order and Opinion of Counsel otherwise required pursuant to the third paragraph of this Section at or prior to the authentication of each Security of such series if such documents are delivered at or prior to the authentication upon original issuance of the first Security of such series to be issued. </w:t>
      </w:r>
    </w:p>
    <w:p>
      <w:pPr>
        <w:pStyle w:val="TextBody"/>
        <w:bidi w:val="0"/>
        <w:spacing w:before="240" w:after="0"/>
        <w:jc w:val="left"/>
        <w:rPr>
          <w:rFonts w:ascii="Times New Roman" w:hAnsi="Times New Roman"/>
          <w:sz w:val="20"/>
        </w:rPr>
      </w:pPr>
      <w:r>
        <w:rPr>
          <w:rFonts w:ascii="Times New Roman" w:hAnsi="Times New Roman"/>
          <w:sz w:val="20"/>
        </w:rPr>
        <w:t xml:space="preserve">Each Security shall be dated the date of its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and is entitled to the benefits of this Indenture. Notwithstanding the foregoing, if any Security shall have been authenticated and delivered hereunder but never issued and sold by the Company, and the Company shall deliver such Security to the Trustee for cancellation as provided in </w:t>
      </w:r>
      <w:r>
        <w:rPr>
          <w:rFonts w:ascii="Times New Roman" w:hAnsi="Times New Roman"/>
          <w:sz w:val="20"/>
          <w:u w:val="single"/>
        </w:rPr>
        <w:t>Section 3.09</w:t>
      </w:r>
      <w:r>
        <w:rPr>
          <w:rFonts w:ascii="Times New Roman" w:hAnsi="Times New Roman"/>
          <w:sz w:val="20"/>
        </w:rPr>
        <w:t xml:space="preserve">, for all purposes of this Indenture such Security shall be deemed never to have been authenticated and delivered hereunder and shall never be entitled to the benefits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Temporary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Registration; Registration of Transfer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shall cause to be kept at the Corporate Trust Office or other designated office of the Trustee a register (the “</w:t>
      </w:r>
      <w:r>
        <w:rPr>
          <w:rFonts w:ascii="Times New Roman" w:hAnsi="Times New Roman"/>
          <w:b/>
          <w:sz w:val="20"/>
        </w:rPr>
        <w:t>Security Register</w:t>
      </w:r>
      <w:r>
        <w:rPr>
          <w:rFonts w:ascii="Times New Roman" w:hAnsi="Times New Roman"/>
          <w:sz w:val="20"/>
        </w:rPr>
        <w:t>”) in which, subject to such reasonable regulations as it may prescribe, the Company shall provide for the registration of Securities and of transfers of Securities entitled to registration or transfer as provided herein. The Trustee is hereby appointed “</w:t>
      </w:r>
      <w:r>
        <w:rPr>
          <w:rFonts w:ascii="Times New Roman" w:hAnsi="Times New Roman"/>
          <w:b/>
          <w:sz w:val="20"/>
        </w:rPr>
        <w:t>Security Registrar</w:t>
      </w:r>
      <w:r>
        <w:rPr>
          <w:rFonts w:ascii="Times New Roman" w:hAnsi="Times New Roman"/>
          <w:sz w:val="20"/>
        </w:rPr>
        <w:t xml:space="preserve">” for the purpose of registering Securities and transfers of Securities as herein provided. The Company may at any time replace such Security Registrar, change such office or agency or act as its own Security Registrar. The Company will give prompt written notice to the Trustee of any change of the Security Registrar or of the location of such office or agency. At all reasonable times the Security Register shall be available for inspection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Securities of any series (except a Global Security)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that the Holder making the exchange is entitled to receive.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his attorney duly authorized in writing.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w:t>
      </w:r>
      <w:r>
        <w:rPr>
          <w:rFonts w:ascii="Times New Roman" w:hAnsi="Times New Roman"/>
          <w:sz w:val="20"/>
          <w:u w:val="single"/>
        </w:rPr>
        <w:t>Section 3.04</w:t>
      </w:r>
      <w:r>
        <w:rPr>
          <w:rFonts w:ascii="Times New Roman" w:hAnsi="Times New Roman"/>
          <w:sz w:val="20"/>
        </w:rPr>
        <w:t xml:space="preserve">, </w:t>
      </w:r>
      <w:r>
        <w:rPr>
          <w:rFonts w:ascii="Times New Roman" w:hAnsi="Times New Roman"/>
          <w:sz w:val="20"/>
          <w:u w:val="single"/>
        </w:rPr>
        <w:t>9.06</w:t>
      </w:r>
      <w:r>
        <w:rPr>
          <w:rFonts w:ascii="Times New Roman" w:hAnsi="Times New Roman"/>
          <w:sz w:val="20"/>
        </w:rPr>
        <w:t xml:space="preserve"> or </w:t>
      </w:r>
      <w:r>
        <w:rPr>
          <w:rFonts w:ascii="Times New Roman" w:hAnsi="Times New Roman"/>
          <w:sz w:val="20"/>
          <w:u w:val="single"/>
        </w:rPr>
        <w:t>11.07</w:t>
      </w:r>
      <w:r>
        <w:rPr>
          <w:rFonts w:ascii="Times New Roman" w:hAnsi="Times New Roman"/>
          <w:sz w:val="20"/>
        </w:rPr>
        <w:t xml:space="preserve"> not involving any transfer. </w:t>
      </w:r>
    </w:p>
    <w:p>
      <w:pPr>
        <w:pStyle w:val="TextBody"/>
        <w:bidi w:val="0"/>
        <w:spacing w:before="240" w:after="0"/>
        <w:jc w:val="left"/>
        <w:rPr>
          <w:rFonts w:ascii="Times New Roman" w:hAnsi="Times New Roman"/>
          <w:sz w:val="20"/>
        </w:rPr>
      </w:pPr>
      <w:r>
        <w:rPr>
          <w:rFonts w:ascii="Times New Roman" w:hAnsi="Times New Roman"/>
          <w:sz w:val="20"/>
        </w:rPr>
        <w:t xml:space="preserve">If the Securities of any series (or of any series and specified tenor) are to be redeemed in part, neither the Company nor the Trustee shall be required (A) to issue, register the transfer of or exchange any Securities of that series (or of that series and specified tenor, as the case may be) during a period beginning at the opening of business 15 days before the day of the mailing of a notice of redemption of any such Securities selected for redemption under </w:t>
      </w:r>
      <w:r>
        <w:rPr>
          <w:rFonts w:ascii="Times New Roman" w:hAnsi="Times New Roman"/>
          <w:sz w:val="20"/>
          <w:u w:val="single"/>
        </w:rPr>
        <w:t>Section 11.03</w:t>
      </w:r>
      <w:r>
        <w:rPr>
          <w:rFonts w:ascii="Times New Roman" w:hAnsi="Times New Roman"/>
          <w:sz w:val="20"/>
        </w:rPr>
        <w:t xml:space="preserve"> and ending at the close of business on the day of such mailing, or (B) to register the transfer of or exchange any Security so selected for redemption in whole or in part, except the unredeemed portion of any Security being redeemed in part.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Clauses (a), (b), (c) and (d) below shall apply only to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 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 other provision in this Indenture, and subject to such applicable provisions, if any, as may be specified as contemplated by </w:t>
      </w:r>
      <w:r>
        <w:rPr>
          <w:rFonts w:ascii="Times New Roman" w:hAnsi="Times New Roman"/>
          <w:sz w:val="20"/>
          <w:u w:val="single"/>
        </w:rPr>
        <w:t>Section 3.01</w:t>
      </w:r>
      <w:r>
        <w:rPr>
          <w:rFonts w:ascii="Times New Roman" w:hAnsi="Times New Roman"/>
          <w:sz w:val="20"/>
        </w:rPr>
        <w:t xml:space="preserve">, no Global Security may be exchanged in whole or in part for Securities registered, and no transfer of a Global Security in whole or in part may be registered, in the name of any Person other than the Depositary for such Global Security or a nominee thereof unless (1) such Depositary has notified the Company that it is unwilling or unable to continue as Depositary for such Global Security or has ceased to be a clearing agency registered under the Exchange Act, and a successor Depositary is not appointed by the Company within 90 days after the Company’s receipt of such notice, (2) there shall have occurred and be continuing an Event of Default with respect to such Global Security and the Security Registrar has received a request from the Depositary to issue certificated securities in lieu of the Global Security, (3) the Company shall determine in its sole discretion that Securities of a series issued in global form shall no longer be represented by a Global Security, or (4) there shall exist such circumstances, if any, in addition to or in lieu of the foregoing as have been specified for this purpose as contemplated by </w:t>
      </w:r>
      <w:r>
        <w:rPr>
          <w:rFonts w:ascii="Times New Roman" w:hAnsi="Times New Roman"/>
          <w:sz w:val="20"/>
          <w:u w:val="single"/>
        </w:rPr>
        <w:t>Section 3.01</w:t>
      </w:r>
      <w:r>
        <w:rPr>
          <w:rFonts w:ascii="Times New Roman" w:hAnsi="Times New Roman"/>
          <w:sz w:val="20"/>
        </w:rPr>
        <w:t xml:space="preserve">, then in any such case, such Global Security may be exchanged by such Depositary for definitive Securities of the same series, of any authorized denomination and of a like aggregate principal amount and tenor, registered in the names of, and the transfer of such Global Security or portion thereof may be registered to, such Persons as such Depositary shall direct. If the Company designates a successor Depositary pursuant to Clause (1) above, such Global Security shall promptly be exchanged in whole for one or more other Global Securities registered in the name of the successor Depositary, whereupon such designated successor shall be the Depositary for such successor Global Security or Global Securities and the provisions of Clauses (a), (b), (c) and (d) of this Section shall continue to apply thereto. </w:t>
      </w:r>
    </w:p>
    <w:p>
      <w:pPr>
        <w:pStyle w:val="TextBody"/>
        <w:bidi w:val="0"/>
        <w:spacing w:before="240" w:after="0"/>
        <w:jc w:val="left"/>
        <w:rPr>
          <w:rFonts w:ascii="Times New Roman" w:hAnsi="Times New Roman"/>
          <w:sz w:val="20"/>
        </w:rPr>
      </w:pPr>
      <w:r>
        <w:rPr>
          <w:rFonts w:ascii="Times New Roman" w:hAnsi="Times New Roman"/>
          <w:sz w:val="20"/>
        </w:rPr>
        <w:t xml:space="preserve">(c) Subject to Clause (b) above and to such applicable provisions, if any, as may be specified as contemplated by </w:t>
      </w:r>
      <w:r>
        <w:rPr>
          <w:rFonts w:ascii="Times New Roman" w:hAnsi="Times New Roman"/>
          <w:sz w:val="20"/>
          <w:u w:val="single"/>
        </w:rPr>
        <w:t>Section 3.01</w:t>
      </w:r>
      <w:r>
        <w:rPr>
          <w:rFonts w:ascii="Times New Roman" w:hAnsi="Times New Roman"/>
          <w:sz w:val="20"/>
        </w:rPr>
        <w:t xml:space="preserve">, any exchange of a Global Security for other Securities may be made in whole or in part, and all Securities issued in exchange for a Global Security or any portion thereof shall be registered in such names as the Depositary for such Global Security shall direct.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Every Security authenticated and delivered upon registration of transfer of, or in exchange for or in lieu of, a Global Security or any portion thereof, whether pursuant to this Section, </w:t>
      </w:r>
      <w:r>
        <w:rPr>
          <w:rFonts w:ascii="Times New Roman" w:hAnsi="Times New Roman"/>
          <w:sz w:val="20"/>
          <w:u w:val="single"/>
        </w:rPr>
        <w:t>Section 3.04</w:t>
      </w:r>
      <w:r>
        <w:rPr>
          <w:rFonts w:ascii="Times New Roman" w:hAnsi="Times New Roman"/>
          <w:sz w:val="20"/>
        </w:rPr>
        <w:t xml:space="preserve">, </w:t>
      </w:r>
      <w:r>
        <w:rPr>
          <w:rFonts w:ascii="Times New Roman" w:hAnsi="Times New Roman"/>
          <w:sz w:val="20"/>
          <w:u w:val="single"/>
        </w:rPr>
        <w:t>3.06</w:t>
      </w:r>
      <w:r>
        <w:rPr>
          <w:rFonts w:ascii="Times New Roman" w:hAnsi="Times New Roman"/>
          <w:sz w:val="20"/>
        </w:rPr>
        <w:t xml:space="preserve">, </w:t>
      </w:r>
      <w:r>
        <w:rPr>
          <w:rFonts w:ascii="Times New Roman" w:hAnsi="Times New Roman"/>
          <w:sz w:val="20"/>
          <w:u w:val="single"/>
        </w:rPr>
        <w:t>9.06</w:t>
      </w:r>
      <w:r>
        <w:rPr>
          <w:rFonts w:ascii="Times New Roman" w:hAnsi="Times New Roman"/>
          <w:sz w:val="20"/>
        </w:rPr>
        <w:t xml:space="preserve"> or </w:t>
      </w:r>
      <w:r>
        <w:rPr>
          <w:rFonts w:ascii="Times New Roman" w:hAnsi="Times New Roman"/>
          <w:sz w:val="20"/>
          <w:u w:val="single"/>
        </w:rPr>
        <w:t>11.07</w:t>
      </w:r>
      <w:r>
        <w:rPr>
          <w:rFonts w:ascii="Times New Roman" w:hAnsi="Times New Roman"/>
          <w:sz w:val="20"/>
        </w:rPr>
        <w:t xml:space="preserve"> or otherwise, shall be authenticated and delivered in the form of, and shall be, a Global Security, unless such Security is registered in the name of a Person other than the Depositary for such Global Security or a nominee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Mutilated, Destroyed, Lost and Stolen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mutilated Security is surrendered to the Trustee, together with such security or indemnity as may be required by the Company or the Trustee to save each of them and any agent of either of them harmless, the Company shall execute and the Trustee shall authenticate and deliver in exchange therefor a new Security of the same series and of like tenor and principal amount and bearing a number not contemporaneously outstanding and shall cancel and dispose of such mutilated security in accordance with its customary procedures. </w:t>
      </w:r>
    </w:p>
    <w:p>
      <w:pPr>
        <w:pStyle w:val="TextBody"/>
        <w:bidi w:val="0"/>
        <w:spacing w:before="240" w:after="0"/>
        <w:jc w:val="left"/>
        <w:rPr>
          <w:rFonts w:ascii="Times New Roman" w:hAnsi="Times New Roman"/>
          <w:sz w:val="20"/>
        </w:rPr>
      </w:pPr>
      <w:r>
        <w:rPr>
          <w:rFonts w:ascii="Times New Roman" w:hAnsi="Times New Roman"/>
          <w:sz w:val="20"/>
        </w:rPr>
        <w:t xml:space="preserve">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mutilated, destroyed, lost or stolen Security, a new Security of the same series and of like tenor and principal amount and bearing a number not contemporaneously Outstanding. If, after the delivery of such new Security, a bona fide purchaser of the original Security in lieu of which such new Security was issued presents for payment or registration such original Security, the Trustee shall be entitled to recover such new Security from the party to whom it was delivered or any party taking therefrom, except a bona fide purchaser, and shall be entitled to recover upon the security or indemnity provided therefor to the extent of any loss, damage, cost or expense incurred by the Company and the Trustee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In case any such mutilated, destroyed, lost or stolen Security has become or is about to become due and payable, the Company in its discretion may, instead of issuing a new Security, pay such Security. </w:t>
      </w:r>
    </w:p>
    <w:p>
      <w:pPr>
        <w:pStyle w:val="TextBody"/>
        <w:bidi w:val="0"/>
        <w:spacing w:before="240" w:after="0"/>
        <w:jc w:val="left"/>
        <w:rPr>
          <w:rFonts w:ascii="Times New Roman" w:hAnsi="Times New Roman"/>
          <w:sz w:val="20"/>
        </w:rPr>
      </w:pPr>
      <w:r>
        <w:rPr>
          <w:rFonts w:ascii="Times New Roman" w:hAnsi="Times New Roman"/>
          <w:sz w:val="20"/>
        </w:rPr>
        <w:t xml:space="preserve">Upon the issuance of any new Security, the Company may require the payment of a sum sufficient to cover any tax or other governmental charge that may be imposed in relation thereto and any other expenses (including the fees and expenses of counsel to the Company and the fees and expenses of the Trustee and its counsel)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Every new Security of any series issued pursuant to this Section in lieu of any mutilated, destroyed, lost or stolen Security shall constitute an original additional contractual obligation of the Company, whether or not the mutilated, destroyed, lost or stolen Security shall be at any time enforceable by anyone, and shall be entitled to all the benefits of this Indenture equally and proportionately with any and all other Securities of that series duly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are exclusive and shall preclude (to the extent lawful) all other rights and remedies with respect to the replacement or payment of mutilated, destroyed, lost or stolen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Payment of Interest; Interest Rights Preserved.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as contemplated by </w:t>
      </w:r>
      <w:r>
        <w:rPr>
          <w:rFonts w:ascii="Times New Roman" w:hAnsi="Times New Roman"/>
          <w:sz w:val="20"/>
          <w:u w:val="single"/>
        </w:rPr>
        <w:t>Section 3.01</w:t>
      </w:r>
      <w:r>
        <w:rPr>
          <w:rFonts w:ascii="Times New Roman" w:hAnsi="Times New Roman"/>
          <w:sz w:val="20"/>
        </w:rPr>
        <w:t xml:space="preserve">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 </w:t>
      </w:r>
    </w:p>
    <w:p>
      <w:pPr>
        <w:pStyle w:val="TextBody"/>
        <w:bidi w:val="0"/>
        <w:spacing w:before="240" w:after="0"/>
        <w:jc w:val="left"/>
        <w:rPr>
          <w:rFonts w:ascii="Times New Roman" w:hAnsi="Times New Roman"/>
          <w:sz w:val="20"/>
        </w:rPr>
      </w:pPr>
      <w:r>
        <w:rPr>
          <w:rFonts w:ascii="Times New Roman" w:hAnsi="Times New Roman"/>
          <w:sz w:val="20"/>
        </w:rPr>
        <w:t>Any interest on any Security of any series which is payable, but is not punctually paid or duly provided for, on any Interest Payment Date (herein called “</w:t>
      </w:r>
      <w:r>
        <w:rPr>
          <w:rFonts w:ascii="Times New Roman" w:hAnsi="Times New Roman"/>
          <w:b/>
          <w:sz w:val="20"/>
        </w:rPr>
        <w:t>Defaulted Interest</w:t>
      </w:r>
      <w:r>
        <w:rPr>
          <w:rFonts w:ascii="Times New Roman" w:hAnsi="Times New Roman"/>
          <w:sz w:val="20"/>
        </w:rPr>
        <w:t xml:space="preserve">”) shall forthwith cease to be payable to the Holder on the relevant Regular Record Date by virtue of having been such Holder, and such Defaulted Interest may be paid by the Company, at its election in each case, as provided in Clause (a) or (b)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in consultation with the Company,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w:t>
      </w:r>
      <w:r>
        <w:rPr>
          <w:rFonts w:ascii="Times New Roman" w:hAnsi="Times New Roman"/>
          <w:sz w:val="20"/>
          <w:u w:val="single"/>
        </w:rPr>
        <w:t>Section 1.06</w:t>
      </w:r>
      <w:r>
        <w:rPr>
          <w:rFonts w:ascii="Times New Roman" w:hAnsi="Times New Roman"/>
          <w:sz w:val="20"/>
        </w:rPr>
        <w:t xml:space="preserve">,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(b).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provisions of this Section and </w:t>
      </w:r>
      <w:r>
        <w:rPr>
          <w:rFonts w:ascii="Times New Roman" w:hAnsi="Times New Roman"/>
          <w:sz w:val="20"/>
          <w:u w:val="single"/>
        </w:rPr>
        <w:t>Section 3.05</w:t>
      </w:r>
      <w:r>
        <w:rPr>
          <w:rFonts w:ascii="Times New Roman" w:hAnsi="Times New Roman"/>
          <w:sz w:val="20"/>
        </w:rPr>
        <w:t xml:space="preserve">, each Security delivered under this Indenture upon registration of transfer of or in exchange for or in lieu of any other Security shall carry the rights to interest accrued and unpaid, and to accrue, which were carried by such other Security. </w:t>
      </w:r>
    </w:p>
    <w:p>
      <w:pPr>
        <w:pStyle w:val="TextBody"/>
        <w:bidi w:val="0"/>
        <w:spacing w:before="240" w:after="0"/>
        <w:jc w:val="left"/>
        <w:rPr>
          <w:rFonts w:ascii="Times New Roman" w:hAnsi="Times New Roman"/>
          <w:sz w:val="20"/>
        </w:rPr>
      </w:pPr>
      <w:r>
        <w:rPr>
          <w:rFonts w:ascii="Times New Roman" w:hAnsi="Times New Roman"/>
          <w:sz w:val="20"/>
        </w:rPr>
        <w:t xml:space="preserve">For each series of Securities, the Company shall, prior to Noon, New York City time, on each payment date for principal and premium, if any, and interest, if any, deposit with the Trustee money in immediately available funds sufficient to make cash payments due on the applicable payment date.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Security which is converted after any Regular Record Date and on or prior to the next succeeding Interest Payment Date (other than any Security whose Maturity is prior to such Interest Payment Date), interest whose Stated Maturity is on such Interest Payment Date shall be payable on such Interest Payment Date notwithstanding such conversion, and such interest (whether or not punctually paid or made available for payment) shall be paid to the Person in whose name that Security (or one or more Predecessor Securities) is registered at the close of business on such Regular Record Date. Except as otherwise expressly provided in the immediately preceding sentence, in the case of any Security which is converted, interest whose Stated Maturity is after the date of conversion of such Security shall not be payable. Notwithstanding the foregoing, the terms of any Security that may be converted may provide that the provisions of this paragraph do not apply, or apply with such additions, changes or omissions as may be provided thereby, to such Security.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Persons Deemed Owners.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contemplated by </w:t>
      </w:r>
      <w:r>
        <w:rPr>
          <w:rFonts w:ascii="Times New Roman" w:hAnsi="Times New Roman"/>
          <w:sz w:val="20"/>
          <w:u w:val="single"/>
        </w:rPr>
        <w:t>Section 3.01</w:t>
      </w:r>
      <w:r>
        <w:rPr>
          <w:rFonts w:ascii="Times New Roman" w:hAnsi="Times New Roman"/>
          <w:sz w:val="20"/>
        </w:rPr>
        <w:t xml:space="preserve"> with respect to any series of Securities, 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w:t>
      </w:r>
      <w:r>
        <w:rPr>
          <w:rFonts w:ascii="Times New Roman" w:hAnsi="Times New Roman"/>
          <w:sz w:val="20"/>
          <w:u w:val="single"/>
        </w:rPr>
        <w:t>Sections 3.05</w:t>
      </w:r>
      <w:r>
        <w:rPr>
          <w:rFonts w:ascii="Times New Roman" w:hAnsi="Times New Roman"/>
          <w:sz w:val="20"/>
        </w:rPr>
        <w:t xml:space="preserve"> and </w:t>
      </w:r>
      <w:r>
        <w:rPr>
          <w:rFonts w:ascii="Times New Roman" w:hAnsi="Times New Roman"/>
          <w:sz w:val="20"/>
          <w:u w:val="single"/>
        </w:rPr>
        <w:t>3.07</w:t>
      </w:r>
      <w:r>
        <w:rPr>
          <w:rFonts w:ascii="Times New Roman" w:hAnsi="Times New Roman"/>
          <w:sz w:val="20"/>
        </w:rPr>
        <w:t xml:space="preserve">) any interest on such Security and for all other purposes whatsoever, whether or not such Security be overdue, and neither the Company, the Trustee nor any agent of the Company or the Trustee shall be affected by notice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holder of any beneficial interest in any Global Security held on its behalf by a Depositary shall have any rights under this Indenture with respect to such Global Security, and such Depositary may be treated by the Company, the Trustee and any agent of the Company or the Trustee as the owner of such Global Security for all purposes whatsoever. None of the Company, the Trustee nor any agent of the Company or the Trustee will have any responsibility or liability for any aspect of the records relating to or payments made on account of beneficial ownership interests of a Global Security or for maintaining, supervising or reviewing any records relating to such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Cancellation.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surrendered for payment, redemption, registration of transfer or exchange or conversion or for credit against any sinking fund payment shall, if surrendered to any Person other than the Trustee, be delivered to the Trustee and, if not already cancelled,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No Securities shall be authenticated in lieu of or in exchange for any Securities cancelled as provided in this Section, except as expressly permitted by this Indenture. All cancelled Securities held by the Trustee shall be disposed of in accordance with its customary procedures as directed by a Company Order, and the Trustee shall thereafter deliver to the Company a certificate with respect to such disposition.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Computation of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specified as contemplated by </w:t>
      </w:r>
      <w:r>
        <w:rPr>
          <w:rFonts w:ascii="Times New Roman" w:hAnsi="Times New Roman"/>
          <w:sz w:val="20"/>
          <w:u w:val="single"/>
        </w:rPr>
        <w:t>Section 3.01</w:t>
      </w:r>
      <w:r>
        <w:rPr>
          <w:rFonts w:ascii="Times New Roman" w:hAnsi="Times New Roman"/>
          <w:sz w:val="20"/>
        </w:rPr>
        <w:t xml:space="preserve"> for Securities of any series, interest on the Securities of each series shall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CUSIP Numbers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in issuing the Securities may use “CUSIP” or “ISIN” numbers (in addition to the other identification numbers printed on the Securities), if then in use, and, if so, the Trustee shall use such “CUSIP” or “ISIN” numbers in notices of redemption as a convenience to Holders; provided, however, that any such notice may state that no representation is made as to the correctness of such “CUSIP” or “ISIN” numbers either as printed on the Securities or as contained in any notice of a redemption and that reliance may be placed only on the other identification numbers printed on the Securities, and any such redemption shall not be affected by any defect in or omission of such “CUSIP” or “ISIN” numbers. The Company will promptly notify the Trustee of any change in the “CUSIP” or “ISIN” numbers. </w:t>
      </w:r>
    </w:p>
    <w:p>
      <w:pPr>
        <w:pStyle w:val="TextBody"/>
        <w:bidi w:val="0"/>
        <w:spacing w:before="24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 xml:space="preserve">Original Issue Discount. </w:t>
      </w:r>
    </w:p>
    <w:p>
      <w:pPr>
        <w:pStyle w:val="TextBody"/>
        <w:bidi w:val="0"/>
        <w:spacing w:before="240" w:after="0"/>
        <w:jc w:val="left"/>
        <w:rPr>
          <w:rFonts w:ascii="Times New Roman" w:hAnsi="Times New Roman"/>
          <w:sz w:val="20"/>
        </w:rPr>
      </w:pPr>
      <w:r>
        <w:rPr>
          <w:rFonts w:ascii="Times New Roman" w:hAnsi="Times New Roman"/>
          <w:sz w:val="20"/>
        </w:rPr>
        <w:t xml:space="preserve">If any of the Securities is an Original Issue Discount Security, the Company shall file with the Trustee promptly at the end of each calendar year (1) a written notice specifying the amount of original issue discount (including daily rates and accrual periods) accrued on such Outstanding Original Issue Discount Securities as of the end of such year and (2) such other specific information relating to such original issue discount as may then be relevant under the Internal Revenue Code.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SATISFACTION AND DISCHARGE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Satisfaction and Discharge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shall, upon Company Request, cease to be of further effect with respect to Securities of any series (except as to any surviving rights of registration of transfer or exchange of Securities herein expressly provided for), and the Trustee, at the expense of the Company, shall execute proper instruments acknowledging satisfaction and discharge of this Indenture with respect to such Securities, when: </w:t>
      </w:r>
    </w:p>
    <w:p>
      <w:pPr>
        <w:pStyle w:val="TextBody"/>
        <w:bidi w:val="0"/>
        <w:spacing w:before="120" w:after="0"/>
        <w:jc w:val="left"/>
        <w:rPr>
          <w:rFonts w:ascii="Times New Roman" w:hAnsi="Times New Roman"/>
          <w:sz w:val="20"/>
        </w:rPr>
      </w:pPr>
      <w:r>
        <w:rPr>
          <w:rFonts w:ascii="Times New Roman" w:hAnsi="Times New Roman"/>
          <w:sz w:val="20"/>
        </w:rPr>
        <w:t xml:space="preserve">(a) either: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all such Securities theretofore authenticated and delivered (other than (i) such Securities which have been mutilated, destroyed, lost or stolen and which have been replaced or paid as provided in </w:t>
      </w:r>
      <w:r>
        <w:rPr>
          <w:rFonts w:ascii="Times New Roman" w:hAnsi="Times New Roman"/>
          <w:sz w:val="20"/>
          <w:u w:val="single"/>
        </w:rPr>
        <w:t>Section 3.06</w:t>
      </w:r>
      <w:r>
        <w:rPr>
          <w:rFonts w:ascii="Times New Roman" w:hAnsi="Times New Roman"/>
          <w:sz w:val="20"/>
        </w:rPr>
        <w:t xml:space="preserve"> and (ii) such Securities for whose payment money has theretofore been deposited in trust or segregated and held in trust by the Company and thereafter repaid to the Company or discharged from such trust, as provided in </w:t>
      </w:r>
      <w:r>
        <w:rPr>
          <w:rFonts w:ascii="Times New Roman" w:hAnsi="Times New Roman"/>
          <w:sz w:val="20"/>
          <w:u w:val="single"/>
        </w:rPr>
        <w:t>Section 10.03</w:t>
      </w:r>
      <w:r>
        <w:rPr>
          <w:rFonts w:ascii="Times New Roman" w:hAnsi="Times New Roman"/>
          <w:sz w:val="20"/>
        </w:rPr>
        <w:t xml:space="preserve">) have been delivered to the Trustee cancelled or for cancellation; or </w:t>
      </w:r>
    </w:p>
    <w:p>
      <w:pPr>
        <w:pStyle w:val="TextBody"/>
        <w:bidi w:val="0"/>
        <w:spacing w:before="240" w:after="0"/>
        <w:jc w:val="left"/>
        <w:rPr>
          <w:rFonts w:ascii="Times New Roman" w:hAnsi="Times New Roman"/>
          <w:sz w:val="20"/>
        </w:rPr>
      </w:pPr>
      <w:r>
        <w:rPr>
          <w:rFonts w:ascii="Times New Roman" w:hAnsi="Times New Roman"/>
          <w:sz w:val="20"/>
        </w:rPr>
        <w:t xml:space="preserve">(ii) all such Securities not theretofore delivered to the Trustee as cancelled or for cancellation: </w:t>
      </w:r>
    </w:p>
    <w:p>
      <w:pPr>
        <w:pStyle w:val="TextBody"/>
        <w:bidi w:val="0"/>
        <w:spacing w:before="120" w:after="0"/>
        <w:jc w:val="left"/>
        <w:rPr>
          <w:rFonts w:ascii="Times New Roman" w:hAnsi="Times New Roman"/>
          <w:sz w:val="20"/>
        </w:rPr>
      </w:pPr>
      <w:r>
        <w:rPr>
          <w:rFonts w:ascii="Times New Roman" w:hAnsi="Times New Roman"/>
          <w:sz w:val="20"/>
        </w:rPr>
        <w:t xml:space="preserve">(1) have become due and payable; or </w:t>
      </w:r>
    </w:p>
    <w:p>
      <w:pPr>
        <w:pStyle w:val="TextBody"/>
        <w:bidi w:val="0"/>
        <w:spacing w:before="120" w:after="0"/>
        <w:jc w:val="left"/>
        <w:rPr>
          <w:rFonts w:ascii="Times New Roman" w:hAnsi="Times New Roman"/>
          <w:sz w:val="20"/>
        </w:rPr>
      </w:pPr>
      <w:r>
        <w:rPr>
          <w:rFonts w:ascii="Times New Roman" w:hAnsi="Times New Roman"/>
          <w:sz w:val="20"/>
        </w:rPr>
        <w:t xml:space="preserve">(2) will become due and payable at their Stated Maturity within one year; or </w:t>
      </w:r>
    </w:p>
    <w:p>
      <w:pPr>
        <w:pStyle w:val="TextBody"/>
        <w:bidi w:val="0"/>
        <w:spacing w:before="120" w:after="0"/>
        <w:jc w:val="left"/>
        <w:rPr>
          <w:rFonts w:ascii="Times New Roman" w:hAnsi="Times New Roman"/>
          <w:sz w:val="20"/>
        </w:rPr>
      </w:pPr>
      <w:r>
        <w:rPr>
          <w:rFonts w:ascii="Times New Roman" w:hAnsi="Times New Roman"/>
          <w:sz w:val="20"/>
        </w:rPr>
        <w:t xml:space="preserve">(3) are to be called for redemption within one year under arrangements satisfactory to the Trustee for the giving of notice of redemption by the Trustee in the name, and at the expense,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and the Company in the case of (1), (2) or (3) above, has deposited or caused to be deposited with the Trustee, as trust funds in trust for such purpose, an amount of money in the currency or currency units in which such Securities are payable sufficient to pay and discharge the entire indebtedness on such Securities not theretofore delivered to the Trustee as cancelled or for cancellation, for principal and any premium and interest to the date of such deposit (in the case of such Securities which have become due and payable) or to the Stated Maturity or Redemption Date,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paid or caused to be paid, or otherwise made provision for the payment of, all other sums payable hereunder by the Company with respect to such Securities; and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delivered to the Trustee an Officer’s Certificate and an Opinion of Counsel each stating that all conditions precedent herein provided for relating to the satisfaction and discharge of this Indenture with respect to such Securities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satisfaction and discharge of this Indenture with respect to Securities of any series, the obligations of the Company to the Trustee under </w:t>
      </w:r>
      <w:r>
        <w:rPr>
          <w:rFonts w:ascii="Times New Roman" w:hAnsi="Times New Roman"/>
          <w:sz w:val="20"/>
          <w:u w:val="single"/>
        </w:rPr>
        <w:t>Section 6.07</w:t>
      </w:r>
      <w:r>
        <w:rPr>
          <w:rFonts w:ascii="Times New Roman" w:hAnsi="Times New Roman"/>
          <w:sz w:val="20"/>
        </w:rPr>
        <w:t xml:space="preserve">, the obligations of the Trustee to any Authenticating Agent under </w:t>
      </w:r>
      <w:r>
        <w:rPr>
          <w:rFonts w:ascii="Times New Roman" w:hAnsi="Times New Roman"/>
          <w:sz w:val="20"/>
          <w:u w:val="single"/>
        </w:rPr>
        <w:t>Section 6.14</w:t>
      </w:r>
      <w:r>
        <w:rPr>
          <w:rFonts w:ascii="Times New Roman" w:hAnsi="Times New Roman"/>
          <w:sz w:val="20"/>
        </w:rPr>
        <w:t xml:space="preserve"> and the right of the Trustee to resign under </w:t>
      </w:r>
      <w:r>
        <w:rPr>
          <w:rFonts w:ascii="Times New Roman" w:hAnsi="Times New Roman"/>
          <w:sz w:val="20"/>
          <w:u w:val="single"/>
        </w:rPr>
        <w:t>Section 6.10</w:t>
      </w:r>
      <w:r>
        <w:rPr>
          <w:rFonts w:ascii="Times New Roman" w:hAnsi="Times New Roman"/>
          <w:sz w:val="20"/>
        </w:rPr>
        <w:t xml:space="preserve"> shall survive, and, if money shall have been deposited with the Trustee pursuant to subclause (2) of Clause (a) of this Section, the obligations of the Trustee under </w:t>
      </w:r>
      <w:r>
        <w:rPr>
          <w:rFonts w:ascii="Times New Roman" w:hAnsi="Times New Roman"/>
          <w:sz w:val="20"/>
          <w:u w:val="single"/>
        </w:rPr>
        <w:t>Section 4.02</w:t>
      </w:r>
      <w:r>
        <w:rPr>
          <w:rFonts w:ascii="Times New Roman" w:hAnsi="Times New Roman"/>
          <w:sz w:val="20"/>
        </w:rPr>
        <w:t xml:space="preserve"> and the last paragraph of </w:t>
      </w:r>
      <w:r>
        <w:rPr>
          <w:rFonts w:ascii="Times New Roman" w:hAnsi="Times New Roman"/>
          <w:sz w:val="20"/>
          <w:u w:val="single"/>
        </w:rPr>
        <w:t>Section 10.03</w:t>
      </w:r>
      <w:r>
        <w:rPr>
          <w:rFonts w:ascii="Times New Roman" w:hAnsi="Times New Roman"/>
          <w:sz w:val="20"/>
        </w:rPr>
        <w:t xml:space="preserve"> shall survive such satisfaction and discharge.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Application of Trust Money.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the last paragraph of </w:t>
      </w:r>
      <w:r>
        <w:rPr>
          <w:rFonts w:ascii="Times New Roman" w:hAnsi="Times New Roman"/>
          <w:sz w:val="20"/>
          <w:u w:val="single"/>
        </w:rPr>
        <w:t>Section 10.03</w:t>
      </w:r>
      <w:r>
        <w:rPr>
          <w:rFonts w:ascii="Times New Roman" w:hAnsi="Times New Roman"/>
          <w:sz w:val="20"/>
        </w:rPr>
        <w:t xml:space="preserve">, all money deposited with the Trustee pursuant to </w:t>
      </w:r>
      <w:r>
        <w:rPr>
          <w:rFonts w:ascii="Times New Roman" w:hAnsi="Times New Roman"/>
          <w:sz w:val="20"/>
          <w:u w:val="single"/>
        </w:rPr>
        <w:t>Section 4.01</w:t>
      </w:r>
      <w:r>
        <w:rPr>
          <w:rFonts w:ascii="Times New Roman" w:hAnsi="Times New Roman"/>
          <w:sz w:val="20"/>
        </w:rPr>
        <w:t xml:space="preserve">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 All money deposited with the Trustee pursuant to </w:t>
      </w:r>
      <w:r>
        <w:rPr>
          <w:rFonts w:ascii="Times New Roman" w:hAnsi="Times New Roman"/>
          <w:sz w:val="20"/>
          <w:u w:val="single"/>
        </w:rPr>
        <w:t>Section 4.01</w:t>
      </w:r>
      <w:r>
        <w:rPr>
          <w:rFonts w:ascii="Times New Roman" w:hAnsi="Times New Roman"/>
          <w:sz w:val="20"/>
        </w:rPr>
        <w:t xml:space="preserve"> (and held by it or any Paying Agent) for the payment of such Securities subsequently converted into other property shall be returned to the Company upon Company Request. The Company may direct by a Company Order the investment of any money deposited with the Trustee pursuant to </w:t>
      </w:r>
      <w:r>
        <w:rPr>
          <w:rFonts w:ascii="Times New Roman" w:hAnsi="Times New Roman"/>
          <w:sz w:val="20"/>
          <w:u w:val="single"/>
        </w:rPr>
        <w:t>Section 4.01</w:t>
      </w:r>
      <w:r>
        <w:rPr>
          <w:rFonts w:ascii="Times New Roman" w:hAnsi="Times New Roman"/>
          <w:sz w:val="20"/>
        </w:rPr>
        <w:t xml:space="preserve">, without distinction between principal and income, in (1) United States Treasury Securities with a maturity of one year or less or (2) a money market fund that invests solely in short term United States Treasury Securities (including money market funds for which the Trustee or an affiliate of the Trustee serves as investment advisor, administrator, shareholder, servicing agent and/or custodian or sub-custodian, notwithstanding that (a) the Trustee charges and collects fees and expenses from such funds for services rendered and (b) the Trustee charges and collects fees and expenses for services rendered pursuant to this Indenture at any time), and from time to time the Company may direct the reinvestment of all or a portion of such money in other securities or funds meeting the criteria specified in Clause (1) or (2) of this Section.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may otherwise be provided pursuant to </w:t>
      </w:r>
      <w:r>
        <w:rPr>
          <w:rFonts w:ascii="Times New Roman" w:hAnsi="Times New Roman"/>
          <w:sz w:val="20"/>
          <w:u w:val="single"/>
        </w:rPr>
        <w:t>Section 3.01</w:t>
      </w:r>
      <w:r>
        <w:rPr>
          <w:rFonts w:ascii="Times New Roman" w:hAnsi="Times New Roman"/>
          <w:sz w:val="20"/>
        </w:rPr>
        <w:t xml:space="preserve"> for Securities of any series, an “</w:t>
      </w:r>
      <w:r>
        <w:rPr>
          <w:rFonts w:ascii="Times New Roman" w:hAnsi="Times New Roman"/>
          <w:b/>
          <w:sz w:val="20"/>
        </w:rPr>
        <w:t>Event of Default</w:t>
      </w:r>
      <w:r>
        <w:rPr>
          <w:rFonts w:ascii="Times New Roman" w:hAnsi="Times New Roman"/>
          <w:sz w:val="20"/>
        </w:rPr>
        <w:t xml:space="preserve">”, wherever used herein or in a Security issued hereunder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w:t>
      </w:r>
    </w:p>
    <w:p>
      <w:pPr>
        <w:pStyle w:val="TextBody"/>
        <w:bidi w:val="0"/>
        <w:spacing w:before="120" w:after="0"/>
        <w:jc w:val="left"/>
        <w:rPr>
          <w:rFonts w:ascii="Times New Roman" w:hAnsi="Times New Roman"/>
          <w:sz w:val="20"/>
        </w:rPr>
      </w:pPr>
      <w:r>
        <w:rPr>
          <w:rFonts w:ascii="Times New Roman" w:hAnsi="Times New Roman"/>
          <w:sz w:val="20"/>
        </w:rPr>
        <w:t xml:space="preserve">(a) default in the payment of any interest upon any Security of that series when it becomes due and payable, and continuance of such default for a period of 30 days; </w:t>
      </w:r>
    </w:p>
    <w:p>
      <w:pPr>
        <w:pStyle w:val="TextBody"/>
        <w:bidi w:val="0"/>
        <w:spacing w:before="240" w:after="0"/>
        <w:jc w:val="left"/>
        <w:rPr>
          <w:rFonts w:ascii="Times New Roman" w:hAnsi="Times New Roman"/>
          <w:sz w:val="20"/>
        </w:rPr>
      </w:pPr>
      <w:r>
        <w:rPr>
          <w:rFonts w:ascii="Times New Roman" w:hAnsi="Times New Roman"/>
          <w:sz w:val="20"/>
        </w:rPr>
        <w:t xml:space="preserve">(b) default in the payment of the principal of or any premium on any Security of that series at its Maturity; </w:t>
      </w:r>
    </w:p>
    <w:p>
      <w:pPr>
        <w:pStyle w:val="TextBody"/>
        <w:bidi w:val="0"/>
        <w:spacing w:before="240" w:after="0"/>
        <w:jc w:val="left"/>
        <w:rPr>
          <w:rFonts w:ascii="Times New Roman" w:hAnsi="Times New Roman"/>
          <w:sz w:val="20"/>
        </w:rPr>
      </w:pPr>
      <w:r>
        <w:rPr>
          <w:rFonts w:ascii="Times New Roman" w:hAnsi="Times New Roman"/>
          <w:sz w:val="20"/>
        </w:rPr>
        <w:t xml:space="preserve">(c) default in the deposit of any sinking fund payment, when and as due by the terms of a Security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(d) default in the performance, or breach, of any covenant of the Company in this Indenture (other than a default in the performance or the breach of a covenant which is specifically dealt with elsewhere in this Section or which has expressly been included in this Indenture solely for the benefit of series of Securities other than that series), and continuance of such default or breach for a period of 90 days after there has been given to the Company by the Trustee or to the Company and the Trustee by the Holders of at least 25% in aggregate principal amount of the Outstanding Securities of that series a written notice specifying such default or breach and requiring it to be remedied and stating that such notice is a “Notice of Default” hereunder; </w:t>
      </w:r>
    </w:p>
    <w:p>
      <w:pPr>
        <w:pStyle w:val="TextBody"/>
        <w:bidi w:val="0"/>
        <w:spacing w:before="240" w:after="0"/>
        <w:jc w:val="left"/>
        <w:rPr>
          <w:rFonts w:ascii="Times New Roman" w:hAnsi="Times New Roman"/>
          <w:sz w:val="20"/>
        </w:rPr>
      </w:pPr>
      <w:r>
        <w:rPr>
          <w:rFonts w:ascii="Times New Roman" w:hAnsi="Times New Roman"/>
          <w:sz w:val="20"/>
        </w:rPr>
        <w:t xml:space="preserve">(e) the entry by a court having jurisdiction in the premises of (1) a decree or order for relief in respect of the Company in an involuntary case or proceeding under any applicable Federal or State bankruptcy, insolvency, reorganization or other similar law or (2) a decree or order adjudging the Company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arrangement, adjustment or composition of or in respect of the Company under any applicable Federal or State law, or the consent by it to the filing of such petition or to the appointment of or taking possession by a custodian, receiver, liquidator, assignee, trustee, sequestrator or other similar official of the Company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 </w:t>
      </w:r>
    </w:p>
    <w:p>
      <w:pPr>
        <w:pStyle w:val="TextBody"/>
        <w:bidi w:val="0"/>
        <w:spacing w:before="240" w:after="0"/>
        <w:jc w:val="left"/>
        <w:rPr>
          <w:rFonts w:ascii="Times New Roman" w:hAnsi="Times New Roman"/>
          <w:sz w:val="20"/>
        </w:rPr>
      </w:pPr>
      <w:r>
        <w:rPr>
          <w:rFonts w:ascii="Times New Roman" w:hAnsi="Times New Roman"/>
          <w:sz w:val="20"/>
        </w:rPr>
        <w:t xml:space="preserve">(g) any other Event of Default provided as contemplated by </w:t>
      </w:r>
      <w:r>
        <w:rPr>
          <w:rFonts w:ascii="Times New Roman" w:hAnsi="Times New Roman"/>
          <w:sz w:val="20"/>
          <w:u w:val="single"/>
        </w:rPr>
        <w:t>Section 3.01</w:t>
      </w:r>
      <w:r>
        <w:rPr>
          <w:rFonts w:ascii="Times New Roman" w:hAnsi="Times New Roman"/>
          <w:sz w:val="20"/>
        </w:rPr>
        <w:t xml:space="preserve"> with respect to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Acceleration of Maturity; Rescission and Annulment.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specified in </w:t>
      </w:r>
      <w:r>
        <w:rPr>
          <w:rFonts w:ascii="Times New Roman" w:hAnsi="Times New Roman"/>
          <w:sz w:val="20"/>
          <w:u w:val="single"/>
        </w:rPr>
        <w:t>Section 5.01(e)</w:t>
      </w:r>
      <w:r>
        <w:rPr>
          <w:rFonts w:ascii="Times New Roman" w:hAnsi="Times New Roman"/>
          <w:sz w:val="20"/>
        </w:rPr>
        <w:t xml:space="preserve"> or </w:t>
      </w:r>
      <w:r>
        <w:rPr>
          <w:rFonts w:ascii="Times New Roman" w:hAnsi="Times New Roman"/>
          <w:sz w:val="20"/>
          <w:u w:val="single"/>
        </w:rPr>
        <w:t>5.01(f)</w:t>
      </w:r>
      <w:r>
        <w:rPr>
          <w:rFonts w:ascii="Times New Roman" w:hAnsi="Times New Roman"/>
          <w:sz w:val="20"/>
        </w:rPr>
        <w:t xml:space="preserve">) with respect to Securities of any series at the time Outstanding occurs and is continuing, then in every such case the Trustee or the Holders of not less than 25% in aggregate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to be due and payable immediately, by a notice in writing to the Company (and to the Trustee if given by Holders), and upon any such declaration such principal amount (or specified amount) shall become immediately due and payable. If an Event of Default specified in </w:t>
      </w:r>
      <w:r>
        <w:rPr>
          <w:rFonts w:ascii="Times New Roman" w:hAnsi="Times New Roman"/>
          <w:sz w:val="20"/>
          <w:u w:val="single"/>
        </w:rPr>
        <w:t>Section 5.01(e)</w:t>
      </w:r>
      <w:r>
        <w:rPr>
          <w:rFonts w:ascii="Times New Roman" w:hAnsi="Times New Roman"/>
          <w:sz w:val="20"/>
        </w:rPr>
        <w:t xml:space="preserve"> or </w:t>
      </w:r>
      <w:r>
        <w:rPr>
          <w:rFonts w:ascii="Times New Roman" w:hAnsi="Times New Roman"/>
          <w:sz w:val="20"/>
          <w:u w:val="single"/>
        </w:rPr>
        <w:t>5.01(f)</w:t>
      </w:r>
      <w:r>
        <w:rPr>
          <w:rFonts w:ascii="Times New Roman" w:hAnsi="Times New Roman"/>
          <w:sz w:val="20"/>
        </w:rPr>
        <w:t xml:space="preserve">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shall automatically, and without any declaration or other action on the part of the Trustee or any Holder, become immediately due and payable. Upon payment of such amount, all obligations of the Company in respect of the payment of principal and interest of the Securities of such series shall terminate. </w:t>
      </w:r>
    </w:p>
    <w:p>
      <w:pPr>
        <w:pStyle w:val="TextBody"/>
        <w:bidi w:val="0"/>
        <w:spacing w:before="240" w:after="0"/>
        <w:jc w:val="left"/>
        <w:rPr>
          <w:rFonts w:ascii="Times New Roman" w:hAnsi="Times New Roman"/>
          <w:sz w:val="20"/>
        </w:rPr>
      </w:pPr>
      <w:r>
        <w:rPr>
          <w:rFonts w:ascii="Times New Roman" w:hAnsi="Times New Roman"/>
          <w:sz w:val="20"/>
        </w:rPr>
        <w:t xml:space="preserve">Except as may otherwise be provided pursuant to </w:t>
      </w:r>
      <w:r>
        <w:rPr>
          <w:rFonts w:ascii="Times New Roman" w:hAnsi="Times New Roman"/>
          <w:sz w:val="20"/>
          <w:u w:val="single"/>
        </w:rPr>
        <w:t>Section 3.01</w:t>
      </w:r>
      <w:r>
        <w:rPr>
          <w:rFonts w:ascii="Times New Roman" w:hAnsi="Times New Roman"/>
          <w:sz w:val="20"/>
        </w:rPr>
        <w:t xml:space="preserve"> for all or any specific Securities of any series, at any time after such a declaration of acceleration with respect to Securities of any series has been made and before a judgment or decree for payment of the money due has been obtained by the Trustee as hereinafter in this Article provided, the Holders of a majority in aggregate principal amount of the Outstanding Securities of that series, by written notice to the Company and the Trustee, may rescind and annul such declaration and its consequences if: </w:t>
      </w:r>
    </w:p>
    <w:p>
      <w:pPr>
        <w:pStyle w:val="TextBody"/>
        <w:bidi w:val="0"/>
        <w:spacing w:before="120" w:after="0"/>
        <w:jc w:val="left"/>
        <w:rPr>
          <w:rFonts w:ascii="Times New Roman" w:hAnsi="Times New Roman"/>
          <w:sz w:val="20"/>
        </w:rPr>
      </w:pPr>
      <w:r>
        <w:rPr>
          <w:rFonts w:ascii="Times New Roman" w:hAnsi="Times New Roman"/>
          <w:sz w:val="20"/>
        </w:rPr>
        <w:t xml:space="preserve">(a) the Company has paid or deposited with the Trustee a sum sufficient to pay: </w:t>
      </w:r>
    </w:p>
    <w:p>
      <w:pPr>
        <w:pStyle w:val="TextBody"/>
        <w:bidi w:val="0"/>
        <w:spacing w:before="120" w:after="0"/>
        <w:jc w:val="left"/>
        <w:rPr>
          <w:rFonts w:ascii="Times New Roman" w:hAnsi="Times New Roman"/>
          <w:sz w:val="20"/>
        </w:rPr>
      </w:pPr>
      <w:r>
        <w:rPr>
          <w:rFonts w:ascii="Times New Roman" w:hAnsi="Times New Roman"/>
          <w:sz w:val="20"/>
        </w:rPr>
        <w:t xml:space="preserve">(i) all overdue interest on all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(ii) the principal of (and premium, if any, on) any Securities of that series which have become due otherwise than by such declaration of acceleration and any interest thereon at the rate or rates prescribed therefor in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(iii) to the extent that payment of such interest is lawful, interest upon overdue interest at the rate or rates prescribed therefor in such Securities; and </w:t>
      </w:r>
    </w:p>
    <w:p>
      <w:pPr>
        <w:pStyle w:val="TextBody"/>
        <w:bidi w:val="0"/>
        <w:spacing w:before="240" w:after="0"/>
        <w:jc w:val="left"/>
        <w:rPr>
          <w:rFonts w:ascii="Times New Roman" w:hAnsi="Times New Roman"/>
          <w:sz w:val="20"/>
        </w:rPr>
      </w:pPr>
      <w:r>
        <w:rPr>
          <w:rFonts w:ascii="Times New Roman" w:hAnsi="Times New Roman"/>
          <w:sz w:val="20"/>
        </w:rPr>
        <w:t xml:space="preserve">(iv) all sums paid or advanced by the Trustee hereunder and the reasonable compensation, expenses, disbursements and advances of the Trustee, its agents and counsel, and </w:t>
      </w:r>
    </w:p>
    <w:p>
      <w:pPr>
        <w:pStyle w:val="TextBody"/>
        <w:bidi w:val="0"/>
        <w:spacing w:before="240" w:after="0"/>
        <w:jc w:val="left"/>
        <w:rPr>
          <w:rFonts w:ascii="Times New Roman" w:hAnsi="Times New Roman"/>
          <w:sz w:val="20"/>
        </w:rPr>
      </w:pPr>
      <w:r>
        <w:rPr>
          <w:rFonts w:ascii="Times New Roman" w:hAnsi="Times New Roman"/>
          <w:sz w:val="20"/>
        </w:rPr>
        <w:t xml:space="preserve">(b) all Events of Default with respect to Securities of that series, other than the non-payment of the principal of Securities of that series which have become due solely by such declaration of acceleration, have been cured or waived as provided in </w:t>
      </w:r>
      <w:r>
        <w:rPr>
          <w:rFonts w:ascii="Times New Roman" w:hAnsi="Times New Roman"/>
          <w:sz w:val="20"/>
          <w:u w:val="single"/>
        </w:rPr>
        <w:t>Section 5.13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such rescission shall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Collection of Indebtedness and Suits for Enforcement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that if: </w:t>
      </w:r>
    </w:p>
    <w:p>
      <w:pPr>
        <w:pStyle w:val="TextBody"/>
        <w:bidi w:val="0"/>
        <w:spacing w:before="120" w:after="0"/>
        <w:jc w:val="left"/>
        <w:rPr>
          <w:rFonts w:ascii="Times New Roman" w:hAnsi="Times New Roman"/>
          <w:sz w:val="20"/>
        </w:rPr>
      </w:pPr>
      <w:r>
        <w:rPr>
          <w:rFonts w:ascii="Times New Roman" w:hAnsi="Times New Roman"/>
          <w:sz w:val="20"/>
        </w:rPr>
        <w:t xml:space="preserve">(a) default is made in the payment of any interest on any Security when such interest becomes due and payable and such default continues for a period of 30 days; or </w:t>
      </w:r>
    </w:p>
    <w:p>
      <w:pPr>
        <w:pStyle w:val="TextBody"/>
        <w:bidi w:val="0"/>
        <w:spacing w:before="240" w:after="0"/>
        <w:jc w:val="left"/>
        <w:rPr>
          <w:rFonts w:ascii="Times New Roman" w:hAnsi="Times New Roman"/>
          <w:sz w:val="20"/>
        </w:rPr>
      </w:pPr>
      <w:r>
        <w:rPr>
          <w:rFonts w:ascii="Times New Roman" w:hAnsi="Times New Roman"/>
          <w:sz w:val="20"/>
        </w:rPr>
        <w:t xml:space="preserve">(b) default is made in the payment of the principal of (or premium, if any, on) any Security at the Maturity thereof, </w:t>
      </w:r>
    </w:p>
    <w:p>
      <w:pPr>
        <w:pStyle w:val="TextBody"/>
        <w:bidi w:val="0"/>
        <w:spacing w:before="240" w:after="0"/>
        <w:jc w:val="left"/>
        <w:rPr>
          <w:rFonts w:ascii="Times New Roman" w:hAnsi="Times New Roman"/>
          <w:sz w:val="20"/>
        </w:rPr>
      </w:pPr>
      <w:r>
        <w:rPr>
          <w:rFonts w:ascii="Times New Roman" w:hAnsi="Times New Roman"/>
          <w:sz w:val="20"/>
        </w:rPr>
        <w:t xml:space="preserve">then the Company will, upon demand of the Trustee, pay to the Trustee,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the Securities and collect the moneys adjudged or decreed to be payable in the manner provided by law out of the property of the Company or any other obligor upon the Securities, wherever situated.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Trustee May File Proofs of Claim.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of any judicial proceeding relative to the Company (or any other obligor upon the Securities), its property or its creditors, the Trustee (irrespective of whether the principal of the Securities shall then be due and payable as therein expressed or by declaration or otherwise and irrespective of whether the Trustee shall have made any demand for overdue principal or interest)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w:t>
      </w:r>
      <w:r>
        <w:rPr>
          <w:rFonts w:ascii="Times New Roman" w:hAnsi="Times New Roman"/>
          <w:sz w:val="20"/>
          <w:u w:val="single"/>
        </w:rPr>
        <w:t>Section 6.07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provided, however, that the Trustee may, on behalf of the Holders, vote for the election of a trustee in bankruptcy or similar official and be a member of a creditors’ or other similar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Trustee May Enforce Claims Without Possession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shall after provision for the payment of the reasonable compensation, expenses, disbursements and advances of the Trustee, its agents and counsel, be for the ratable benefit of the Holders of the Securities in respect of which such judgment has been recovered.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Application of Money Collected.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 or property collected or to be applied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 </w:t>
      </w:r>
    </w:p>
    <w:p>
      <w:pPr>
        <w:pStyle w:val="TextBody"/>
        <w:bidi w:val="0"/>
        <w:spacing w:before="120" w:after="0"/>
        <w:jc w:val="left"/>
        <w:rPr>
          <w:rFonts w:ascii="Times New Roman" w:hAnsi="Times New Roman"/>
          <w:sz w:val="20"/>
        </w:rPr>
      </w:pPr>
      <w:r>
        <w:rPr>
          <w:rFonts w:ascii="Times New Roman" w:hAnsi="Times New Roman"/>
          <w:b/>
          <w:sz w:val="20"/>
        </w:rPr>
        <w:t>First</w:t>
      </w:r>
      <w:r>
        <w:rPr>
          <w:rFonts w:ascii="Times New Roman" w:hAnsi="Times New Roman"/>
          <w:sz w:val="20"/>
        </w:rPr>
        <w:t xml:space="preserve">: To the payment of all amounts due the Trustee under </w:t>
      </w:r>
      <w:r>
        <w:rPr>
          <w:rFonts w:ascii="Times New Roman" w:hAnsi="Times New Roman"/>
          <w:sz w:val="20"/>
          <w:u w:val="single"/>
        </w:rPr>
        <w:t>Section 6.07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Second</w:t>
      </w:r>
      <w:r>
        <w:rPr>
          <w:rFonts w:ascii="Times New Roman" w:hAnsi="Times New Roman"/>
          <w:sz w:val="20"/>
        </w:rPr>
        <w:t xml:space="preserve">: To the payment of the amounts then due and unpaid for principal of and any premium and interest on the Securities in respect of which or for the benefit of which such money has been collected, ratably, without preference or priority of any kind (other than contractual subordination agreements pursuant to the Indenture), according to the amounts due and payable on such Securities for principal and any premium and interest, respectively; and </w:t>
      </w:r>
    </w:p>
    <w:p>
      <w:pPr>
        <w:pStyle w:val="TextBody"/>
        <w:bidi w:val="0"/>
        <w:spacing w:before="240" w:after="0"/>
        <w:jc w:val="left"/>
        <w:rPr>
          <w:rFonts w:ascii="Times New Roman" w:hAnsi="Times New Roman"/>
          <w:sz w:val="20"/>
        </w:rPr>
      </w:pPr>
      <w:r>
        <w:rPr>
          <w:rFonts w:ascii="Times New Roman" w:hAnsi="Times New Roman"/>
          <w:b/>
          <w:sz w:val="20"/>
        </w:rPr>
        <w:t>Third</w:t>
      </w:r>
      <w:r>
        <w:rPr>
          <w:rFonts w:ascii="Times New Roman" w:hAnsi="Times New Roman"/>
          <w:sz w:val="20"/>
        </w:rPr>
        <w:t xml:space="preserve">: The balance, if any,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5.07 </w:t>
      </w:r>
      <w:r>
        <w:rPr>
          <w:rFonts w:ascii="Times New Roman" w:hAnsi="Times New Roman"/>
          <w:sz w:val="20"/>
          <w:u w:val="single"/>
        </w:rPr>
        <w:t>Limitation on Suits.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Security of any series shall have any right to institute any proceeding, judicial or otherwise, with respect to this Indenture, or for the appointment of a receiver, assignee, trustee, liquidator or sequestrator (or similar official) or for any other remedy hereunder, unless: </w:t>
      </w:r>
    </w:p>
    <w:p>
      <w:pPr>
        <w:pStyle w:val="TextBody"/>
        <w:bidi w:val="0"/>
        <w:spacing w:before="120" w:after="0"/>
        <w:jc w:val="left"/>
        <w:rPr>
          <w:rFonts w:ascii="Times New Roman" w:hAnsi="Times New Roman"/>
          <w:sz w:val="20"/>
        </w:rPr>
      </w:pPr>
      <w:r>
        <w:rPr>
          <w:rFonts w:ascii="Times New Roman" w:hAnsi="Times New Roman"/>
          <w:sz w:val="20"/>
        </w:rPr>
        <w:t xml:space="preserve">(a) such Holder has previously given written notice to the Trustee of a continuing Event of Default with respect to the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(b) the Holders of not less than 25% in aggregate principal amount of the Outstanding Securities of that series shall have made written request to the Trustee to institute proceedings in respect of such Event of Default in its own name as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(c) such Holder or Holders have offered, and if requested, provided to the Trustee reasonable security or indemnity against the costs, expenses and liabilities to be incurred in compliance with such request; </w:t>
      </w:r>
    </w:p>
    <w:p>
      <w:pPr>
        <w:pStyle w:val="TextBody"/>
        <w:bidi w:val="0"/>
        <w:spacing w:before="240" w:after="0"/>
        <w:jc w:val="left"/>
        <w:rPr>
          <w:rFonts w:ascii="Times New Roman" w:hAnsi="Times New Roman"/>
          <w:sz w:val="20"/>
        </w:rPr>
      </w:pPr>
      <w:r>
        <w:rPr>
          <w:rFonts w:ascii="Times New Roman" w:hAnsi="Times New Roman"/>
          <w:sz w:val="20"/>
        </w:rPr>
        <w:t xml:space="preserve">(d) the Trustee for 60 days after its receipt of such notice, request and offer and, if requested, provision of security or indemnity, has failed to institute any such proceeding; and </w:t>
      </w:r>
    </w:p>
    <w:p>
      <w:pPr>
        <w:pStyle w:val="TextBody"/>
        <w:bidi w:val="0"/>
        <w:spacing w:before="240" w:after="0"/>
        <w:jc w:val="left"/>
        <w:rPr>
          <w:rFonts w:ascii="Times New Roman" w:hAnsi="Times New Roman"/>
          <w:sz w:val="20"/>
        </w:rPr>
      </w:pPr>
      <w:r>
        <w:rPr>
          <w:rFonts w:ascii="Times New Roman" w:hAnsi="Times New Roman"/>
          <w:sz w:val="20"/>
        </w:rPr>
        <w:t xml:space="preserve">(e) no direction inconsistent with such written request has been given to the Trustee during such 60-day period by the Holders of a majority in aggregate principal amount of the Outstanding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5.08 </w:t>
      </w:r>
      <w:r>
        <w:rPr>
          <w:rFonts w:ascii="Times New Roman" w:hAnsi="Times New Roman"/>
          <w:sz w:val="20"/>
          <w:u w:val="single"/>
        </w:rPr>
        <w:t>Unconditional Right of Holders to Receive Principal Premium and Interest and to Convert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this Indenture, the Holder of any Security shall have the right, which is absolute and unconditional to receive payment of the principal of and any premium and (subject to </w:t>
      </w:r>
      <w:r>
        <w:rPr>
          <w:rFonts w:ascii="Times New Roman" w:hAnsi="Times New Roman"/>
          <w:sz w:val="20"/>
          <w:u w:val="single"/>
        </w:rPr>
        <w:t>Sections 3.05</w:t>
      </w:r>
      <w:r>
        <w:rPr>
          <w:rFonts w:ascii="Times New Roman" w:hAnsi="Times New Roman"/>
          <w:sz w:val="20"/>
        </w:rPr>
        <w:t xml:space="preserve"> and </w:t>
      </w:r>
      <w:r>
        <w:rPr>
          <w:rFonts w:ascii="Times New Roman" w:hAnsi="Times New Roman"/>
          <w:sz w:val="20"/>
          <w:u w:val="single"/>
        </w:rPr>
        <w:t>3.07</w:t>
      </w:r>
      <w:r>
        <w:rPr>
          <w:rFonts w:ascii="Times New Roman" w:hAnsi="Times New Roman"/>
          <w:sz w:val="20"/>
        </w:rPr>
        <w:t xml:space="preserve">) interest on such Security on the respective Stated Maturities expressed in such Security (or, in the case of redemption, on the Redemption Date or, if the terms of such Security so provide, to convert such Security in accordance with its terms) and to institute suit for the enforcement of any such payment and, if applicable, any such right to convert, and such rights shall not be impaired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5.09 </w:t>
      </w:r>
      <w:r>
        <w:rPr>
          <w:rFonts w:ascii="Times New Roman" w:hAnsi="Times New Roman"/>
          <w:sz w:val="20"/>
          <w:u w:val="single"/>
        </w:rPr>
        <w:t>Restoration of Rights and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Rights and Remedies Cumulative.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with respect to the replacement or payment of mutilated, destroyed, lost or stolen Securities in the last paragraph of </w:t>
      </w:r>
      <w:r>
        <w:rPr>
          <w:rFonts w:ascii="Times New Roman" w:hAnsi="Times New Roman"/>
          <w:sz w:val="20"/>
          <w:u w:val="single"/>
        </w:rPr>
        <w:t>Section 3.06</w:t>
      </w:r>
      <w:r>
        <w:rPr>
          <w:rFonts w:ascii="Times New Roman" w:hAnsi="Times New Roman"/>
          <w:sz w:val="20"/>
        </w:rPr>
        <w:t xml:space="preserve">,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Delay or Omission Not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Control by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w:t>
      </w:r>
      <w:r>
        <w:rPr>
          <w:rFonts w:ascii="Times New Roman" w:hAnsi="Times New Roman"/>
          <w:sz w:val="20"/>
          <w:u w:val="single"/>
        </w:rPr>
        <w:t>Section 6.03</w:t>
      </w:r>
      <w:r>
        <w:rPr>
          <w:rFonts w:ascii="Times New Roman" w:hAnsi="Times New Roman"/>
          <w:sz w:val="20"/>
        </w:rPr>
        <w:t xml:space="preserve">, the Holders of not less than a majority in aggregate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 </w:t>
      </w:r>
    </w:p>
    <w:p>
      <w:pPr>
        <w:pStyle w:val="TextBody"/>
        <w:bidi w:val="0"/>
        <w:spacing w:before="120" w:after="0"/>
        <w:jc w:val="left"/>
        <w:rPr>
          <w:rFonts w:ascii="Times New Roman" w:hAnsi="Times New Roman"/>
          <w:sz w:val="20"/>
        </w:rPr>
      </w:pPr>
      <w:r>
        <w:rPr>
          <w:rFonts w:ascii="Times New Roman" w:hAnsi="Times New Roman"/>
          <w:sz w:val="20"/>
        </w:rPr>
        <w:t xml:space="preserve">(a) such direction shall not be in conflict with any rule of law or with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(b) the Trustee may take any other action deemed proper by the Trustee which is not inconsistent with such direction. </w:t>
      </w:r>
    </w:p>
    <w:p>
      <w:pPr>
        <w:pStyle w:val="TextBody"/>
        <w:bidi w:val="0"/>
        <w:spacing w:before="24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Waiver of Past Defaults.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not less than a majority in aggregate principal amount of the Outstanding Securities of any series may on behalf of the Holders of all the Securities of such series waive any past default hereunder with respect to such series and its consequences, except a default: </w:t>
      </w:r>
    </w:p>
    <w:p>
      <w:pPr>
        <w:pStyle w:val="TextBody"/>
        <w:bidi w:val="0"/>
        <w:spacing w:before="120" w:after="0"/>
        <w:jc w:val="left"/>
        <w:rPr>
          <w:rFonts w:ascii="Times New Roman" w:hAnsi="Times New Roman"/>
          <w:sz w:val="20"/>
        </w:rPr>
      </w:pPr>
      <w:r>
        <w:rPr>
          <w:rFonts w:ascii="Times New Roman" w:hAnsi="Times New Roman"/>
          <w:sz w:val="20"/>
        </w:rPr>
        <w:t xml:space="preserve">(a) in the payment of the principal of or any premium or interest on any Security of such series; or </w:t>
      </w:r>
    </w:p>
    <w:p>
      <w:pPr>
        <w:pStyle w:val="TextBody"/>
        <w:bidi w:val="0"/>
        <w:spacing w:before="240" w:after="0"/>
        <w:jc w:val="left"/>
        <w:rPr>
          <w:rFonts w:ascii="Times New Roman" w:hAnsi="Times New Roman"/>
          <w:sz w:val="20"/>
        </w:rPr>
      </w:pPr>
      <w:r>
        <w:rPr>
          <w:rFonts w:ascii="Times New Roman" w:hAnsi="Times New Roman"/>
          <w:sz w:val="20"/>
        </w:rPr>
        <w:t xml:space="preserve">(b) in respect of a covenant or provision hereof which under </w:t>
      </w:r>
      <w:r>
        <w:rPr>
          <w:rFonts w:ascii="Times New Roman" w:hAnsi="Times New Roman"/>
          <w:sz w:val="20"/>
          <w:u w:val="single"/>
        </w:rPr>
        <w:t>Article IX</w:t>
      </w:r>
      <w:r>
        <w:rPr>
          <w:rFonts w:ascii="Times New Roman" w:hAnsi="Times New Roman"/>
          <w:sz w:val="20"/>
        </w:rPr>
        <w:t xml:space="preserve"> cannot be modified or amended without the consent of the Holder of each Outstanding Security of such series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any such waiver, such default shall cease to exist, and any Event of Default arising therefrom shall be deemed to have been cured, for every purpose of this Indenture; but no such waiver shall extend to any subsequent or other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Undertaking for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any suit for the enforcement of any right or remedy under this Indenture, or in any suit against the Trustee for any action taken, suffered or omitted by it as Trustee, a court may require any party litigant in such suit to file an undertaking to pay the costs of such suit (including the reasonable compensation, expenses and disbursements of its agents and counsel), and may assess reasonable costs against any such party litigant, in the manner and to the extent provided in the Trust Indenture Act; provided that neither this Section nor the Trust Indenture Act shall be deemed to authorize any court to require such an undertaking or to make such an assessment in any suit instituted by the Company or the Trustee, a suit by a Holder under </w:t>
      </w:r>
      <w:r>
        <w:rPr>
          <w:rFonts w:ascii="Times New Roman" w:hAnsi="Times New Roman"/>
          <w:sz w:val="20"/>
          <w:u w:val="single"/>
        </w:rPr>
        <w:t>Section 5.08</w:t>
      </w:r>
      <w:r>
        <w:rPr>
          <w:rFonts w:ascii="Times New Roman" w:hAnsi="Times New Roman"/>
          <w:sz w:val="20"/>
        </w:rPr>
        <w:t xml:space="preserve">, or a suit by Holders of more than 10% in aggregate principal amount of the Outstanding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Waiver of Usury, Stay or Extension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 that it will not hinder, delay or impede the execution of any power herein granted to the Trustee, but will suffer and permit the execution of every such power as though no such law had been enacted.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Certain Duties and Responsibilities.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during the continuance of an Event of Default with respect to any series of Securities: </w:t>
      </w:r>
    </w:p>
    <w:p>
      <w:pPr>
        <w:pStyle w:val="TextBody"/>
        <w:bidi w:val="0"/>
        <w:spacing w:before="120" w:after="0"/>
        <w:jc w:val="left"/>
        <w:rPr>
          <w:rFonts w:ascii="Times New Roman" w:hAnsi="Times New Roman"/>
          <w:sz w:val="20"/>
        </w:rPr>
      </w:pPr>
      <w:r>
        <w:rPr>
          <w:rFonts w:ascii="Times New Roman" w:hAnsi="Times New Roman"/>
          <w:sz w:val="20"/>
        </w:rPr>
        <w:t xml:space="preserve">(i) the Trustee undertakes to perform such duties and only such duties as are specifically set forth in this Indenture with respect to the Securities of such series, and no implied covenants or obligations shall be read into this Indenture against the Trustee with respect to such series; and </w:t>
      </w:r>
    </w:p>
    <w:p>
      <w:pPr>
        <w:pStyle w:val="TextBody"/>
        <w:bidi w:val="0"/>
        <w:spacing w:before="240" w:after="0"/>
        <w:jc w:val="left"/>
        <w:rPr>
          <w:rFonts w:ascii="Times New Roman" w:hAnsi="Times New Roman"/>
          <w:sz w:val="20"/>
        </w:rPr>
      </w:pPr>
      <w:r>
        <w:rPr>
          <w:rFonts w:ascii="Times New Roman" w:hAnsi="Times New Roman"/>
          <w:sz w:val="20"/>
        </w:rPr>
        <w:t xml:space="preserve">(ii) 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In case an Event of Default with respect to any series of Securities has occurred and is continuing, the Trustee shall exercise with respect to the Securities of such series such of the rights and powers vested in it by this Indenture, and use the same degree of care and skill in their exercise, as a prudent man would exercise under the circumstances in the conduct of his own affairs. </w:t>
      </w:r>
    </w:p>
    <w:p>
      <w:pPr>
        <w:pStyle w:val="TextBody"/>
        <w:bidi w:val="0"/>
        <w:spacing w:before="240" w:after="0"/>
        <w:jc w:val="left"/>
        <w:rPr>
          <w:rFonts w:ascii="Times New Roman" w:hAnsi="Times New Roman"/>
          <w:sz w:val="20"/>
        </w:rPr>
      </w:pPr>
      <w:r>
        <w:rPr>
          <w:rFonts w:ascii="Times New Roman" w:hAnsi="Times New Roman"/>
          <w:sz w:val="20"/>
        </w:rPr>
        <w:t xml:space="preserve">(c) No provision of this Indenture shall be construed to relieve the Trustee from liability for its own negligent action, its own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(i) this Subsection shall not be construed to limit the effect of Subsection (a)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(ii) the Trustee shall not be liable for any error of judgment made in good faith by a Responsible Officer, unless it shall be proved that the Trustee was negligent in ascertaining the pertinent facts;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Trustee shall not be liable with respect to any action taken or omitted to be taken by it in good faith in accordance with the direction of the Holders of a majority in aggregate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 and </w:t>
      </w:r>
    </w:p>
    <w:p>
      <w:pPr>
        <w:pStyle w:val="TextBody"/>
        <w:bidi w:val="0"/>
        <w:spacing w:before="240" w:after="0"/>
        <w:jc w:val="left"/>
        <w:rPr>
          <w:rFonts w:ascii="Times New Roman" w:hAnsi="Times New Roman"/>
          <w:sz w:val="20"/>
        </w:rPr>
      </w:pPr>
      <w:r>
        <w:rPr>
          <w:rFonts w:ascii="Times New Roman" w:hAnsi="Times New Roman"/>
          <w:sz w:val="20"/>
        </w:rPr>
        <w:t xml:space="preserve">(iv) no provision of this Indenture shall require the Trustee to expend or risk its own funds or otherwise incur any financial liability in the performance of any of its duties hereunder, or in the exercise of any of its rights and powers, if it shall have reasonable grounds for believing that repayment of such funds or adequate indemnity against such risk or liability is not reasonably assured to it. </w:t>
      </w:r>
    </w:p>
    <w:p>
      <w:pPr>
        <w:pStyle w:val="TextBody"/>
        <w:bidi w:val="0"/>
        <w:spacing w:before="240" w:after="0"/>
        <w:jc w:val="left"/>
        <w:rPr>
          <w:rFonts w:ascii="Times New Roman" w:hAnsi="Times New Roman"/>
          <w:sz w:val="20"/>
        </w:rPr>
      </w:pPr>
      <w:r>
        <w:rPr>
          <w:rFonts w:ascii="Times New Roman" w:hAnsi="Times New Roman"/>
          <w:sz w:val="20"/>
        </w:rPr>
        <w:t xml:space="preserve">(d) Whether or not therein expressly so provided, every provision of this Indenture relating to the conduct or affecting the liability of or affording protection to the Trustee shall be subject to the provisions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Notice of Defaults.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Within 90 days after the occurrence, and during the continuance, of any default with respect to the Securities of any series that is known to the Trustee, the Trustee shall transmit, in the manner and to the extent provided in Section 313(c) of the Trust Indenture Act, notice of all such uncured or unwaived defaults; provided, however, that, except in the case of a default in the payment of the principal of (or premium, if any) or interest on Securities of any series or in the payment of any sinking or purchase fund installment with respect to such Securities,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Holders of Securities of such series; and provided, further, however, that in the case of any default of the character specified in </w:t>
      </w:r>
      <w:r>
        <w:rPr>
          <w:rFonts w:ascii="Times New Roman" w:hAnsi="Times New Roman"/>
          <w:sz w:val="20"/>
          <w:u w:val="single"/>
        </w:rPr>
        <w:t>Section 5.01(d)</w:t>
      </w:r>
      <w:r>
        <w:rPr>
          <w:rFonts w:ascii="Times New Roman" w:hAnsi="Times New Roman"/>
          <w:sz w:val="20"/>
        </w:rPr>
        <w:t xml:space="preserve"> with respect to the Securities of such series, no such notice to Holders of Securities shall be given until at least 60 days after the occurrence thereof. For the purpose of this Section, the term “default” means any event which is, or after notice or lapse of time or both would become,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Certain Rights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w:t>
      </w:r>
      <w:r>
        <w:rPr>
          <w:rFonts w:ascii="Times New Roman" w:hAnsi="Times New Roman"/>
          <w:sz w:val="20"/>
          <w:u w:val="single"/>
        </w:rPr>
        <w:t>Section 6.01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 </w:t>
      </w:r>
    </w:p>
    <w:p>
      <w:pPr>
        <w:pStyle w:val="TextBody"/>
        <w:bidi w:val="0"/>
        <w:spacing w:before="240" w:after="0"/>
        <w:jc w:val="left"/>
        <w:rPr>
          <w:rFonts w:ascii="Times New Roman" w:hAnsi="Times New Roman"/>
          <w:sz w:val="20"/>
        </w:rPr>
      </w:pPr>
      <w:r>
        <w:rPr>
          <w:rFonts w:ascii="Times New Roman" w:hAnsi="Times New Roman"/>
          <w:sz w:val="20"/>
        </w:rPr>
        <w:t xml:space="preserve">(b) any request, direction, order or demand of the Company mentioned herein shall be sufficiently evidenced by a Company Request or Company Order, and any resolution of the Board of Directors shall be sufficiently evidenced by a Board Resolution; </w:t>
      </w:r>
    </w:p>
    <w:p>
      <w:pPr>
        <w:pStyle w:val="TextBody"/>
        <w:bidi w:val="0"/>
        <w:spacing w:before="240" w:after="0"/>
        <w:jc w:val="left"/>
        <w:rPr>
          <w:rFonts w:ascii="Times New Roman" w:hAnsi="Times New Roman"/>
          <w:sz w:val="20"/>
        </w:rPr>
      </w:pPr>
      <w:r>
        <w:rPr>
          <w:rFonts w:ascii="Times New Roman" w:hAnsi="Times New Roman"/>
          <w:sz w:val="20"/>
        </w:rPr>
        <w:t xml:space="preserve">(c) 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(d) the Trustee may consult with counsel and the written advice of such counsel or any Opinion of Counsel shall be full and complete authorization and protection in respect of any action taken, suffered or omitted by it hereunder in good faith and in reliance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Trustee shall be under no obligation to exercise any of the rights or powers vested in it by this Indenture at the request or direction of any of the Holders pursuant to this Indenture, unless such Holders shall have offered to the Trustee reasonable security or indemnity satisfactory to it against the costs, expenses and liabilities which might be incurred by it in compliance with such request or direction; </w:t>
      </w:r>
    </w:p>
    <w:p>
      <w:pPr>
        <w:pStyle w:val="TextBody"/>
        <w:bidi w:val="0"/>
        <w:spacing w:before="240" w:after="0"/>
        <w:jc w:val="left"/>
        <w:rPr>
          <w:rFonts w:ascii="Times New Roman" w:hAnsi="Times New Roman"/>
          <w:sz w:val="20"/>
        </w:rPr>
      </w:pPr>
      <w:r>
        <w:rPr>
          <w:rFonts w:ascii="Times New Roman" w:hAnsi="Times New Roman"/>
          <w:sz w:val="20"/>
        </w:rPr>
        <w:t xml:space="preserve">(f)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without obligation to do so,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w:t>
      </w:r>
    </w:p>
    <w:p>
      <w:pPr>
        <w:pStyle w:val="TextBody"/>
        <w:bidi w:val="0"/>
        <w:spacing w:before="240" w:after="0"/>
        <w:jc w:val="left"/>
        <w:rPr>
          <w:rFonts w:ascii="Times New Roman" w:hAnsi="Times New Roman"/>
          <w:sz w:val="20"/>
        </w:rPr>
      </w:pPr>
      <w:r>
        <w:rPr>
          <w:rFonts w:ascii="Times New Roman" w:hAnsi="Times New Roman"/>
          <w:sz w:val="20"/>
        </w:rPr>
        <w:t xml:space="preserve">(g)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w:t>
      </w:r>
    </w:p>
    <w:p>
      <w:pPr>
        <w:pStyle w:val="TextBody"/>
        <w:bidi w:val="0"/>
        <w:spacing w:before="240" w:after="0"/>
        <w:jc w:val="left"/>
        <w:rPr>
          <w:rFonts w:ascii="Times New Roman" w:hAnsi="Times New Roman"/>
          <w:sz w:val="20"/>
        </w:rPr>
      </w:pPr>
      <w:r>
        <w:rPr>
          <w:rFonts w:ascii="Times New Roman" w:hAnsi="Times New Roman"/>
          <w:sz w:val="20"/>
        </w:rPr>
        <w:t xml:space="preserve">(h) the rights, privileges, protections, immunities and benefits given to the Trustee, including, without limitation, its right to be indemnified, are extended to, and shall be enforceable by, the Trustee in each of its capacities hereunder and to its agents; </w:t>
      </w:r>
    </w:p>
    <w:p>
      <w:pPr>
        <w:pStyle w:val="TextBody"/>
        <w:bidi w:val="0"/>
        <w:spacing w:before="240" w:after="0"/>
        <w:jc w:val="left"/>
        <w:rPr>
          <w:rFonts w:ascii="Times New Roman" w:hAnsi="Times New Roman"/>
          <w:sz w:val="20"/>
        </w:rPr>
      </w:pPr>
      <w:r>
        <w:rPr>
          <w:rFonts w:ascii="Times New Roman" w:hAnsi="Times New Roman"/>
          <w:sz w:val="20"/>
        </w:rPr>
        <w:t xml:space="preserve">(i) the Trustee shall not be liable for any action taken, suffered, or omitted to be taken by it in good faith and reasonably believed by it to be authorized or within the discretion or rights or powers conferred upon it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(j) 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 </w:t>
      </w:r>
    </w:p>
    <w:p>
      <w:pPr>
        <w:pStyle w:val="TextBody"/>
        <w:bidi w:val="0"/>
        <w:spacing w:before="240" w:after="0"/>
        <w:jc w:val="left"/>
        <w:rPr>
          <w:rFonts w:ascii="Times New Roman" w:hAnsi="Times New Roman"/>
          <w:sz w:val="20"/>
        </w:rPr>
      </w:pPr>
      <w:r>
        <w:rPr>
          <w:rFonts w:ascii="Times New Roman" w:hAnsi="Times New Roman"/>
          <w:sz w:val="20"/>
        </w:rPr>
        <w:t xml:space="preserve">(k)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avoid and mitigate the effects of such occurrences and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(l) the Trustee shall not be deemed to have notice of any Default or Event of Default unless written notice of any event which is in fact such a default shall have been received by a Responsible Officer of the Trustee at the Corporate Trust Office of the Trustee, and such notice references the Securities and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(m) the Trustee may request that the Company deliver a certificate setting forth the names of individuals and/or titles of officers authorized at such time to take specified actions pursuant to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(n) the Trustee agrees to accept and act upon instructions or directions pursuant to this Indenture sent by unsecured e-mail (PDF only), facsimile transmission or other similar unsecured electronic methods; provided, however, that the Company shall provide to the Trustee an incumbency certificate listing designated persons with the authority to provide such instructions, which incumbency certificate shall be amended whenever a person is to be added or deleted from the listing. If the Company elects to give the Trustee e-mail or facsimile transmission instructions (or instructions by a similar electronic method) and the Trustee in its sole and absolute discretion elects to act upon such instructions, the Trustee’s understanding of such instructions shall be deemed controlling. The Trustee shall not be liable for any losses, damages, costs, fees or expenses arising directly or indirectly from the Trustee’s reliance upon and compliance with such instructions notwithstanding such instructions conflict or inconsistency with a subsequent written instruction. The Company agrees to assume all risks arising out of the use of such electronic methods to submit instructions and directions to the Trustee, including, without limitation, the risk of the Trustee acting on unauthorized instructions, and the risk of interception by third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Not Responsible for Recitals or Issuance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recitals contained herein and in the Securities, except the Trustee’s certificates of authentication, shall be taken as the statements of the Company and neither the Trustee nor any Authenticating Agent assumes any responsibility for their correctness. Neither the Trustee nor any Authenticating Agent makes any representations as to the validity or sufficiency of this Indenture or of the Securities. Neither the Trustee nor any Authenticating Agent shall be accountable for the use or application by the Company of Securities or the proceeds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May Hold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any Authenticating Agent, any Paying Agent, any Security Registrar or any other agent of the Company, in its individual or any other capacity, may become the owner or pledgee of Securities and, subject to </w:t>
      </w:r>
      <w:r>
        <w:rPr>
          <w:rFonts w:ascii="Times New Roman" w:hAnsi="Times New Roman"/>
          <w:sz w:val="20"/>
          <w:u w:val="single"/>
        </w:rPr>
        <w:t>Sections 6.08</w:t>
      </w:r>
      <w:r>
        <w:rPr>
          <w:rFonts w:ascii="Times New Roman" w:hAnsi="Times New Roman"/>
          <w:sz w:val="20"/>
        </w:rPr>
        <w:t xml:space="preserve"> and </w:t>
      </w:r>
      <w:r>
        <w:rPr>
          <w:rFonts w:ascii="Times New Roman" w:hAnsi="Times New Roman"/>
          <w:sz w:val="20"/>
          <w:u w:val="single"/>
        </w:rPr>
        <w:t>6.13</w:t>
      </w:r>
      <w:r>
        <w:rPr>
          <w:rFonts w:ascii="Times New Roman" w:hAnsi="Times New Roman"/>
          <w:sz w:val="20"/>
        </w:rPr>
        <w:t xml:space="preserve">, may otherwise deal with the Company with the same rights it would have if it were not Trustee, Authenticating Agent, Paying Agent, Security Registrar or such other agent.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Money Held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Money held by the Trustee in trust hereunder need not be segregated from other funds except to the extent required by law. The Trustee shall be under no liability for interest on any money received by it hereunder except as otherwise agreed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Compensation and Reimbursement.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agrees: </w:t>
      </w:r>
    </w:p>
    <w:p>
      <w:pPr>
        <w:pStyle w:val="TextBody"/>
        <w:bidi w:val="0"/>
        <w:spacing w:before="120" w:after="0"/>
        <w:jc w:val="left"/>
        <w:rPr>
          <w:rFonts w:ascii="Times New Roman" w:hAnsi="Times New Roman"/>
          <w:sz w:val="20"/>
        </w:rPr>
      </w:pPr>
      <w:r>
        <w:rPr>
          <w:rFonts w:ascii="Times New Roman" w:hAnsi="Times New Roman"/>
          <w:sz w:val="20"/>
        </w:rPr>
        <w:t xml:space="preserve">(i) to pay to the Trustee from time to time such reasonable compensation as shall be agreed in writing between the parties for all services rendered by it hereunder (which compensation shall not be limited by any provision of law in regard to the compensation of a trustee of an express trust); </w:t>
      </w:r>
    </w:p>
    <w:p>
      <w:pPr>
        <w:pStyle w:val="TextBody"/>
        <w:bidi w:val="0"/>
        <w:spacing w:before="240" w:after="0"/>
        <w:jc w:val="left"/>
        <w:rPr>
          <w:rFonts w:ascii="Times New Roman" w:hAnsi="Times New Roman"/>
          <w:sz w:val="20"/>
        </w:rPr>
      </w:pPr>
      <w:r>
        <w:rPr>
          <w:rFonts w:ascii="Times New Roman" w:hAnsi="Times New Roman"/>
          <w:sz w:val="20"/>
        </w:rPr>
        <w:t xml:space="preserve">(ii) except as otherwise expressly provided herein, to reimburse the Trustee upon its request for all reasonable expenses, disbursements and advances incurred or made by the Trustee in accordance with any provision of this Indenture (including the reasonable compensation and the reasonable expenses and disbursements of its agents and counsel), except any such expense, disbursement or advance as may be attributable to its own negligence or willful misconduct, and the Trustee shall provide the Company reasonable notice of any expenditure not in the ordinary course of business; and </w:t>
      </w:r>
    </w:p>
    <w:p>
      <w:pPr>
        <w:pStyle w:val="TextBody"/>
        <w:bidi w:val="0"/>
        <w:spacing w:before="240" w:after="0"/>
        <w:jc w:val="left"/>
        <w:rPr>
          <w:rFonts w:ascii="Times New Roman" w:hAnsi="Times New Roman"/>
          <w:sz w:val="20"/>
        </w:rPr>
      </w:pPr>
      <w:r>
        <w:rPr>
          <w:rFonts w:ascii="Times New Roman" w:hAnsi="Times New Roman"/>
          <w:sz w:val="20"/>
        </w:rPr>
        <w:t xml:space="preserve">(iii) to indemnify the Trustee for, and to hold it harmless against, any loss, liability or expense incurred without negligence or willful misconduct on its part, arising out of or in connection with the acceptance or administration of the trust or trusts hereunder, including the reasonable costs and expenses of defending itself against any claim or liability in connection with the exercise or performance of any of its powers or duties hereunder.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Company under this Section to compensate the Trustee and to pay or reimburse the Trustee for expenses, disbursements and advances shall constitute additional indebtedness hereunder.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any rights available to the Trustee under applicable law, when the Trustee incurs expenses or renders services in connection with an Event of Default specified in </w:t>
      </w:r>
      <w:r>
        <w:rPr>
          <w:rFonts w:ascii="Times New Roman" w:hAnsi="Times New Roman"/>
          <w:sz w:val="20"/>
          <w:u w:val="single"/>
        </w:rPr>
        <w:t>Section 5.01(e)</w:t>
      </w:r>
      <w:r>
        <w:rPr>
          <w:rFonts w:ascii="Times New Roman" w:hAnsi="Times New Roman"/>
          <w:sz w:val="20"/>
        </w:rPr>
        <w:t xml:space="preserve"> or </w:t>
      </w:r>
      <w:r>
        <w:rPr>
          <w:rFonts w:ascii="Times New Roman" w:hAnsi="Times New Roman"/>
          <w:sz w:val="20"/>
          <w:u w:val="single"/>
        </w:rPr>
        <w:t>Section 5.01(f)</w:t>
      </w:r>
      <w:r>
        <w:rPr>
          <w:rFonts w:ascii="Times New Roman" w:hAnsi="Times New Roman"/>
          <w:sz w:val="20"/>
        </w:rPr>
        <w:t xml:space="preserve">, the expenses (including the reasonable charges and expenses of its counsel) and the compensation for such services are intended to constitute expenses of administration under any applicable Federal or State bankruptcy, insolvency, reorganization or other similar law.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shall survive the satisfaction and discharge of this Indenture and the defeasance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6.08 </w:t>
      </w:r>
      <w:r>
        <w:rPr>
          <w:rFonts w:ascii="Times New Roman" w:hAnsi="Times New Roman"/>
          <w:sz w:val="20"/>
          <w:u w:val="single"/>
        </w:rPr>
        <w:t>Conflicting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the Trust Indenture Act, the Trustee shall not be deemed to have a conflicting interest by virtue of being a trustee under this Indenture with respect to Securities of more than one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sz w:val="20"/>
          <w:u w:val="single"/>
        </w:rPr>
        <w:t>Corporate Trustee Required, Eligibility.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a combined capital and surplus of at least $50,000,000. If any such Person publishes reports of condition at least annually, pursuant to law or to the requirements of its supervising or examining authority, then for the purposes of this Section and to the extent permitted by the Trust Indenture Act, the combined capital and surplus of such Person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Resignation and Removal, Appointment of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resignation or removal of the Trustee and no appointment of a successor Trustee pursuant to this Article shall become effective until the acceptance of appointment by the successor Trustee in accordance with the applicable requirements of </w:t>
      </w:r>
      <w:r>
        <w:rPr>
          <w:rFonts w:ascii="Times New Roman" w:hAnsi="Times New Roman"/>
          <w:sz w:val="20"/>
          <w:u w:val="single"/>
        </w:rPr>
        <w:t>Section 6.11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resign at any time with respect to the Securities of one or more series by giving written notice thereof to the Company. If the instrument of acceptance by a successor Trustee required by </w:t>
      </w:r>
      <w:r>
        <w:rPr>
          <w:rFonts w:ascii="Times New Roman" w:hAnsi="Times New Roman"/>
          <w:sz w:val="20"/>
          <w:u w:val="single"/>
        </w:rPr>
        <w:t>Section 6.11</w:t>
      </w:r>
      <w:r>
        <w:rPr>
          <w:rFonts w:ascii="Times New Roman" w:hAnsi="Times New Roman"/>
          <w:sz w:val="20"/>
        </w:rPr>
        <w:t xml:space="preserve"> shall not have been delivered to the Trustee within 30 days after the giving of such notice of resignation, the resigning Trustee may petition any court of competent jurisdiction for the appointment of a successor Trustee with respect to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be removed at any time with respect to the Securities of any series by Act of the Holders of a majority in aggregate principal amount of the Outstanding Securities of such series, by written notice delivered to the Trustee and to the Company. If an instrument of acceptance by a successor Trustee shall not have been delivered to the Trustee within 30 days after giving of such notice of removal, the removed Trustee may petition any court of competent jurisdiction for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w:t>
      </w:r>
    </w:p>
    <w:p>
      <w:pPr>
        <w:pStyle w:val="TextBody"/>
        <w:bidi w:val="0"/>
        <w:spacing w:before="120" w:after="0"/>
        <w:jc w:val="left"/>
        <w:rPr>
          <w:rFonts w:ascii="Times New Roman" w:hAnsi="Times New Roman"/>
          <w:sz w:val="20"/>
        </w:rPr>
      </w:pPr>
      <w:r>
        <w:rPr>
          <w:rFonts w:ascii="Times New Roman" w:hAnsi="Times New Roman"/>
          <w:sz w:val="20"/>
        </w:rPr>
        <w:t xml:space="preserve">(a) the Trustee shall fail to comply with </w:t>
      </w:r>
      <w:r>
        <w:rPr>
          <w:rFonts w:ascii="Times New Roman" w:hAnsi="Times New Roman"/>
          <w:sz w:val="20"/>
          <w:u w:val="single"/>
        </w:rPr>
        <w:t>Section 6.08</w:t>
      </w:r>
      <w:r>
        <w:rPr>
          <w:rFonts w:ascii="Times New Roman" w:hAnsi="Times New Roman"/>
          <w:sz w:val="20"/>
        </w:rPr>
        <w:t xml:space="preserve"> after written request therefor by the Company or by any Holder who has been a bona fide Holder of a Security for at least six months; </w:t>
      </w:r>
    </w:p>
    <w:p>
      <w:pPr>
        <w:pStyle w:val="TextBody"/>
        <w:bidi w:val="0"/>
        <w:spacing w:before="240" w:after="0"/>
        <w:jc w:val="left"/>
        <w:rPr>
          <w:rFonts w:ascii="Times New Roman" w:hAnsi="Times New Roman"/>
          <w:sz w:val="20"/>
        </w:rPr>
      </w:pPr>
      <w:r>
        <w:rPr>
          <w:rFonts w:ascii="Times New Roman" w:hAnsi="Times New Roman"/>
          <w:sz w:val="20"/>
        </w:rPr>
        <w:t xml:space="preserve">(b) the Trustee shall cease to be eligible under </w:t>
      </w:r>
      <w:r>
        <w:rPr>
          <w:rFonts w:ascii="Times New Roman" w:hAnsi="Times New Roman"/>
          <w:sz w:val="20"/>
          <w:u w:val="single"/>
        </w:rPr>
        <w:t>Section 6.09</w:t>
      </w:r>
      <w:r>
        <w:rPr>
          <w:rFonts w:ascii="Times New Roman" w:hAnsi="Times New Roman"/>
          <w:sz w:val="20"/>
        </w:rPr>
        <w:t xml:space="preserve"> and shall fail to resign after written request therefor by the Company or by any such Holder; or </w:t>
      </w:r>
    </w:p>
    <w:p>
      <w:pPr>
        <w:pStyle w:val="TextBody"/>
        <w:bidi w:val="0"/>
        <w:spacing w:before="240" w:after="0"/>
        <w:jc w:val="left"/>
        <w:rPr>
          <w:rFonts w:ascii="Times New Roman" w:hAnsi="Times New Roman"/>
          <w:sz w:val="20"/>
        </w:rPr>
      </w:pPr>
      <w:r>
        <w:rPr>
          <w:rFonts w:ascii="Times New Roman" w:hAnsi="Times New Roman"/>
          <w:sz w:val="20"/>
        </w:rPr>
        <w:t xml:space="preserve">(c) the Trustee shall become incapable of acting or shall be adjudged bankrupt or insolvent or a receiver of the Trustee or of its property shall be appointed or any public officer shall take charge or control of the Trustee or of its property or affairs for the purpose of rehabilitation, conservation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then, in any such case, (1) the Company by a Board Resolution may remove the Trustee with respect to all Securities of which such Trustee acts as trustee, or (2) subject to </w:t>
      </w:r>
      <w:r>
        <w:rPr>
          <w:rFonts w:ascii="Times New Roman" w:hAnsi="Times New Roman"/>
          <w:sz w:val="20"/>
          <w:u w:val="single"/>
        </w:rPr>
        <w:t>Section 5.14</w:t>
      </w:r>
      <w:r>
        <w:rPr>
          <w:rFonts w:ascii="Times New Roman" w:hAnsi="Times New Roman"/>
          <w:sz w:val="20"/>
        </w:rPr>
        <w:t xml:space="preserve">, Holders of 10% in aggregate principal amount of Securities of any series who have been bona fide Holders of such Securities for at least six months may, on behalf of themselves and all others similarly situated, petition any court of competent jurisdiction for the removal of the Trustee with respect to all Securities of which such Trustee acts as trustee and the appointment of a successor Trustee or Trustees.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Trustee shall resign, be removed or become incapable of acting, or if a vacancy shall occur in the office of Trustee for any cause, with respect to the Securities of one or more series, the Company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w:t>
      </w:r>
      <w:r>
        <w:rPr>
          <w:rFonts w:ascii="Times New Roman" w:hAnsi="Times New Roman"/>
          <w:sz w:val="20"/>
          <w:u w:val="single"/>
        </w:rPr>
        <w:t>Section 6.11</w:t>
      </w:r>
      <w:r>
        <w:rPr>
          <w:rFonts w:ascii="Times New Roman" w:hAnsi="Times New Roman"/>
          <w:sz w:val="20"/>
        </w:rPr>
        <w:t xml:space="preserve">. If, within one year after such resignation, removal or incapability, or the occurrence of such vacancy, a successor Trustee with respect to the Securities of any series shall be appointed by Act of the Holders of a majority in aggregate principal amount of the Outstanding Securities of such series delivered to the Company and the retiring Trustee, the successor Trustee so appointed shall, forthwith upon its acceptance of such appointment in accordance with the applicable requirements of </w:t>
      </w:r>
      <w:r>
        <w:rPr>
          <w:rFonts w:ascii="Times New Roman" w:hAnsi="Times New Roman"/>
          <w:sz w:val="20"/>
          <w:u w:val="single"/>
        </w:rPr>
        <w:t>Section 6.11</w:t>
      </w:r>
      <w:r>
        <w:rPr>
          <w:rFonts w:ascii="Times New Roman" w:hAnsi="Times New Roman"/>
          <w:sz w:val="20"/>
        </w:rPr>
        <w:t xml:space="preserve">,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w:t>
      </w:r>
      <w:r>
        <w:rPr>
          <w:rFonts w:ascii="Times New Roman" w:hAnsi="Times New Roman"/>
          <w:sz w:val="20"/>
          <w:u w:val="single"/>
        </w:rPr>
        <w:t>Section 6.11</w:t>
      </w:r>
      <w:r>
        <w:rPr>
          <w:rFonts w:ascii="Times New Roman" w:hAnsi="Times New Roman"/>
          <w:sz w:val="20"/>
        </w:rPr>
        <w:t xml:space="preserve">, Holders of 10% in aggregate principal amount of Securities of any series who have been bona fide Holders of such Securities of such series for at least six months or the Trustee may, on behalf of themselves and all others similarly situated, petition any court of competent jurisdiction for the appointment of a successor Trustee with respect to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w:t>
      </w:r>
      <w:r>
        <w:rPr>
          <w:rFonts w:ascii="Times New Roman" w:hAnsi="Times New Roman"/>
          <w:sz w:val="20"/>
          <w:u w:val="single"/>
        </w:rPr>
        <w:t>Section 1.06</w:t>
      </w:r>
      <w:r>
        <w:rPr>
          <w:rFonts w:ascii="Times New Roman" w:hAnsi="Times New Roman"/>
          <w:sz w:val="20"/>
        </w:rPr>
        <w:t xml:space="preserve">. Each notice shall include the name of the successor Trustee with respect to the Securities of such series and the address of its Corporate Trust Office.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Acceptance of Appointment by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and reimbursement of its expenses (including reasonable fees and expenses of counsel and agents), if any, to which such retiring Trustee is otherwise legally entitled, execute and deliver an instrument transferring to such successor Trustee all the rights, powers and trusts of the retiring Trustee and shall duly assign, transfer and deliver to such successor Trustee all property and money held by such retiring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(a)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(b)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(c)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 </w:t>
      </w:r>
    </w:p>
    <w:p>
      <w:pPr>
        <w:pStyle w:val="TextBody"/>
        <w:bidi w:val="0"/>
        <w:spacing w:before="240" w:after="0"/>
        <w:jc w:val="left"/>
        <w:rPr>
          <w:rFonts w:ascii="Times New Roman" w:hAnsi="Times New Roman"/>
          <w:sz w:val="20"/>
        </w:rPr>
      </w:pPr>
      <w:r>
        <w:rPr>
          <w:rFonts w:ascii="Times New Roman" w:hAnsi="Times New Roman"/>
          <w:sz w:val="20"/>
        </w:rPr>
        <w:t xml:space="preserve">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No successor Trustee shall accept its appointment unless at the time of such acceptance such successor Trustee shall be qualified and eligible under this Article.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Merger, Conversion, Consolidation or Succession to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and in case at that time any Securities shall not have been authenticated, any successor to the Trustee may authenticate such Securities either in the name of any predecessor hereunder or in the name of the successor to the Trustee; and in all such cases such certificates shall have the full force which it is anywhere in the Securities or in this Indenture provided that the certificate of the Trustee shall have.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Preferential Collection of Claims Against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and when the Trustee shall be or become a creditor of the Company (or any other obligor upon the Securities), the Trustee shall be subject to the provisions of the Trust Indenture Act regarding the collection of claims against the Company (or any such other obligor). </w:t>
      </w:r>
    </w:p>
    <w:p>
      <w:pPr>
        <w:pStyle w:val="TextBody"/>
        <w:bidi w:val="0"/>
        <w:spacing w:before="240" w:after="0"/>
        <w:jc w:val="left"/>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Appointment of Authenticating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appoint an Authenticating Agent or Agents with respect to one or more series of Securities which shall be authorized to act on behalf of and subject to the direction of the Trustee to authenticate and deliver Securities of such series issued upon original issue and upon exchange, registration of transfer or partial redemption thereof or pursuant to </w:t>
      </w:r>
      <w:r>
        <w:rPr>
          <w:rFonts w:ascii="Times New Roman" w:hAnsi="Times New Roman"/>
          <w:sz w:val="20"/>
          <w:u w:val="single"/>
        </w:rPr>
        <w:t>Section 3.06</w:t>
      </w:r>
      <w:r>
        <w:rPr>
          <w:rFonts w:ascii="Times New Roman" w:hAnsi="Times New Roman"/>
          <w:sz w:val="20"/>
        </w:rPr>
        <w:t xml:space="preserve">,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all or substantially all the corporate agency or corporate trust business of an Authenticating Agent, shall be the successor of the Authenticating Agent hereunder, provided such corporation shall be otherwise eligible under this Section, without the execution or filing of any paper or any further act on the part of the Trustee or the Authenticating Agent. </w:t>
      </w:r>
    </w:p>
    <w:p>
      <w:pPr>
        <w:pStyle w:val="TextBody"/>
        <w:bidi w:val="0"/>
        <w:spacing w:before="240" w:after="0"/>
        <w:jc w:val="left"/>
        <w:rPr>
          <w:rFonts w:ascii="Times New Roman" w:hAnsi="Times New Roman"/>
          <w:sz w:val="20"/>
        </w:rPr>
      </w:pPr>
      <w:r>
        <w:rPr>
          <w:rFonts w:ascii="Times New Roman" w:hAnsi="Times New Roman"/>
          <w:sz w:val="20"/>
        </w:rPr>
        <w:t xml:space="preserve">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w:t>
      </w:r>
      <w:r>
        <w:rPr>
          <w:rFonts w:ascii="Times New Roman" w:hAnsi="Times New Roman"/>
          <w:sz w:val="20"/>
          <w:u w:val="single"/>
        </w:rPr>
        <w:t>Section 1.06</w:t>
      </w:r>
      <w:r>
        <w:rPr>
          <w:rFonts w:ascii="Times New Roman" w:hAnsi="Times New Roman"/>
          <w:sz w:val="20"/>
        </w:rPr>
        <w:t xml:space="preserve">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Except with respect to an Authenticating Agent appointed at the request of the Company, the Trustee agrees to pay to each Authenticating Agent from time to time reasonable compensation for its services under this Section. </w:t>
      </w:r>
    </w:p>
    <w:p>
      <w:pPr>
        <w:pStyle w:val="TextBody"/>
        <w:bidi w:val="0"/>
        <w:spacing w:before="240" w:after="0"/>
        <w:jc w:val="left"/>
        <w:rPr>
          <w:rFonts w:ascii="Times New Roman" w:hAnsi="Times New Roman"/>
          <w:sz w:val="20"/>
        </w:rPr>
      </w:pPr>
      <w:r>
        <w:rPr>
          <w:rFonts w:ascii="Times New Roman" w:hAnsi="Times New Roman"/>
          <w:sz w:val="20"/>
        </w:rPr>
        <w:t xml:space="preserve">If an appointment with respect to one or more series is made pursuant to this Section, the Securities of such series may have endorsed thereon, in addition to the Trustee’s certificate of authentication, an alternative certificate of authentication in the following form: </w:t>
      </w:r>
    </w:p>
    <w:p>
      <w:pPr>
        <w:pStyle w:val="TextBody"/>
        <w:bidi w:val="0"/>
        <w:spacing w:before="120" w:after="0"/>
        <w:jc w:val="left"/>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bidi w:val="0"/>
        <w:spacing w:before="0" w:after="0"/>
        <w:jc w:val="left"/>
        <w:rPr/>
      </w:pPr>
      <w:r>
        <w:rPr/>
        <w:t> </w:t>
      </w:r>
    </w:p>
    <w:tbl>
      <w:tblPr>
        <w:tblW w:w="5290" w:type="dxa"/>
        <w:jc w:val="right"/>
        <w:tblInd w:w="0" w:type="dxa"/>
        <w:tblLayout w:type="fixed"/>
        <w:tblCellMar>
          <w:top w:w="0" w:type="dxa"/>
          <w:left w:w="0" w:type="dxa"/>
          <w:bottom w:w="0" w:type="dxa"/>
          <w:right w:w="0" w:type="dxa"/>
        </w:tblCellMar>
      </w:tblPr>
      <w:tblGrid>
        <w:gridCol w:w="365"/>
        <w:gridCol w:w="60"/>
        <w:gridCol w:w="1151"/>
        <w:gridCol w:w="194"/>
        <w:gridCol w:w="3520"/>
      </w:tblGrid>
      <w:tr>
        <w:trPr/>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3520" w:type="dxa"/>
            <w:tcBorders/>
            <w:vAlign w:val="center"/>
          </w:tcPr>
          <w:p>
            <w:pPr>
              <w:pStyle w:val="TableContents"/>
              <w:bidi w:val="0"/>
              <w:spacing w:before="0" w:after="283"/>
              <w:jc w:val="left"/>
              <w:rPr>
                <w:sz w:val="4"/>
                <w:szCs w:val="4"/>
              </w:rPr>
            </w:pPr>
            <w:r>
              <w:rPr>
                <w:sz w:val="4"/>
                <w:szCs w:val="4"/>
              </w:rPr>
            </w:r>
          </w:p>
        </w:tc>
      </w:tr>
      <w:tr>
        <w:trPr/>
        <w:tc>
          <w:tcPr>
            <w:tcW w:w="5290" w:type="dxa"/>
            <w:gridSpan w:val="5"/>
            <w:tcBorders/>
            <w:vAlign w:val="bottom"/>
          </w:tcPr>
          <w:p>
            <w:pPr>
              <w:pStyle w:val="TableContents"/>
              <w:bidi w:val="0"/>
              <w:spacing w:before="0" w:after="283"/>
              <w:jc w:val="left"/>
              <w:rPr/>
            </w:pPr>
            <w:r>
              <w:rPr/>
              <w:t>[      ], as Trustee</w:t>
            </w:r>
          </w:p>
        </w:tc>
      </w:tr>
      <w:tr>
        <w:trPr>
          <w:trHeight w:val="240" w:hRule="atLeast"/>
        </w:trPr>
        <w:tc>
          <w:tcPr>
            <w:tcW w:w="365" w:type="dxa"/>
            <w:tcBorders/>
            <w:vAlign w:val="center"/>
          </w:tcPr>
          <w:p>
            <w:pPr>
              <w:pStyle w:val="TableContents"/>
              <w:bidi w:val="0"/>
              <w:spacing w:before="0" w:after="283"/>
              <w:jc w:val="left"/>
              <w:rPr>
                <w:sz w:val="4"/>
                <w:szCs w:val="4"/>
              </w:rPr>
            </w:pPr>
            <w:r>
              <w:rPr>
                <w:sz w:val="4"/>
                <w:szCs w:val="4"/>
              </w:rPr>
            </w:r>
          </w:p>
        </w:tc>
        <w:tc>
          <w:tcPr>
            <w:tcW w:w="4925"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4865" w:type="dxa"/>
            <w:gridSpan w:val="3"/>
            <w:tcBorders/>
          </w:tcPr>
          <w:p>
            <w:pPr>
              <w:pStyle w:val="TableContents"/>
              <w:bidi w:val="0"/>
              <w:spacing w:before="0" w:after="283"/>
              <w:jc w:val="left"/>
              <w:rPr/>
            </w:pPr>
            <w:r>
              <w:rPr>
                <w:u w:val="single"/>
              </w:rPr>
              <w:t>                     </w:t>
            </w:r>
            <w:r>
              <w:rPr/>
              <w:t>, as</w:t>
            </w:r>
          </w:p>
        </w:tc>
      </w:tr>
      <w:tr>
        <w:trPr/>
        <w:tc>
          <w:tcPr>
            <w:tcW w:w="3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865" w:type="dxa"/>
            <w:gridSpan w:val="3"/>
            <w:tcBorders/>
          </w:tcPr>
          <w:p>
            <w:pPr>
              <w:pStyle w:val="TableContents"/>
              <w:bidi w:val="0"/>
              <w:spacing w:before="0" w:after="283"/>
              <w:jc w:val="left"/>
              <w:rPr/>
            </w:pPr>
            <w:r>
              <w:rPr/>
              <w:t>Authenticating Agent</w:t>
            </w:r>
          </w:p>
        </w:tc>
      </w:tr>
      <w:tr>
        <w:trPr>
          <w:trHeight w:val="240" w:hRule="atLeast"/>
        </w:trPr>
        <w:tc>
          <w:tcPr>
            <w:tcW w:w="365" w:type="dxa"/>
            <w:tcBorders/>
            <w:vAlign w:val="center"/>
          </w:tcPr>
          <w:p>
            <w:pPr>
              <w:pStyle w:val="TableContents"/>
              <w:bidi w:val="0"/>
              <w:spacing w:before="0" w:after="283"/>
              <w:jc w:val="left"/>
              <w:rPr>
                <w:sz w:val="4"/>
                <w:szCs w:val="4"/>
              </w:rPr>
            </w:pPr>
            <w:r>
              <w:rPr>
                <w:sz w:val="4"/>
                <w:szCs w:val="4"/>
              </w:rPr>
            </w:r>
          </w:p>
        </w:tc>
        <w:tc>
          <w:tcPr>
            <w:tcW w:w="1211" w:type="dxa"/>
            <w:gridSpan w:val="2"/>
            <w:tcBorders/>
            <w:vAlign w:val="center"/>
          </w:tcPr>
          <w:p>
            <w:pPr>
              <w:pStyle w:val="TableContents"/>
              <w:bidi w:val="0"/>
              <w:spacing w:before="0" w:after="283"/>
              <w:jc w:val="left"/>
              <w:rPr>
                <w:sz w:val="4"/>
                <w:szCs w:val="4"/>
              </w:rPr>
            </w:pPr>
            <w:r>
              <w:rPr>
                <w:sz w:val="4"/>
                <w:szCs w:val="4"/>
              </w:rPr>
            </w:r>
          </w:p>
        </w:tc>
        <w:tc>
          <w:tcPr>
            <w:tcW w:w="3714" w:type="dxa"/>
            <w:gridSpan w:val="2"/>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51" w:type="dxa"/>
            <w:tcBorders/>
          </w:tcPr>
          <w:p>
            <w:pPr>
              <w:pStyle w:val="TableContents"/>
              <w:bidi w:val="0"/>
              <w:spacing w:before="0" w:after="283"/>
              <w:jc w:val="left"/>
              <w:rPr/>
            </w:pPr>
            <w:r>
              <w:rPr/>
              <w:t>By:</w:t>
            </w:r>
          </w:p>
        </w:tc>
        <w:tc>
          <w:tcPr>
            <w:tcW w:w="194" w:type="dxa"/>
            <w:tcBorders/>
            <w:vAlign w:val="bottom"/>
          </w:tcPr>
          <w:p>
            <w:pPr>
              <w:pStyle w:val="TableContents"/>
              <w:bidi w:val="0"/>
              <w:spacing w:before="0" w:after="283"/>
              <w:jc w:val="left"/>
              <w:rPr/>
            </w:pPr>
            <w:r>
              <w:rPr/>
              <w:t> </w:t>
            </w:r>
          </w:p>
        </w:tc>
        <w:tc>
          <w:tcPr>
            <w:tcW w:w="3520" w:type="dxa"/>
            <w:tcBorders/>
          </w:tcPr>
          <w:p>
            <w:pPr>
              <w:pStyle w:val="TableContents"/>
              <w:pBdr>
                <w:bottom w:val="single" w:sz="2" w:space="1" w:color="000000"/>
              </w:pBdr>
              <w:bidi w:val="0"/>
              <w:spacing w:before="0" w:after="20"/>
              <w:jc w:val="left"/>
              <w:rPr/>
            </w:pPr>
            <w:r>
              <w:rPr/>
              <w:t> </w:t>
            </w:r>
          </w:p>
        </w:tc>
      </w:tr>
      <w:tr>
        <w:trPr/>
        <w:tc>
          <w:tcPr>
            <w:tcW w:w="3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51" w:type="dxa"/>
            <w:tcBorders/>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3520" w:type="dxa"/>
            <w:tcBorders/>
          </w:tcPr>
          <w:p>
            <w:pPr>
              <w:pStyle w:val="TableContents"/>
              <w:bidi w:val="0"/>
              <w:spacing w:before="0" w:after="283"/>
              <w:jc w:val="left"/>
              <w:rPr/>
            </w:pPr>
            <w:r>
              <w:rPr/>
              <w:t>Authorized Signatory</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VII. HOLDERS’ LISTS AND REPORTS BY TRUSTEE AND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Company to Furnish Trustee Names and Addresses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furnish or cause to be furnished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(a) semi-annually, not more than 15 days after each Regular Record Date, a list for each series of Securities, in such form as the Trustee may reasonably require, of the names and addresses of the Holders of Securities of such series as of such Regular Record Date; and </w:t>
      </w:r>
    </w:p>
    <w:p>
      <w:pPr>
        <w:pStyle w:val="TextBody"/>
        <w:bidi w:val="0"/>
        <w:spacing w:before="240" w:after="0"/>
        <w:jc w:val="left"/>
        <w:rPr>
          <w:rFonts w:ascii="Times New Roman" w:hAnsi="Times New Roman"/>
          <w:sz w:val="20"/>
        </w:rPr>
      </w:pPr>
      <w:r>
        <w:rPr>
          <w:rFonts w:ascii="Times New Roman" w:hAnsi="Times New Roman"/>
          <w:sz w:val="20"/>
        </w:rPr>
        <w:t xml:space="preserve">(b) at such other times as the Trustee may request in writing, within 30 days after the receipt by the Company of any such request, a list of similar form and content as of a date not more than 15 days prior to the time such list is furnished; </w:t>
      </w:r>
    </w:p>
    <w:p>
      <w:pPr>
        <w:pStyle w:val="TextBody"/>
        <w:bidi w:val="0"/>
        <w:spacing w:before="240" w:after="0"/>
        <w:jc w:val="left"/>
        <w:rPr>
          <w:rFonts w:ascii="Times New Roman" w:hAnsi="Times New Roman"/>
          <w:sz w:val="20"/>
        </w:rPr>
      </w:pPr>
      <w:r>
        <w:rPr>
          <w:rFonts w:ascii="Times New Roman" w:hAnsi="Times New Roman"/>
          <w:sz w:val="20"/>
        </w:rPr>
        <w:t xml:space="preserve">provided, however, that if and so long as the Trustee shall be the Security Registrar for the Securities of a series, no such list need be furnished with respect to such series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Preservation of Information; Communications to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compliance with its obligations pursuant to Section 312 of the Trust Indenture Act, the Trustee (i) shall preserve, in as current a form as is reasonably practicable, the names and addresses of Holders contained in the most recent list furnished to the Trustee as provided in </w:t>
      </w:r>
      <w:r>
        <w:rPr>
          <w:rFonts w:ascii="Times New Roman" w:hAnsi="Times New Roman"/>
          <w:sz w:val="20"/>
          <w:u w:val="single"/>
        </w:rPr>
        <w:t>Section 7.01</w:t>
      </w:r>
      <w:r>
        <w:rPr>
          <w:rFonts w:ascii="Times New Roman" w:hAnsi="Times New Roman"/>
          <w:sz w:val="20"/>
        </w:rPr>
        <w:t xml:space="preserve"> and the names and addresses of Holders received by the Trustee in its capacity as Security Registrar and (ii) may destroy any list furnished to it as provided in </w:t>
      </w:r>
      <w:r>
        <w:rPr>
          <w:rFonts w:ascii="Times New Roman" w:hAnsi="Times New Roman"/>
          <w:sz w:val="20"/>
          <w:u w:val="single"/>
        </w:rPr>
        <w:t>Section 7.01</w:t>
      </w:r>
      <w:r>
        <w:rPr>
          <w:rFonts w:ascii="Times New Roman" w:hAnsi="Times New Roman"/>
          <w:sz w:val="20"/>
        </w:rPr>
        <w:t xml:space="preserve"> upon receipt of a new list so furnished. </w:t>
      </w:r>
    </w:p>
    <w:p>
      <w:pPr>
        <w:pStyle w:val="TextBody"/>
        <w:bidi w:val="0"/>
        <w:spacing w:before="240" w:after="0"/>
        <w:jc w:val="left"/>
        <w:rPr>
          <w:rFonts w:ascii="Times New Roman" w:hAnsi="Times New Roman"/>
          <w:sz w:val="20"/>
        </w:rPr>
      </w:pPr>
      <w:r>
        <w:rPr>
          <w:rFonts w:ascii="Times New Roman" w:hAnsi="Times New Roman"/>
          <w:sz w:val="20"/>
        </w:rPr>
        <w:t xml:space="preserve">The rights of Holders to communicate with other Holders with respect to their rights under this Indenture or the Securities, and the corresponding rights and privileges of the Trustee shall be as provided by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Every Holder of Securities, by receiving and holding the same, agrees with the Company and the Trustee that none of the Company, the Trustee nor any agent of any of them shall be held accountable by reason of any disclosure of information as to names and addresses of Holders made pursuant to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Reports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transmit to Holders such reports concerning the Trustee and its actions under this Indenture as may be required pursuant to the Trust Indenture Act at the times and in the manner provided pursuant thereto. As promptly as practicable after each May 15 beginning with the May 15 following the date of this Indenture, and in any event prior to July 15 of each year, the Trustee shall deliver to each Holder a brief report dated as of May 15 that complies with Trust Indenture Act Section 313(a). The Trustee also shall comply with Trust Indenture Act Section 313(b). Prior to delivery to the Holders, the Trustee shall deliver to the Company a copy of any report it delivers to Holders pursuant to this Section. </w:t>
      </w:r>
    </w:p>
    <w:p>
      <w:pPr>
        <w:pStyle w:val="TextBody"/>
        <w:bidi w:val="0"/>
        <w:spacing w:before="240" w:after="0"/>
        <w:jc w:val="left"/>
        <w:rPr>
          <w:rFonts w:ascii="Times New Roman" w:hAnsi="Times New Roman"/>
          <w:sz w:val="20"/>
        </w:rPr>
      </w:pPr>
      <w:r>
        <w:rPr>
          <w:rFonts w:ascii="Times New Roman" w:hAnsi="Times New Roman"/>
          <w:sz w:val="20"/>
        </w:rPr>
        <w:t xml:space="preserve">A copy of each such report shall, at the time of such transmission to Holders, be filed by the Trustee with each stock exchange and automated quotation system, if any, upon which any Securities are listed, with the Commission and with the Company. The Company will notify the Trustee when any Securities are listed on any stock exchange or automated quotation system.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Reports by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established in or pursuant to a Board Resolution or an Officer’s Certificate or in another manner specified as contemplated by </w:t>
      </w:r>
      <w:r>
        <w:rPr>
          <w:rFonts w:ascii="Times New Roman" w:hAnsi="Times New Roman"/>
          <w:sz w:val="20"/>
          <w:u w:val="single"/>
        </w:rPr>
        <w:t>Section 3.01</w:t>
      </w:r>
      <w:r>
        <w:rPr>
          <w:rFonts w:ascii="Times New Roman" w:hAnsi="Times New Roman"/>
          <w:sz w:val="20"/>
        </w:rPr>
        <w:t xml:space="preserve"> for such Securities, the Company shall file with the Trustee, within 15 days after the Company files the same with the Commission, copies of the annual reports and the information, documents and other reports, if any, that it is required to file with the Commission pursuant to Section 13 or Section 15(d) of the Exchange Act or pursuant to § 314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All required information, documents and reports referred to in this </w:t>
      </w:r>
      <w:r>
        <w:rPr>
          <w:rFonts w:ascii="Times New Roman" w:hAnsi="Times New Roman"/>
          <w:sz w:val="20"/>
          <w:u w:val="single"/>
        </w:rPr>
        <w:t>Section 7.04</w:t>
      </w:r>
      <w:r>
        <w:rPr>
          <w:rFonts w:ascii="Times New Roman" w:hAnsi="Times New Roman"/>
          <w:sz w:val="20"/>
        </w:rPr>
        <w:t xml:space="preserve"> shall be deemed filed with the Trustee at the time such information, documents and other reports are publicly filed with the Commission; provided, however, that the Trustee shall have no obligation whatsoever to determine whether or not such information, documents or reports have been so filed.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an Officer’s Certificate).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CONSOLIDATION, MERGER, CONVEYANCE, TRANSFER OR LEASE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 xml:space="preserve">Company May Consolidate, Etc., Only on Certain Terms.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not consolidate with or merge into any other Person or convey, transfer or lease (as lessor) its properties and assets as, or substantially as, an entirety to any Person, unless: </w:t>
      </w:r>
    </w:p>
    <w:p>
      <w:pPr>
        <w:pStyle w:val="TextBody"/>
        <w:bidi w:val="0"/>
        <w:spacing w:before="120" w:after="0"/>
        <w:jc w:val="left"/>
        <w:rPr>
          <w:rFonts w:ascii="Times New Roman" w:hAnsi="Times New Roman"/>
          <w:sz w:val="20"/>
        </w:rPr>
      </w:pPr>
      <w:r>
        <w:rPr>
          <w:rFonts w:ascii="Times New Roman" w:hAnsi="Times New Roman"/>
          <w:sz w:val="20"/>
        </w:rPr>
        <w:t xml:space="preserve">(a) (i) in the case of a merger, (1) the Company is the surviving Person, or (2) the Person formed by such consolidation or into which the Company is merged or the Person which acquires by conveyance or transfer, or which leases, the properties and assets of the Company as, or substantially as, an entirety shall be a corporation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partnership, shall be organized and validly existing under the laws of the United States of America, any State thereof or the District of Columbia and shall expressly assume, by an indenture supplemental hereto, executed and delivered to the Trustee, in form reasonably satisfactory to the Trustee, the due and punctual payment of the principal of and any premium and interest on all the Securities and the performance or observance of every covenant of this Indenture on the part of the Company to be performed or observed; </w:t>
      </w:r>
    </w:p>
    <w:p>
      <w:pPr>
        <w:pStyle w:val="TextBody"/>
        <w:bidi w:val="0"/>
        <w:spacing w:before="240" w:after="0"/>
        <w:jc w:val="left"/>
        <w:rPr>
          <w:rFonts w:ascii="Times New Roman" w:hAnsi="Times New Roman"/>
          <w:sz w:val="20"/>
        </w:rPr>
      </w:pPr>
      <w:r>
        <w:rPr>
          <w:rFonts w:ascii="Times New Roman" w:hAnsi="Times New Roman"/>
          <w:sz w:val="20"/>
        </w:rPr>
        <w:t xml:space="preserve">(b) immediately after giving effect to such transaction, no Event of Default, and no event which, after notice or lapse of time or both, would become an Event of Default, shall exist; and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Successor Substituted.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any consolidation of the Company with, or merger of the Company into, any other Person or any conveyance, transfer or lease (as lessor) of the properties and assets of the Company as, or substantially as, an entirety in accordance with </w:t>
      </w:r>
      <w:r>
        <w:rPr>
          <w:rFonts w:ascii="Times New Roman" w:hAnsi="Times New Roman"/>
          <w:sz w:val="20"/>
          <w:u w:val="single"/>
        </w:rPr>
        <w:t>Section 8.01</w:t>
      </w:r>
      <w:r>
        <w:rPr>
          <w:rFonts w:ascii="Times New Roman" w:hAnsi="Times New Roman"/>
          <w:sz w:val="20"/>
        </w:rPr>
        <w:t xml:space="preserve">,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(where the Company is the lessor), the predecessor Person shall be relieved of all obligations and covenants under this Indenture and the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SUPPLEMENTAL INDENTURES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Supplemental Indentures Without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Without the consent of any Holders, the Company and the Trustee, at any time and from time to time, may enter into one or more indentures supplemental hereto, in form satisfactory to the Trustee,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(a) to evidence the succession of another Person to the Company under this Indenture and the Securities and the assumption by such successor of the obligations of the Company hereunder; </w:t>
      </w:r>
    </w:p>
    <w:p>
      <w:pPr>
        <w:pStyle w:val="TextBody"/>
        <w:bidi w:val="0"/>
        <w:spacing w:before="240" w:after="0"/>
        <w:jc w:val="left"/>
        <w:rPr>
          <w:rFonts w:ascii="Times New Roman" w:hAnsi="Times New Roman"/>
          <w:sz w:val="20"/>
        </w:rPr>
      </w:pPr>
      <w:r>
        <w:rPr>
          <w:rFonts w:ascii="Times New Roman" w:hAnsi="Times New Roman"/>
          <w:sz w:val="20"/>
        </w:rPr>
        <w:t xml:space="preserve">(b) to add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with regard to all or any series of Securities (and if any such surrender is to be made with regard to less than all series of Securities, stating that such surrender is expressly being made solely with regard to such series); </w:t>
      </w:r>
    </w:p>
    <w:p>
      <w:pPr>
        <w:pStyle w:val="TextBody"/>
        <w:bidi w:val="0"/>
        <w:spacing w:before="240" w:after="0"/>
        <w:jc w:val="left"/>
        <w:rPr>
          <w:rFonts w:ascii="Times New Roman" w:hAnsi="Times New Roman"/>
          <w:sz w:val="20"/>
        </w:rPr>
      </w:pPr>
      <w:r>
        <w:rPr>
          <w:rFonts w:ascii="Times New Roman" w:hAnsi="Times New Roman"/>
          <w:sz w:val="20"/>
        </w:rPr>
        <w:t xml:space="preserve">(c) 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(d) 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w:t>
      </w:r>
    </w:p>
    <w:p>
      <w:pPr>
        <w:pStyle w:val="TextBody"/>
        <w:bidi w:val="0"/>
        <w:spacing w:before="240" w:after="0"/>
        <w:jc w:val="left"/>
        <w:rPr>
          <w:rFonts w:ascii="Times New Roman" w:hAnsi="Times New Roman"/>
          <w:sz w:val="20"/>
        </w:rPr>
      </w:pPr>
      <w:r>
        <w:rPr>
          <w:rFonts w:ascii="Times New Roman" w:hAnsi="Times New Roman"/>
          <w:sz w:val="20"/>
        </w:rPr>
        <w:t xml:space="preserve">(e) to add to, change or eliminate any of the provisions of this Indenture in respect of all or any series of Securities (and if such addition, change or elimination is to apply to less than all series of Securities, stating that it is expressly being made to apply solely with respect to such series); provided that any such addition, change or elimination (1) shall neither (i) apply to any Security of any series created prior to the execution of such supplemental indenture and entitled to the benefit of such provision nor (ii) modify the rights of the Holder of any such Security with respect to such provision or (2) shall become effective only when there is no such Security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to secure the Securities or any guarantee with respect to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(g) to establish the form or terms of Securities of any series hereunder; </w:t>
      </w:r>
    </w:p>
    <w:p>
      <w:pPr>
        <w:pStyle w:val="TextBody"/>
        <w:bidi w:val="0"/>
        <w:spacing w:before="240" w:after="0"/>
        <w:jc w:val="left"/>
        <w:rPr>
          <w:rFonts w:ascii="Times New Roman" w:hAnsi="Times New Roman"/>
          <w:sz w:val="20"/>
        </w:rPr>
      </w:pPr>
      <w:r>
        <w:rPr>
          <w:rFonts w:ascii="Times New Roman" w:hAnsi="Times New Roman"/>
          <w:sz w:val="20"/>
        </w:rPr>
        <w:t xml:space="preserve">(h)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w:t>
      </w:r>
      <w:r>
        <w:rPr>
          <w:rFonts w:ascii="Times New Roman" w:hAnsi="Times New Roman"/>
          <w:sz w:val="20"/>
          <w:u w:val="single"/>
        </w:rPr>
        <w:t>Section 6.11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to cure any ambiguity or to correct or supplement any provision herein which may be defective or inconsistent with any other provision herein; </w:t>
      </w:r>
    </w:p>
    <w:p>
      <w:pPr>
        <w:pStyle w:val="TextBody"/>
        <w:bidi w:val="0"/>
        <w:spacing w:before="240" w:after="0"/>
        <w:jc w:val="left"/>
        <w:rPr>
          <w:rFonts w:ascii="Times New Roman" w:hAnsi="Times New Roman"/>
          <w:sz w:val="20"/>
        </w:rPr>
      </w:pPr>
      <w:r>
        <w:rPr>
          <w:rFonts w:ascii="Times New Roman" w:hAnsi="Times New Roman"/>
          <w:sz w:val="20"/>
        </w:rPr>
        <w:t xml:space="preserve">(j) to make any other provisions with respect to matters or questions arising under this Indenture, provided that such action pursuant to this Clause (j) shall not adversely affect the interests of the Holders of any Securities of any Outstanding series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(k) to add one or more guarantors with respect to the Securities as parties to this Indenture or to release guarantors in accordance with the provisions of any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(l) to qualify this Indenture under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(m) to supplement any provisions of this Indenture necessary to permit or facilitate the defeasance and discharge of any series of Securities; provided that such action does not adversely affect the interests of the Holders of Securities of such series or any other series; </w:t>
      </w:r>
    </w:p>
    <w:p>
      <w:pPr>
        <w:pStyle w:val="TextBody"/>
        <w:bidi w:val="0"/>
        <w:spacing w:before="240" w:after="0"/>
        <w:jc w:val="left"/>
        <w:rPr>
          <w:rFonts w:ascii="Times New Roman" w:hAnsi="Times New Roman"/>
          <w:sz w:val="20"/>
        </w:rPr>
      </w:pPr>
      <w:r>
        <w:rPr>
          <w:rFonts w:ascii="Times New Roman" w:hAnsi="Times New Roman"/>
          <w:sz w:val="20"/>
        </w:rPr>
        <w:t xml:space="preserve">(n) to comply with the rules or regulations of any securities exchange or automated quotation system on which any of the Securities may be listed or traded; </w:t>
      </w:r>
    </w:p>
    <w:p>
      <w:pPr>
        <w:pStyle w:val="TextBody"/>
        <w:bidi w:val="0"/>
        <w:spacing w:before="240" w:after="0"/>
        <w:jc w:val="left"/>
        <w:rPr>
          <w:rFonts w:ascii="Times New Roman" w:hAnsi="Times New Roman"/>
          <w:sz w:val="20"/>
        </w:rPr>
      </w:pPr>
      <w:r>
        <w:rPr>
          <w:rFonts w:ascii="Times New Roman" w:hAnsi="Times New Roman"/>
          <w:sz w:val="20"/>
        </w:rPr>
        <w:t xml:space="preserve">(o) to comply with the rules of any applicable Depositary; </w:t>
      </w:r>
    </w:p>
    <w:p>
      <w:pPr>
        <w:pStyle w:val="TextBody"/>
        <w:bidi w:val="0"/>
        <w:spacing w:before="240" w:after="0"/>
        <w:jc w:val="left"/>
        <w:rPr>
          <w:rFonts w:ascii="Times New Roman" w:hAnsi="Times New Roman"/>
          <w:sz w:val="20"/>
        </w:rPr>
      </w:pPr>
      <w:r>
        <w:rPr>
          <w:rFonts w:ascii="Times New Roman" w:hAnsi="Times New Roman"/>
          <w:sz w:val="20"/>
        </w:rPr>
        <w:t xml:space="preserve">(p) subject to any limitations established pursuant to </w:t>
      </w:r>
      <w:r>
        <w:rPr>
          <w:rFonts w:ascii="Times New Roman" w:hAnsi="Times New Roman"/>
          <w:sz w:val="20"/>
          <w:u w:val="single"/>
        </w:rPr>
        <w:t>Section 3.01</w:t>
      </w:r>
      <w:r>
        <w:rPr>
          <w:rFonts w:ascii="Times New Roman" w:hAnsi="Times New Roman"/>
          <w:sz w:val="20"/>
        </w:rPr>
        <w:t xml:space="preserve">, to provide for the issuance of additional Securities of any series; or </w:t>
      </w:r>
    </w:p>
    <w:p>
      <w:pPr>
        <w:pStyle w:val="TextBody"/>
        <w:bidi w:val="0"/>
        <w:spacing w:before="240" w:after="0"/>
        <w:jc w:val="left"/>
        <w:rPr>
          <w:rFonts w:ascii="Times New Roman" w:hAnsi="Times New Roman"/>
          <w:sz w:val="20"/>
        </w:rPr>
      </w:pPr>
      <w:r>
        <w:rPr>
          <w:rFonts w:ascii="Times New Roman" w:hAnsi="Times New Roman"/>
          <w:sz w:val="20"/>
        </w:rPr>
        <w:t xml:space="preserve">(q) to conform any provision of this Indenture, any supplemental indenture, one or more series of Securities or any related guarantees or security documents, if any, to the description of such Securities contained in the Company’s prospectus, prospectus supplement, offering memorandum or similar document with respect to the offering of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Supplemental Indentures With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the consent of the Holders of not less than a majority in aggregate principal amount of the Outstanding Securities of each series affected by such supplemental indenture (including consents obtained in connection with a tender offer or exchange for Securities),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modifying in any manner the rights of the Holders of Securities of such series under this Indenture; provided, however, that no such supplemental indenture shall, without the consent of the Holder of each Outstanding Security of such series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(a) change the Stated Maturity of the principal of, or any installment of principal of or interest, if any, on, any Security, or reduce the principal amount thereof or the rate of interest thereon or any premium payable upon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redemption thereof, or reduce the amount of the principal of an Original Issue Discount Security or any other Security which would be due and payable upon a declaration of acceleration of the Maturity thereof pursuant to </w:t>
      </w:r>
      <w:r>
        <w:rPr>
          <w:rFonts w:ascii="Times New Roman" w:hAnsi="Times New Roman"/>
          <w:sz w:val="20"/>
          <w:u w:val="single"/>
        </w:rPr>
        <w:t>Section 5.02</w:t>
      </w:r>
      <w:r>
        <w:rPr>
          <w:rFonts w:ascii="Times New Roman" w:hAnsi="Times New Roman"/>
          <w:sz w:val="20"/>
        </w:rPr>
        <w:t xml:space="preserve">, or change the Company’s obligation to maintain an office or agency for payment of Securities and the other matters specified herein, or the coin or currency in which any Security is payable, or impair the right of any Holder to institute suit for the enforcement of any such payment on or after the Stated Maturity thereof (or, in the case of redemption, on or after the Redemption Date), or alter the method of computation of interest; </w:t>
      </w:r>
    </w:p>
    <w:p>
      <w:pPr>
        <w:pStyle w:val="TextBody"/>
        <w:bidi w:val="0"/>
        <w:spacing w:before="240" w:after="0"/>
        <w:jc w:val="left"/>
        <w:rPr>
          <w:rFonts w:ascii="Times New Roman" w:hAnsi="Times New Roman"/>
          <w:sz w:val="20"/>
        </w:rPr>
      </w:pPr>
      <w:r>
        <w:rPr>
          <w:rFonts w:ascii="Times New Roman" w:hAnsi="Times New Roman"/>
          <w:sz w:val="20"/>
        </w:rPr>
        <w:t xml:space="preserve">(b) reduce the percentage in aggregate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(c) modify any of the provisions of this Section, </w:t>
      </w:r>
      <w:r>
        <w:rPr>
          <w:rFonts w:ascii="Times New Roman" w:hAnsi="Times New Roman"/>
          <w:sz w:val="20"/>
          <w:u w:val="single"/>
        </w:rPr>
        <w:t>Section 5.13</w:t>
      </w:r>
      <w:r>
        <w:rPr>
          <w:rFonts w:ascii="Times New Roman" w:hAnsi="Times New Roman"/>
          <w:sz w:val="20"/>
        </w:rPr>
        <w:t xml:space="preserve"> or </w:t>
      </w:r>
      <w:r>
        <w:rPr>
          <w:rFonts w:ascii="Times New Roman" w:hAnsi="Times New Roman"/>
          <w:sz w:val="20"/>
          <w:u w:val="single"/>
        </w:rPr>
        <w:t>Section 10.06</w:t>
      </w:r>
      <w:r>
        <w:rPr>
          <w:rFonts w:ascii="Times New Roman" w:hAnsi="Times New Roman"/>
          <w:sz w:val="20"/>
        </w:rPr>
        <w:t xml:space="preserve">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w:t>
      </w:r>
      <w:r>
        <w:rPr>
          <w:rFonts w:ascii="Times New Roman" w:hAnsi="Times New Roman"/>
          <w:sz w:val="20"/>
          <w:u w:val="single"/>
        </w:rPr>
        <w:t>Section 10.06</w:t>
      </w:r>
      <w:r>
        <w:rPr>
          <w:rFonts w:ascii="Times New Roman" w:hAnsi="Times New Roman"/>
          <w:sz w:val="20"/>
        </w:rPr>
        <w:t xml:space="preserve">, or the deletion of this proviso, in accordance with the requirements of </w:t>
      </w:r>
      <w:r>
        <w:rPr>
          <w:rFonts w:ascii="Times New Roman" w:hAnsi="Times New Roman"/>
          <w:sz w:val="20"/>
          <w:u w:val="single"/>
        </w:rPr>
        <w:t>Sections 6.11</w:t>
      </w:r>
      <w:r>
        <w:rPr>
          <w:rFonts w:ascii="Times New Roman" w:hAnsi="Times New Roman"/>
          <w:sz w:val="20"/>
        </w:rPr>
        <w:t xml:space="preserve"> and </w:t>
      </w:r>
      <w:r>
        <w:rPr>
          <w:rFonts w:ascii="Times New Roman" w:hAnsi="Times New Roman"/>
          <w:sz w:val="20"/>
          <w:u w:val="single"/>
        </w:rPr>
        <w:t>9.01(h)</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(d) if the Securities of any series are convertible into or for any other securities or property of the Company, make any change that adversely affects in any material respect the right to convert any Security of such series (except as permitted by </w:t>
      </w:r>
      <w:r>
        <w:rPr>
          <w:rFonts w:ascii="Times New Roman" w:hAnsi="Times New Roman"/>
          <w:sz w:val="20"/>
          <w:u w:val="single"/>
        </w:rPr>
        <w:t>Section 9.01</w:t>
      </w:r>
      <w:r>
        <w:rPr>
          <w:rFonts w:ascii="Times New Roman" w:hAnsi="Times New Roman"/>
          <w:sz w:val="20"/>
        </w:rPr>
        <w:t xml:space="preserve">) or decrease the conversion rate or increase the conversion price of any such Security of such series, unless such decrease or increase is permitted by the terms of such Security. </w:t>
      </w:r>
    </w:p>
    <w:p>
      <w:pPr>
        <w:pStyle w:val="TextBody"/>
        <w:bidi w:val="0"/>
        <w:spacing w:before="240" w:after="0"/>
        <w:jc w:val="left"/>
        <w:rPr>
          <w:rFonts w:ascii="Times New Roman" w:hAnsi="Times New Roman"/>
          <w:sz w:val="20"/>
        </w:rPr>
      </w:pPr>
      <w:r>
        <w:rPr>
          <w:rFonts w:ascii="Times New Roman" w:hAnsi="Times New Roman"/>
          <w:sz w:val="20"/>
        </w:rPr>
        <w:t xml:space="preserve">A supplemental indenture that changes or eliminates any covenant or other provision of this Indenture that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any Act of Holders under this Section to approve the particular form of any proposed supplemental indenture, but it shall be sufficient if such Act shall approve the substance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Execution of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executing, or accepting the additional trusts created by, any supplemental indenture permitted by this Article or the modifications thereby of the trusts created by this Indenture, the Trustee shall be entitled to receive, and (subject to </w:t>
      </w:r>
      <w:r>
        <w:rPr>
          <w:rFonts w:ascii="Times New Roman" w:hAnsi="Times New Roman"/>
          <w:sz w:val="20"/>
          <w:u w:val="single"/>
        </w:rPr>
        <w:t>Section 6.01</w:t>
      </w:r>
      <w:r>
        <w:rPr>
          <w:rFonts w:ascii="Times New Roman" w:hAnsi="Times New Roman"/>
          <w:sz w:val="20"/>
        </w:rPr>
        <w:t xml:space="preserve">) shall be fully protected in relying upon, an Officer’s Certificate and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Effect of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Conformity with 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Every supplemental indenture executed pursuant to this Article shall conform to the requirements of the Trust Indenture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Reference in Securities to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 Failure to make a notation or issue a new Security shall not affect the validity and effect of any amendment, supplement or waiver.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Payment of Principal, Premium and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and agrees for the benefit of each series of Securities that it will duly and punctually pay the principal of and premium, if any, and interest on the Securities of that series in accordance with the terms of the Securities and this Indenture. Principal, premium, if any, and interest will be considered paid on the date due if the Trustee or Paying Agent, if other than the Company or a Subsidiary thereof, holds as of Noon, New York City time, on the due date, money deposited by the Company in immediately available funds and designated for and sufficient to pay all principal, premium, if any, and interest on the Notes then due.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in this Indenture, the Company or the Paying Agent may, to the extent it is required to do so by law, deduct or withhold income or other similar taxes imposed by the United States of America or other domestic or foreign taxing authorities from principal or interest payments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Maintenance of Office or Agency.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may be surrendered for conversion,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specified with respect to a series of Securities as contemplated by </w:t>
      </w:r>
      <w:r>
        <w:rPr>
          <w:rFonts w:ascii="Times New Roman" w:hAnsi="Times New Roman"/>
          <w:sz w:val="20"/>
          <w:u w:val="single"/>
        </w:rPr>
        <w:t>Section 3.01</w:t>
      </w:r>
      <w:r>
        <w:rPr>
          <w:rFonts w:ascii="Times New Roman" w:hAnsi="Times New Roman"/>
          <w:sz w:val="20"/>
        </w:rPr>
        <w:t xml:space="preserve">, the Company hereby initially designates as the Place of Payment for each series of Securities The City of New York, and initially appoints the Trustee as Paying Agent at its Corporate Trust Office as the Company’s office or agency for each such purpose in such city; provided that with respect to a Global Security, and except as may otherwise be specified for such Global Security as contemplated by </w:t>
      </w:r>
      <w:r>
        <w:rPr>
          <w:rFonts w:ascii="Times New Roman" w:hAnsi="Times New Roman"/>
          <w:sz w:val="20"/>
          <w:u w:val="single"/>
        </w:rPr>
        <w:t>Section 3.01</w:t>
      </w:r>
      <w:r>
        <w:rPr>
          <w:rFonts w:ascii="Times New Roman" w:hAnsi="Times New Roman"/>
          <w:sz w:val="20"/>
        </w:rPr>
        <w:t xml:space="preserve">, any payment, presentation, surrender or delivery effected pursuant to the Applicable Procedures of the Depositary for such Global Security shall be deemed to have been effected at the Place of Payment for such Global Security in accordance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10.03 </w:t>
      </w:r>
      <w:r>
        <w:rPr>
          <w:rFonts w:ascii="Times New Roman" w:hAnsi="Times New Roman"/>
          <w:sz w:val="20"/>
          <w:u w:val="single"/>
        </w:rPr>
        <w:t>Money for Securities Payments to Be Held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Whenever the Company shall have one or more Paying Agents for any series of Securities, it will, on or prior to Noon, New York City time, on each due date of the principal of or any premium or interest on any Securities of that series, deposit (or, if the Company has deposited any trust funds with a trustee pursuant to </w:t>
      </w:r>
      <w:r>
        <w:rPr>
          <w:rFonts w:ascii="Times New Roman" w:hAnsi="Times New Roman"/>
          <w:sz w:val="20"/>
          <w:u w:val="single"/>
        </w:rPr>
        <w:t>Section 13.04(a)</w:t>
      </w:r>
      <w:r>
        <w:rPr>
          <w:rFonts w:ascii="Times New Roman" w:hAnsi="Times New Roman"/>
          <w:sz w:val="20"/>
        </w:rPr>
        <w:t xml:space="preserve">, cause such trustee to deposit) with a Paying Agent a sum sufficient to pay such amount, such sum to be held as provided by the Trust Indenture Act, and (unless such Paying Agent is the Trustee) the Company will promptly notify the Trustee of its action or failure so to act.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cause each Paying Agent for any series of Securities other than the Trustee to execute and deliver to the Trustee an instrument in which such Paying Agent shall agree with the Trustee, subject to the provisions of this Section, that such Paying Agent will (1) hold all sums held by it for the payment of the principal of (and premium, if any) or interest, if any, on Securities of that series in trust for the benefit of the Persons entitled thereto until such sums shall be paid to such Persons or otherwise disposed of as herein provided; (2) give the Trustee notice of any default by the Company (or any other obligor upon the Securities of that series) in the making of any payment of principal (and premium, if any) or interest, if any, on the Securities of that series; and (3) during the continuance of any such default, upon the written request of the Trustee, forthwith pay to the Trustee all sums held in trust by such Paying Agent for payment in respect of the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any further liability with respect to such money. </w:t>
      </w:r>
    </w:p>
    <w:p>
      <w:pPr>
        <w:pStyle w:val="TextBody"/>
        <w:bidi w:val="0"/>
        <w:spacing w:before="240" w:after="0"/>
        <w:jc w:val="left"/>
        <w:rPr>
          <w:rFonts w:ascii="Times New Roman" w:hAnsi="Times New Roman"/>
          <w:sz w:val="20"/>
        </w:rPr>
      </w:pPr>
      <w:r>
        <w:rPr>
          <w:rFonts w:ascii="Times New Roman" w:hAnsi="Times New Roman"/>
          <w:sz w:val="20"/>
        </w:rPr>
        <w:t xml:space="preserve">Subject to any applicable abandoned property law, 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w:t>
      </w:r>
    </w:p>
    <w:p>
      <w:pPr>
        <w:pStyle w:val="TextBody"/>
        <w:bidi w:val="0"/>
        <w:spacing w:before="240" w:after="0"/>
        <w:jc w:val="left"/>
        <w:rPr>
          <w:rFonts w:ascii="Times New Roman" w:hAnsi="Times New Roman"/>
          <w:sz w:val="20"/>
        </w:rPr>
      </w:pPr>
      <w:r>
        <w:rPr>
          <w:rFonts w:ascii="Times New Roman" w:hAnsi="Times New Roman"/>
          <w:sz w:val="20"/>
        </w:rPr>
        <w:t xml:space="preserve">Section 10.04 </w:t>
      </w:r>
      <w:r>
        <w:rPr>
          <w:rFonts w:ascii="Times New Roman" w:hAnsi="Times New Roman"/>
          <w:sz w:val="20"/>
          <w:u w:val="single"/>
        </w:rPr>
        <w:t>Statement by Officer as to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deliver to the Trustee, within 120 days after the end of each of its fiscal years ending after the date hereof, an Officer’s Certificate, stating whether or not to the best knowledge of the signer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 signer thereof may have knowledge. </w:t>
      </w:r>
    </w:p>
    <w:p>
      <w:pPr>
        <w:pStyle w:val="TextBody"/>
        <w:bidi w:val="0"/>
        <w:spacing w:before="240" w:after="0"/>
        <w:jc w:val="left"/>
        <w:rPr>
          <w:rFonts w:ascii="Times New Roman" w:hAnsi="Times New Roman"/>
          <w:sz w:val="20"/>
        </w:rPr>
      </w:pPr>
      <w:r>
        <w:rPr>
          <w:rFonts w:ascii="Times New Roman" w:hAnsi="Times New Roman"/>
          <w:sz w:val="20"/>
        </w:rPr>
        <w:t xml:space="preserve">Section 10.05 </w:t>
      </w:r>
      <w:r>
        <w:rPr>
          <w:rFonts w:ascii="Times New Roman" w:hAnsi="Times New Roman"/>
          <w:sz w:val="20"/>
          <w:u w:val="single"/>
        </w:rPr>
        <w:t>Existence.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w:t>
      </w:r>
      <w:r>
        <w:rPr>
          <w:rFonts w:ascii="Times New Roman" w:hAnsi="Times New Roman"/>
          <w:sz w:val="20"/>
          <w:u w:val="single"/>
        </w:rPr>
        <w:t>Article VIII</w:t>
      </w:r>
      <w:r>
        <w:rPr>
          <w:rFonts w:ascii="Times New Roman" w:hAnsi="Times New Roman"/>
          <w:sz w:val="20"/>
        </w:rPr>
        <w:t xml:space="preserve">, the Company will do or cause to be done all things necessary to preserve and keep in full force and effect its corporate (or equivalent) existence. </w:t>
      </w:r>
    </w:p>
    <w:p>
      <w:pPr>
        <w:pStyle w:val="TextBody"/>
        <w:bidi w:val="0"/>
        <w:spacing w:before="240" w:after="0"/>
        <w:jc w:val="left"/>
        <w:rPr>
          <w:rFonts w:ascii="Times New Roman" w:hAnsi="Times New Roman"/>
          <w:sz w:val="20"/>
        </w:rPr>
      </w:pPr>
      <w:r>
        <w:rPr>
          <w:rFonts w:ascii="Times New Roman" w:hAnsi="Times New Roman"/>
          <w:sz w:val="20"/>
        </w:rPr>
        <w:t xml:space="preserve">Section 10.06 </w:t>
      </w:r>
      <w:r>
        <w:rPr>
          <w:rFonts w:ascii="Times New Roman" w:hAnsi="Times New Roman"/>
          <w:sz w:val="20"/>
          <w:u w:val="single"/>
        </w:rPr>
        <w:t>Waiver of Certain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specified as contemplated by </w:t>
      </w:r>
      <w:r>
        <w:rPr>
          <w:rFonts w:ascii="Times New Roman" w:hAnsi="Times New Roman"/>
          <w:sz w:val="20"/>
          <w:u w:val="single"/>
        </w:rPr>
        <w:t>Section 3.01</w:t>
      </w:r>
      <w:r>
        <w:rPr>
          <w:rFonts w:ascii="Times New Roman" w:hAnsi="Times New Roman"/>
          <w:sz w:val="20"/>
        </w:rPr>
        <w:t xml:space="preserve"> for Securities of such series, the Company may, with respect to the Securities of any series, omit in any particular instance to comply with any term, provision or condition set forth in any covenant pursuant to </w:t>
      </w:r>
      <w:r>
        <w:rPr>
          <w:rFonts w:ascii="Times New Roman" w:hAnsi="Times New Roman"/>
          <w:sz w:val="20"/>
          <w:u w:val="single"/>
        </w:rPr>
        <w:t>Sections 3.01(u)</w:t>
      </w:r>
      <w:r>
        <w:rPr>
          <w:rFonts w:ascii="Times New Roman" w:hAnsi="Times New Roman"/>
          <w:sz w:val="20"/>
        </w:rPr>
        <w:t xml:space="preserve">, </w:t>
      </w:r>
      <w:r>
        <w:rPr>
          <w:rFonts w:ascii="Times New Roman" w:hAnsi="Times New Roman"/>
          <w:sz w:val="20"/>
          <w:u w:val="single"/>
        </w:rPr>
        <w:t>9.01(b)</w:t>
      </w:r>
      <w:r>
        <w:rPr>
          <w:rFonts w:ascii="Times New Roman" w:hAnsi="Times New Roman"/>
          <w:sz w:val="20"/>
        </w:rPr>
        <w:t xml:space="preserve"> or </w:t>
      </w:r>
      <w:r>
        <w:rPr>
          <w:rFonts w:ascii="Times New Roman" w:hAnsi="Times New Roman"/>
          <w:sz w:val="20"/>
          <w:u w:val="single"/>
        </w:rPr>
        <w:t>9.01(g)</w:t>
      </w:r>
      <w:r>
        <w:rPr>
          <w:rFonts w:ascii="Times New Roman" w:hAnsi="Times New Roman"/>
          <w:sz w:val="20"/>
        </w:rPr>
        <w:t xml:space="preserve">, </w:t>
      </w:r>
      <w:r>
        <w:rPr>
          <w:rFonts w:ascii="Times New Roman" w:hAnsi="Times New Roman"/>
          <w:sz w:val="20"/>
          <w:u w:val="single"/>
        </w:rPr>
        <w:t>Article VIII</w:t>
      </w:r>
      <w:r>
        <w:rPr>
          <w:rFonts w:ascii="Times New Roman" w:hAnsi="Times New Roman"/>
          <w:sz w:val="20"/>
        </w:rPr>
        <w:t xml:space="preserve"> or </w:t>
      </w:r>
      <w:r>
        <w:rPr>
          <w:rFonts w:ascii="Times New Roman" w:hAnsi="Times New Roman"/>
          <w:sz w:val="20"/>
          <w:u w:val="single"/>
        </w:rPr>
        <w:t>Sections 10.04</w:t>
      </w:r>
      <w:r>
        <w:rPr>
          <w:rFonts w:ascii="Times New Roman" w:hAnsi="Times New Roman"/>
          <w:sz w:val="20"/>
        </w:rPr>
        <w:t xml:space="preserve"> or </w:t>
      </w:r>
      <w:r>
        <w:rPr>
          <w:rFonts w:ascii="Times New Roman" w:hAnsi="Times New Roman"/>
          <w:sz w:val="20"/>
          <w:u w:val="single"/>
        </w:rPr>
        <w:t>10.05</w:t>
      </w:r>
      <w:r>
        <w:rPr>
          <w:rFonts w:ascii="Times New Roman" w:hAnsi="Times New Roman"/>
          <w:sz w:val="20"/>
        </w:rPr>
        <w:t xml:space="preserve"> for the benefit of the Holders of such series if before the time for such compliance the Holders of at least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majority in aggregate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REDEMPTION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sz w:val="20"/>
          <w:u w:val="single"/>
        </w:rPr>
        <w:t>Applicability of Article.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series that are redeemable before their Stated Maturity shall be redeemable in accordance with their terms and (except as otherwise specified as contemplated by </w:t>
      </w:r>
      <w:r>
        <w:rPr>
          <w:rFonts w:ascii="Times New Roman" w:hAnsi="Times New Roman"/>
          <w:sz w:val="20"/>
          <w:u w:val="single"/>
        </w:rPr>
        <w:t>Section 3.01</w:t>
      </w:r>
      <w:r>
        <w:rPr>
          <w:rFonts w:ascii="Times New Roman" w:hAnsi="Times New Roman"/>
          <w:sz w:val="20"/>
        </w:rPr>
        <w:t xml:space="preserve"> for such Securities) in accordance with this Article.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sz w:val="20"/>
          <w:u w:val="single"/>
        </w:rPr>
        <w:t>Election to Redeem; Notice to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election of the Company to redeem any Securities shall be established in or pursuant to a Board Resolution or an Officer’s Certificate or in another manner specified as contemplated by </w:t>
      </w:r>
      <w:r>
        <w:rPr>
          <w:rFonts w:ascii="Times New Roman" w:hAnsi="Times New Roman"/>
          <w:sz w:val="20"/>
          <w:u w:val="single"/>
        </w:rPr>
        <w:t>Section 3.01</w:t>
      </w:r>
      <w:r>
        <w:rPr>
          <w:rFonts w:ascii="Times New Roman" w:hAnsi="Times New Roman"/>
          <w:sz w:val="20"/>
        </w:rPr>
        <w:t xml:space="preserve"> for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established in or pursuant to a Board Resolution or an Officer’s Certificate or in another manner specified as contemplated by </w:t>
      </w:r>
      <w:r>
        <w:rPr>
          <w:rFonts w:ascii="Times New Roman" w:hAnsi="Times New Roman"/>
          <w:sz w:val="20"/>
          <w:u w:val="single"/>
        </w:rPr>
        <w:t>Section 3.01</w:t>
      </w:r>
      <w:r>
        <w:rPr>
          <w:rFonts w:ascii="Times New Roman" w:hAnsi="Times New Roman"/>
          <w:sz w:val="20"/>
        </w:rPr>
        <w:t xml:space="preserve"> for such Securities, in case of any redemption at the election of the Company of the Securities of any series (including any such redemption affecting only a single Security), the Company shall, not less than 10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(a) prior to the expiration of any restriction on such redemption provided in the terms of such Securities or elsewhere in this Indenture, or (b) pursuant to an election of the Company which is subject to a condition specified in the terms of such Securities or elsewhere in this Indenture, the Company shall furnish the Trustee with an Officer’s Certificate evidencing compliance with such restriction or condition. </w:t>
      </w:r>
    </w:p>
    <w:p>
      <w:pPr>
        <w:pStyle w:val="TextBody"/>
        <w:bidi w:val="0"/>
        <w:spacing w:before="240" w:after="0"/>
        <w:jc w:val="left"/>
        <w:rPr>
          <w:rFonts w:ascii="Times New Roman" w:hAnsi="Times New Roman"/>
          <w:sz w:val="20"/>
        </w:rPr>
      </w:pPr>
      <w:r>
        <w:rPr>
          <w:rFonts w:ascii="Times New Roman" w:hAnsi="Times New Roman"/>
          <w:sz w:val="20"/>
        </w:rPr>
        <w:t xml:space="preserve">Section 11.03 </w:t>
      </w:r>
      <w:r>
        <w:rPr>
          <w:rFonts w:ascii="Times New Roman" w:hAnsi="Times New Roman"/>
          <w:sz w:val="20"/>
          <w:u w:val="single"/>
        </w:rPr>
        <w:t>Selection by Trustee of Securities to Be Redeemed.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established in or pursuant to a Board Resolution or an Officer’s Certificate or in another manner specified as contemplated by </w:t>
      </w:r>
      <w:r>
        <w:rPr>
          <w:rFonts w:ascii="Times New Roman" w:hAnsi="Times New Roman"/>
          <w:sz w:val="20"/>
          <w:u w:val="single"/>
        </w:rPr>
        <w:t>Section 3.01</w:t>
      </w:r>
      <w:r>
        <w:rPr>
          <w:rFonts w:ascii="Times New Roman" w:hAnsi="Times New Roman"/>
          <w:sz w:val="20"/>
        </w:rPr>
        <w:t xml:space="preserve"> for such Securities, 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45 days prior to the Redemption Date by the Trustee, from the Outstanding Securities of such series not previously called for redemption, by such method as the Trustee shall deem fair and appropriate and which complies with any securities exchange or other Applicable Procedures;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45 days prior to the Redemption Date by the Trustee, from the Outstanding Securities of such series and specified tenor not previously called for redemption in accordance with the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which have been converted during a selection of securities to be redeemed shall be treated by the Trustee as Outstanding for the purpose of such selection.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promptly notify the Company and each Security Registrar in writing of the Securities selected for redemption as aforesaid and, in case of any Securities selected for partial redemption as aforesaid, the principal amount thereof to be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provisions of the three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 </w:t>
      </w:r>
    </w:p>
    <w:p>
      <w:pPr>
        <w:pStyle w:val="TextBody"/>
        <w:bidi w:val="0"/>
        <w:spacing w:before="240" w:after="0"/>
        <w:jc w:val="left"/>
        <w:rPr>
          <w:rFonts w:ascii="Times New Roman" w:hAnsi="Times New Roman"/>
          <w:sz w:val="20"/>
        </w:rPr>
      </w:pPr>
      <w:r>
        <w:rPr>
          <w:rFonts w:ascii="Times New Roman" w:hAnsi="Times New Roman"/>
          <w:sz w:val="20"/>
        </w:rPr>
        <w:t xml:space="preserve">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 If the Company shall so direct, Securities registered in the name of the Company, any Affiliate or any Subsidiary thereof shall not be included in the Securities selected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11.04 </w:t>
      </w:r>
      <w:r>
        <w:rPr>
          <w:rFonts w:ascii="Times New Roman" w:hAnsi="Times New Roman"/>
          <w:sz w:val="20"/>
          <w:u w:val="single"/>
        </w:rPr>
        <w:t>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established in or pursuant to a Board Resolution or an Officer’s Certificate or in another manner specified as contemplated by </w:t>
      </w:r>
      <w:r>
        <w:rPr>
          <w:rFonts w:ascii="Times New Roman" w:hAnsi="Times New Roman"/>
          <w:sz w:val="20"/>
          <w:u w:val="single"/>
        </w:rPr>
        <w:t>Section 3.01</w:t>
      </w:r>
      <w:r>
        <w:rPr>
          <w:rFonts w:ascii="Times New Roman" w:hAnsi="Times New Roman"/>
          <w:sz w:val="20"/>
        </w:rPr>
        <w:t xml:space="preserve"> for such Securities, notice of redemption shall be given by first-class mail, postage prepaid, mailed or otherwise in accordance with the Applicable Procedures not less than 10 nor more than 60 days prior to the Redemption Date (or within such period as otherwise specified as contemplated by </w:t>
      </w:r>
      <w:r>
        <w:rPr>
          <w:rFonts w:ascii="Times New Roman" w:hAnsi="Times New Roman"/>
          <w:sz w:val="20"/>
          <w:u w:val="single"/>
        </w:rPr>
        <w:t>Section 3.01</w:t>
      </w:r>
      <w:r>
        <w:rPr>
          <w:rFonts w:ascii="Times New Roman" w:hAnsi="Times New Roman"/>
          <w:sz w:val="20"/>
        </w:rPr>
        <w:t xml:space="preserve"> for the relevant Securities), to each Holder of Securities to be redeemed, at such Holder’s address appearing in the Security Register.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established in or pursuant to a Board Resolution or an Officer’s Certificate or in another manner specified as contemplated by </w:t>
      </w:r>
      <w:r>
        <w:rPr>
          <w:rFonts w:ascii="Times New Roman" w:hAnsi="Times New Roman"/>
          <w:sz w:val="20"/>
          <w:u w:val="single"/>
        </w:rPr>
        <w:t>Section 3.01</w:t>
      </w:r>
      <w:r>
        <w:rPr>
          <w:rFonts w:ascii="Times New Roman" w:hAnsi="Times New Roman"/>
          <w:sz w:val="20"/>
        </w:rPr>
        <w:t xml:space="preserve"> for such Securities, all notices of redemption shall identify the Securities to be redeemed (including CUSIP numbers, if any) and shall state: </w:t>
      </w:r>
    </w:p>
    <w:p>
      <w:pPr>
        <w:pStyle w:val="TextBody"/>
        <w:bidi w:val="0"/>
        <w:spacing w:before="120" w:after="0"/>
        <w:jc w:val="left"/>
        <w:rPr>
          <w:rFonts w:ascii="Times New Roman" w:hAnsi="Times New Roman"/>
          <w:sz w:val="20"/>
        </w:rPr>
      </w:pPr>
      <w:r>
        <w:rPr>
          <w:rFonts w:ascii="Times New Roman" w:hAnsi="Times New Roman"/>
          <w:sz w:val="20"/>
        </w:rPr>
        <w:t xml:space="preserve">(a)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(b) the Redemption Price (or the method of calculating such price); </w:t>
      </w:r>
    </w:p>
    <w:p>
      <w:pPr>
        <w:pStyle w:val="TextBody"/>
        <w:bidi w:val="0"/>
        <w:spacing w:before="240" w:after="0"/>
        <w:jc w:val="left"/>
        <w:rPr>
          <w:rFonts w:ascii="Times New Roman" w:hAnsi="Times New Roman"/>
          <w:sz w:val="20"/>
        </w:rPr>
      </w:pPr>
      <w:r>
        <w:rPr>
          <w:rFonts w:ascii="Times New Roman" w:hAnsi="Times New Roman"/>
          <w:sz w:val="20"/>
        </w:rPr>
        <w:t xml:space="preserve">(c) 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(d) that on the Redemption Date, the Redemption Price will become due and payable upon each such Security to be redeemed and, if applicable, that interest thereon will cease to accrue on and after said date; </w:t>
      </w:r>
    </w:p>
    <w:p>
      <w:pPr>
        <w:pStyle w:val="TextBody"/>
        <w:bidi w:val="0"/>
        <w:spacing w:before="240" w:after="0"/>
        <w:jc w:val="left"/>
        <w:rPr>
          <w:rFonts w:ascii="Times New Roman" w:hAnsi="Times New Roman"/>
          <w:sz w:val="20"/>
        </w:rPr>
      </w:pPr>
      <w:r>
        <w:rPr>
          <w:rFonts w:ascii="Times New Roman" w:hAnsi="Times New Roman"/>
          <w:sz w:val="20"/>
        </w:rPr>
        <w:t xml:space="preserve">(e) the place or places where each such Security is to be surrendered for payment of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(f) that the redemption is for a sinking fund, if such is the case; </w:t>
      </w:r>
    </w:p>
    <w:p>
      <w:pPr>
        <w:pStyle w:val="TextBody"/>
        <w:bidi w:val="0"/>
        <w:spacing w:before="240" w:after="0"/>
        <w:jc w:val="left"/>
        <w:rPr>
          <w:rFonts w:ascii="Times New Roman" w:hAnsi="Times New Roman"/>
          <w:sz w:val="20"/>
        </w:rPr>
      </w:pPr>
      <w:r>
        <w:rPr>
          <w:rFonts w:ascii="Times New Roman" w:hAnsi="Times New Roman"/>
          <w:sz w:val="20"/>
        </w:rPr>
        <w:t xml:space="preserve">(g) for any Securities that by their terms may be converted, the terms of conversion, the date on which the right to convert the Security to be redeemed will terminate and the place or places where such Securities may be surrendered for conversion; and </w:t>
      </w:r>
    </w:p>
    <w:p>
      <w:pPr>
        <w:pStyle w:val="TextBody"/>
        <w:bidi w:val="0"/>
        <w:spacing w:before="240" w:after="0"/>
        <w:jc w:val="left"/>
        <w:rPr>
          <w:rFonts w:ascii="Times New Roman" w:hAnsi="Times New Roman"/>
          <w:sz w:val="20"/>
        </w:rPr>
      </w:pPr>
      <w:r>
        <w:rPr>
          <w:rFonts w:ascii="Times New Roman" w:hAnsi="Times New Roman"/>
          <w:sz w:val="20"/>
        </w:rPr>
        <w:t xml:space="preserve">(h) any conditions precedent described in the second paragraph below. </w:t>
      </w:r>
    </w:p>
    <w:p>
      <w:pPr>
        <w:pStyle w:val="TextBody"/>
        <w:bidi w:val="0"/>
        <w:spacing w:before="240" w:after="0"/>
        <w:jc w:val="left"/>
        <w:rPr>
          <w:rFonts w:ascii="Times New Roman" w:hAnsi="Times New Roman"/>
          <w:sz w:val="20"/>
        </w:rPr>
      </w:pPr>
      <w:r>
        <w:rPr>
          <w:rFonts w:ascii="Times New Roman" w:hAnsi="Times New Roman"/>
          <w:sz w:val="20"/>
        </w:rPr>
        <w:t xml:space="preserve">Notice of redemption of Securities to be redeemed at the election of the Company shall be given by the Company or, at the Company’s request (which may be rescinded or revoked at any time prior to the time at which the Trustee shall have given such notice to the Holders), by the Trustee in the name and at the expense of the Company. The notice, if sent in the manner herein provided, shall be conclusively presumed to have been given, whether or not the Holder receives such notice. In any case, failure to give such notice by mail or otherwise in accordance with the Applicable Procedures or any defect in the notice to the Holder of any Security designated for redemption as a whole or in part shall not affect the validity of the proceedings for the redemption of any other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redemption or notice may, at the Company’s discretion, be subject to one or more conditions precedent and, at the Company’s discretion, the Redemption Date may be delayed until such time as any or all such conditions precedent included at the Company’s discretion shall be satisfied (or waived by the Company) or the Redemption Date may not occur and such notice may be rescinded if all such conditions precedent included at the Company’s discretion shall not have been satisfied (or waived by the Company). In addition, such notice may provide that payment of the Redemption Price and performance of the Company’s obligations with respect to such redemption may be performed by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11.05 </w:t>
      </w:r>
      <w:r>
        <w:rPr>
          <w:rFonts w:ascii="Times New Roman" w:hAnsi="Times New Roman"/>
          <w:sz w:val="20"/>
          <w:u w:val="single"/>
        </w:rPr>
        <w:t>Deposit of Redemption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established in or pursuant to a Board Resolution or an Officer’s Certificate or in another manner specified as contemplated by </w:t>
      </w:r>
      <w:r>
        <w:rPr>
          <w:rFonts w:ascii="Times New Roman" w:hAnsi="Times New Roman"/>
          <w:sz w:val="20"/>
          <w:u w:val="single"/>
        </w:rPr>
        <w:t>Section 3.01</w:t>
      </w:r>
      <w:r>
        <w:rPr>
          <w:rFonts w:ascii="Times New Roman" w:hAnsi="Times New Roman"/>
          <w:sz w:val="20"/>
        </w:rPr>
        <w:t xml:space="preserve"> for such Securities, on or prior to Noon, New York City time, on any Redemption Date, the Company shall deposit with the Trustee or with a Paying Agent (or, if the Company is acting as its own Paying Agent, segregate and hold in trust as provided in </w:t>
      </w:r>
      <w:r>
        <w:rPr>
          <w:rFonts w:ascii="Times New Roman" w:hAnsi="Times New Roman"/>
          <w:sz w:val="20"/>
          <w:u w:val="single"/>
        </w:rPr>
        <w:t>Section 10.03</w:t>
      </w:r>
      <w:r>
        <w:rPr>
          <w:rFonts w:ascii="Times New Roman" w:hAnsi="Times New Roman"/>
          <w:sz w:val="20"/>
        </w:rPr>
        <w:t xml:space="preserve">) an amount of money sufficient to pay the Redemption Price of, and (except if the Redemption Date shall be an Interest Payment Date or the Securities of the series provide otherwise) accrued interest on, all the Securities that are to be redeemed on that date, other than Securities or portions of Securities called for redemption that are owned by the Company or a Subsidiary and have been delivered by the Company or such Subsidiary to the Trustee for cancellation. All money, if any, earned on funds held by the Paying Agent shall be remitted to the Company. In addition, the Paying Agent shall promptly return to the Company any money deposited with the Paying Agent by the Company in excess of the amounts necessary to pay the Redemption Price of, and accrued interest, if any, on, all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If any Security called for redemption is converted into shares of common stock or other securities of the Company in compliance with the terms of such Security, any money deposited with the Trustee or with any Paying Agent or so segregated and held in trust for the redemption of such Security shall (subject to any right of the Holder of such Security or any Predecessor Security to receive interest as provided in the last paragraph of </w:t>
      </w:r>
      <w:r>
        <w:rPr>
          <w:rFonts w:ascii="Times New Roman" w:hAnsi="Times New Roman"/>
          <w:sz w:val="20"/>
          <w:u w:val="single"/>
        </w:rPr>
        <w:t>Section 3.07</w:t>
      </w:r>
      <w:r>
        <w:rPr>
          <w:rFonts w:ascii="Times New Roman" w:hAnsi="Times New Roman"/>
          <w:sz w:val="20"/>
        </w:rPr>
        <w:t xml:space="preserve"> or in the terms of such Security) be paid to the Company upon Company Request or, if then held by the Company, shall be discharged from such trust. </w:t>
      </w:r>
    </w:p>
    <w:p>
      <w:pPr>
        <w:pStyle w:val="TextBody"/>
        <w:bidi w:val="0"/>
        <w:spacing w:before="240" w:after="0"/>
        <w:jc w:val="left"/>
        <w:rPr>
          <w:rFonts w:ascii="Times New Roman" w:hAnsi="Times New Roman"/>
          <w:sz w:val="20"/>
        </w:rPr>
      </w:pPr>
      <w:r>
        <w:rPr>
          <w:rFonts w:ascii="Times New Roman" w:hAnsi="Times New Roman"/>
          <w:sz w:val="20"/>
        </w:rPr>
        <w:t xml:space="preserve">Section 11.06 </w:t>
      </w:r>
      <w:r>
        <w:rPr>
          <w:rFonts w:ascii="Times New Roman" w:hAnsi="Times New Roman"/>
          <w:sz w:val="20"/>
          <w:u w:val="single"/>
        </w:rPr>
        <w:t>Securities Payable on Redemption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if applicable, with accrued interest to the Redemption Date; provided, however, that, unless otherwise specified as contemplated by </w:t>
      </w:r>
      <w:r>
        <w:rPr>
          <w:rFonts w:ascii="Times New Roman" w:hAnsi="Times New Roman"/>
          <w:sz w:val="20"/>
          <w:u w:val="single"/>
        </w:rPr>
        <w:t>Section 3.01</w:t>
      </w:r>
      <w:r>
        <w:rPr>
          <w:rFonts w:ascii="Times New Roman" w:hAnsi="Times New Roman"/>
          <w:sz w:val="20"/>
        </w:rPr>
        <w:t xml:space="preserve">,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w:t>
      </w:r>
      <w:r>
        <w:rPr>
          <w:rFonts w:ascii="Times New Roman" w:hAnsi="Times New Roman"/>
          <w:sz w:val="20"/>
          <w:u w:val="single"/>
        </w:rPr>
        <w:t>Section 3.07</w:t>
      </w:r>
      <w:r>
        <w:rPr>
          <w:rFonts w:ascii="Times New Roman" w:hAnsi="Times New Roman"/>
          <w:sz w:val="20"/>
        </w:rPr>
        <w:t xml:space="preserve">; provided further that, unless otherwise specified as contemplated by </w:t>
      </w:r>
      <w:r>
        <w:rPr>
          <w:rFonts w:ascii="Times New Roman" w:hAnsi="Times New Roman"/>
          <w:sz w:val="20"/>
          <w:u w:val="single"/>
        </w:rPr>
        <w:t>Section 3.01</w:t>
      </w:r>
      <w:r>
        <w:rPr>
          <w:rFonts w:ascii="Times New Roman" w:hAnsi="Times New Roman"/>
          <w:sz w:val="20"/>
        </w:rPr>
        <w:t xml:space="preserve">, if the Redemption Date is after a Regular Record Date and on or prior to the Interest Payment Date, the accrued and unpaid interest shall be payable to the Holder of the redeemed Securities registered on the relevant Regular Record Date. </w:t>
      </w:r>
    </w:p>
    <w:p>
      <w:pPr>
        <w:pStyle w:val="TextBody"/>
        <w:bidi w:val="0"/>
        <w:spacing w:before="240" w:after="0"/>
        <w:jc w:val="left"/>
        <w:rPr>
          <w:rFonts w:ascii="Times New Roman" w:hAnsi="Times New Roman"/>
          <w:sz w:val="20"/>
        </w:rPr>
      </w:pPr>
      <w:r>
        <w:rPr>
          <w:rFonts w:ascii="Times New Roman" w:hAnsi="Times New Roman"/>
          <w:sz w:val="20"/>
        </w:rPr>
        <w:t xml:space="preserve">If any Security called for redemption shall not be so paid upon surrender thereof for redemption, the principal and any premium shall, until paid, bear interest from the Redemption Date at the rate prescribed therefor in the Security. </w:t>
      </w:r>
    </w:p>
    <w:p>
      <w:pPr>
        <w:pStyle w:val="TextBody"/>
        <w:bidi w:val="0"/>
        <w:spacing w:before="240" w:after="0"/>
        <w:jc w:val="left"/>
        <w:rPr>
          <w:rFonts w:ascii="Times New Roman" w:hAnsi="Times New Roman"/>
          <w:sz w:val="20"/>
        </w:rPr>
      </w:pPr>
      <w:r>
        <w:rPr>
          <w:rFonts w:ascii="Times New Roman" w:hAnsi="Times New Roman"/>
          <w:sz w:val="20"/>
        </w:rPr>
        <w:t xml:space="preserve">Section 11.07 </w:t>
      </w:r>
      <w:r>
        <w:rPr>
          <w:rFonts w:ascii="Times New Roman" w:hAnsi="Times New Roman"/>
          <w:sz w:val="20"/>
          <w:u w:val="single"/>
        </w:rPr>
        <w:t>Securities Redeemed in Part.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Security that is to be redeemed only in part shall be surrendered at a Place of Payment therefor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XII. SINKING FUNDS </w:t>
      </w:r>
    </w:p>
    <w:p>
      <w:pPr>
        <w:pStyle w:val="TextBody"/>
        <w:bidi w:val="0"/>
        <w:spacing w:before="240" w:after="0"/>
        <w:jc w:val="left"/>
        <w:rPr>
          <w:rFonts w:ascii="Times New Roman" w:hAnsi="Times New Roman"/>
          <w:sz w:val="20"/>
        </w:rPr>
      </w:pPr>
      <w:r>
        <w:rPr>
          <w:rFonts w:ascii="Times New Roman" w:hAnsi="Times New Roman"/>
          <w:sz w:val="20"/>
        </w:rPr>
        <w:t xml:space="preserve">Section 12.01 </w:t>
      </w:r>
      <w:r>
        <w:rPr>
          <w:rFonts w:ascii="Times New Roman" w:hAnsi="Times New Roman"/>
          <w:sz w:val="20"/>
          <w:u w:val="single"/>
        </w:rPr>
        <w:t>Applicability of Article.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Article shall be applicable to any sinking fund for the retirement of Securities of any series except as otherwise specified as contemplated by </w:t>
      </w:r>
      <w:r>
        <w:rPr>
          <w:rFonts w:ascii="Times New Roman" w:hAnsi="Times New Roman"/>
          <w:sz w:val="20"/>
          <w:u w:val="single"/>
        </w:rPr>
        <w:t>Section 3.01</w:t>
      </w:r>
      <w:r>
        <w:rPr>
          <w:rFonts w:ascii="Times New Roman" w:hAnsi="Times New Roman"/>
          <w:sz w:val="20"/>
        </w:rPr>
        <w:t xml:space="preserve"> for such Securities. </w:t>
      </w:r>
    </w:p>
    <w:p>
      <w:pPr>
        <w:pStyle w:val="TextBody"/>
        <w:bidi w:val="0"/>
        <w:spacing w:before="240" w:after="0"/>
        <w:jc w:val="left"/>
        <w:rPr>
          <w:rFonts w:ascii="Times New Roman" w:hAnsi="Times New Roman"/>
          <w:sz w:val="20"/>
        </w:rPr>
      </w:pPr>
      <w:r>
        <w:rPr>
          <w:rFonts w:ascii="Times New Roman" w:hAnsi="Times New Roman"/>
          <w:sz w:val="20"/>
        </w:rPr>
        <w:t>The minimum amount of any sinking fund payment provided for by the terms of any series of Securities is herein referred to as a “</w:t>
      </w:r>
      <w:r>
        <w:rPr>
          <w:rFonts w:ascii="Times New Roman" w:hAnsi="Times New Roman"/>
          <w:b/>
          <w:sz w:val="20"/>
        </w:rPr>
        <w:t>mandatory sinking fund payment</w:t>
      </w:r>
      <w:r>
        <w:rPr>
          <w:rFonts w:ascii="Times New Roman" w:hAnsi="Times New Roman"/>
          <w:sz w:val="20"/>
        </w:rPr>
        <w:t>”, and any payment in excess of such minimum amount provided for by the terms of such Securities is herein referred to as an “</w:t>
      </w:r>
      <w:r>
        <w:rPr>
          <w:rFonts w:ascii="Times New Roman" w:hAnsi="Times New Roman"/>
          <w:b/>
          <w:sz w:val="20"/>
        </w:rPr>
        <w:t>optional sinking fund payment</w:t>
      </w:r>
      <w:r>
        <w:rPr>
          <w:rFonts w:ascii="Times New Roman" w:hAnsi="Times New Roman"/>
          <w:sz w:val="20"/>
        </w:rPr>
        <w:t xml:space="preserve">”. If provided for by the terms of any series of Securities, the cash amount of any sinking fund payment may be subject to reduction as provided in </w:t>
      </w:r>
      <w:r>
        <w:rPr>
          <w:rFonts w:ascii="Times New Roman" w:hAnsi="Times New Roman"/>
          <w:sz w:val="20"/>
          <w:u w:val="single"/>
        </w:rPr>
        <w:t>Section 12.02</w:t>
      </w:r>
      <w:r>
        <w:rPr>
          <w:rFonts w:ascii="Times New Roman" w:hAnsi="Times New Roman"/>
          <w:sz w:val="20"/>
        </w:rPr>
        <w:t xml:space="preserve">. Each sinking fund payment shall be applied to the redemption of Securities of the series as provided for by the terms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12.02 </w:t>
      </w:r>
      <w:r>
        <w:rPr>
          <w:rFonts w:ascii="Times New Roman" w:hAnsi="Times New Roman"/>
          <w:sz w:val="20"/>
          <w:u w:val="single"/>
        </w:rPr>
        <w:t>Satisfaction of Sinking Fund Payments with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(a) may deliver Outstanding Securities of a series (other than any previously called for redemption) and (b)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provided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 </w:t>
      </w:r>
    </w:p>
    <w:p>
      <w:pPr>
        <w:pStyle w:val="TextBody"/>
        <w:bidi w:val="0"/>
        <w:spacing w:before="240" w:after="0"/>
        <w:jc w:val="left"/>
        <w:rPr>
          <w:rFonts w:ascii="Times New Roman" w:hAnsi="Times New Roman"/>
          <w:sz w:val="20"/>
        </w:rPr>
      </w:pPr>
      <w:r>
        <w:rPr>
          <w:rFonts w:ascii="Times New Roman" w:hAnsi="Times New Roman"/>
          <w:sz w:val="20"/>
        </w:rPr>
        <w:t xml:space="preserve">Section 12.03. </w:t>
      </w:r>
      <w:r>
        <w:rPr>
          <w:rFonts w:ascii="Times New Roman" w:hAnsi="Times New Roman"/>
          <w:sz w:val="20"/>
          <w:u w:val="single"/>
        </w:rPr>
        <w:t>Redemption of Securities for Sinking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 less than 45 days (or shorter period as shall be satisfactory to the Trustee)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w:t>
      </w:r>
      <w:r>
        <w:rPr>
          <w:rFonts w:ascii="Times New Roman" w:hAnsi="Times New Roman"/>
          <w:sz w:val="20"/>
          <w:u w:val="single"/>
        </w:rPr>
        <w:t>Section 12.02</w:t>
      </w:r>
      <w:r>
        <w:rPr>
          <w:rFonts w:ascii="Times New Roman" w:hAnsi="Times New Roman"/>
          <w:sz w:val="20"/>
        </w:rPr>
        <w:t xml:space="preserve"> and will also deliver to the Trustee any Securities to be so delivered. Not less than 30 days prior to each such sinking fund payment date, the Trustee shall select the Securities to be redeemed upon such sinking fund payment date in the manner specified in </w:t>
      </w:r>
      <w:r>
        <w:rPr>
          <w:rFonts w:ascii="Times New Roman" w:hAnsi="Times New Roman"/>
          <w:sz w:val="20"/>
          <w:u w:val="single"/>
        </w:rPr>
        <w:t>Section 11.03</w:t>
      </w:r>
      <w:r>
        <w:rPr>
          <w:rFonts w:ascii="Times New Roman" w:hAnsi="Times New Roman"/>
          <w:sz w:val="20"/>
        </w:rPr>
        <w:t xml:space="preserve"> and cause notice of the redemption thereof to be given in the name of and at the expense of the Company in the manner provided in </w:t>
      </w:r>
      <w:r>
        <w:rPr>
          <w:rFonts w:ascii="Times New Roman" w:hAnsi="Times New Roman"/>
          <w:sz w:val="20"/>
          <w:u w:val="single"/>
        </w:rPr>
        <w:t>Section 11.04</w:t>
      </w:r>
      <w:r>
        <w:rPr>
          <w:rFonts w:ascii="Times New Roman" w:hAnsi="Times New Roman"/>
          <w:sz w:val="20"/>
        </w:rPr>
        <w:t xml:space="preserve">. Such notice having been duly given, the redemption of such Securities shall be made upon the terms and in the manner stated in </w:t>
      </w:r>
      <w:r>
        <w:rPr>
          <w:rFonts w:ascii="Times New Roman" w:hAnsi="Times New Roman"/>
          <w:sz w:val="20"/>
          <w:u w:val="single"/>
        </w:rPr>
        <w:t>Sections 11.06</w:t>
      </w:r>
      <w:r>
        <w:rPr>
          <w:rFonts w:ascii="Times New Roman" w:hAnsi="Times New Roman"/>
          <w:sz w:val="20"/>
        </w:rPr>
        <w:t xml:space="preserve"> and </w:t>
      </w:r>
      <w:r>
        <w:rPr>
          <w:rFonts w:ascii="Times New Roman" w:hAnsi="Times New Roman"/>
          <w:sz w:val="20"/>
          <w:u w:val="single"/>
        </w:rPr>
        <w:t>11.07</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XIII. DEFEASANCE AND COVENANT DEFEASANCE </w:t>
      </w:r>
    </w:p>
    <w:p>
      <w:pPr>
        <w:pStyle w:val="TextBody"/>
        <w:bidi w:val="0"/>
        <w:spacing w:before="240" w:after="0"/>
        <w:jc w:val="left"/>
        <w:rPr>
          <w:rFonts w:ascii="Times New Roman" w:hAnsi="Times New Roman"/>
          <w:sz w:val="20"/>
        </w:rPr>
      </w:pPr>
      <w:r>
        <w:rPr>
          <w:rFonts w:ascii="Times New Roman" w:hAnsi="Times New Roman"/>
          <w:sz w:val="20"/>
        </w:rPr>
        <w:t xml:space="preserve">Section 13.01 </w:t>
      </w:r>
      <w:r>
        <w:rPr>
          <w:rFonts w:ascii="Times New Roman" w:hAnsi="Times New Roman"/>
          <w:sz w:val="20"/>
          <w:u w:val="single"/>
        </w:rPr>
        <w:t>Company’s Option to Effect Defeasance or Covenant Defeasance.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elect, at its option at any time, to have </w:t>
      </w:r>
      <w:r>
        <w:rPr>
          <w:rFonts w:ascii="Times New Roman" w:hAnsi="Times New Roman"/>
          <w:sz w:val="20"/>
          <w:u w:val="single"/>
        </w:rPr>
        <w:t>Section 13.02</w:t>
      </w:r>
      <w:r>
        <w:rPr>
          <w:rFonts w:ascii="Times New Roman" w:hAnsi="Times New Roman"/>
          <w:sz w:val="20"/>
        </w:rPr>
        <w:t xml:space="preserve"> or </w:t>
      </w:r>
      <w:r>
        <w:rPr>
          <w:rFonts w:ascii="Times New Roman" w:hAnsi="Times New Roman"/>
          <w:sz w:val="20"/>
          <w:u w:val="single"/>
        </w:rPr>
        <w:t>Section 13.03</w:t>
      </w:r>
      <w:r>
        <w:rPr>
          <w:rFonts w:ascii="Times New Roman" w:hAnsi="Times New Roman"/>
          <w:sz w:val="20"/>
        </w:rPr>
        <w:t xml:space="preserve"> apply to any Securities or any series of Securities, as the case may be, designated pursuant to </w:t>
      </w:r>
      <w:r>
        <w:rPr>
          <w:rFonts w:ascii="Times New Roman" w:hAnsi="Times New Roman"/>
          <w:sz w:val="20"/>
          <w:u w:val="single"/>
        </w:rPr>
        <w:t>Section 3.01</w:t>
      </w:r>
      <w:r>
        <w:rPr>
          <w:rFonts w:ascii="Times New Roman" w:hAnsi="Times New Roman"/>
          <w:sz w:val="20"/>
        </w:rPr>
        <w:t xml:space="preserve"> as being defeasible pursuant to such </w:t>
      </w:r>
      <w:r>
        <w:rPr>
          <w:rFonts w:ascii="Times New Roman" w:hAnsi="Times New Roman"/>
          <w:sz w:val="20"/>
          <w:u w:val="single"/>
        </w:rPr>
        <w:t>Section 13.02</w:t>
      </w:r>
      <w:r>
        <w:rPr>
          <w:rFonts w:ascii="Times New Roman" w:hAnsi="Times New Roman"/>
          <w:sz w:val="20"/>
        </w:rPr>
        <w:t xml:space="preserve"> or </w:t>
      </w:r>
      <w:r>
        <w:rPr>
          <w:rFonts w:ascii="Times New Roman" w:hAnsi="Times New Roman"/>
          <w:sz w:val="20"/>
          <w:u w:val="single"/>
        </w:rPr>
        <w:t>13.03</w:t>
      </w:r>
      <w:r>
        <w:rPr>
          <w:rFonts w:ascii="Times New Roman" w:hAnsi="Times New Roman"/>
          <w:sz w:val="20"/>
        </w:rPr>
        <w:t xml:space="preserve">, in accordance with any applicable requirements provided pursuant to </w:t>
      </w:r>
      <w:r>
        <w:rPr>
          <w:rFonts w:ascii="Times New Roman" w:hAnsi="Times New Roman"/>
          <w:sz w:val="20"/>
          <w:u w:val="single"/>
        </w:rPr>
        <w:t>Section 3.01</w:t>
      </w:r>
      <w:r>
        <w:rPr>
          <w:rFonts w:ascii="Times New Roman" w:hAnsi="Times New Roman"/>
          <w:sz w:val="20"/>
        </w:rPr>
        <w:t xml:space="preserve"> and upon compliance with the conditions set forth below in this Article. Any such election shall be evidenced by a Board Resolution, Officer’s Certificate or in another manner specified as contemplated by </w:t>
      </w:r>
      <w:r>
        <w:rPr>
          <w:rFonts w:ascii="Times New Roman" w:hAnsi="Times New Roman"/>
          <w:sz w:val="20"/>
          <w:u w:val="single"/>
        </w:rPr>
        <w:t>Section 3.01</w:t>
      </w:r>
      <w:r>
        <w:rPr>
          <w:rFonts w:ascii="Times New Roman" w:hAnsi="Times New Roman"/>
          <w:sz w:val="20"/>
        </w:rPr>
        <w:t xml:space="preserve"> for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13.02 </w:t>
      </w:r>
      <w:r>
        <w:rPr>
          <w:rFonts w:ascii="Times New Roman" w:hAnsi="Times New Roman"/>
          <w:sz w:val="20"/>
          <w:u w:val="single"/>
        </w:rPr>
        <w:t>Defeasance and Discharge.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Company’s exercise of its option (if any) to have this Section apply to any Securities or any series of Securities, as the case may be, the Company shall be deemed to have been discharged from its obligations with respect to such Securities as provided in this Section on and after the date the conditions set forth in </w:t>
      </w:r>
      <w:r>
        <w:rPr>
          <w:rFonts w:ascii="Times New Roman" w:hAnsi="Times New Roman"/>
          <w:sz w:val="20"/>
          <w:u w:val="single"/>
        </w:rPr>
        <w:t>Section 13.04</w:t>
      </w:r>
      <w:r>
        <w:rPr>
          <w:rFonts w:ascii="Times New Roman" w:hAnsi="Times New Roman"/>
          <w:sz w:val="20"/>
        </w:rPr>
        <w:t xml:space="preserve"> are satisfied (hereinafter called “</w:t>
      </w:r>
      <w:r>
        <w:rPr>
          <w:rFonts w:ascii="Times New Roman" w:hAnsi="Times New Roman"/>
          <w:b/>
          <w:sz w:val="20"/>
        </w:rPr>
        <w:t>Defeasance</w:t>
      </w:r>
      <w:r>
        <w:rPr>
          <w:rFonts w:ascii="Times New Roman" w:hAnsi="Times New Roman"/>
          <w:sz w:val="20"/>
        </w:rPr>
        <w:t xml:space="preserv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 (a) the rights of Holders of such Securities to receive, solely from the trust fund described in </w:t>
      </w:r>
      <w:r>
        <w:rPr>
          <w:rFonts w:ascii="Times New Roman" w:hAnsi="Times New Roman"/>
          <w:sz w:val="20"/>
          <w:u w:val="single"/>
        </w:rPr>
        <w:t>Section 13.04</w:t>
      </w:r>
      <w:r>
        <w:rPr>
          <w:rFonts w:ascii="Times New Roman" w:hAnsi="Times New Roman"/>
          <w:sz w:val="20"/>
        </w:rPr>
        <w:t xml:space="preserve"> and as more fully set forth in </w:t>
      </w:r>
      <w:r>
        <w:rPr>
          <w:rFonts w:ascii="Times New Roman" w:hAnsi="Times New Roman"/>
          <w:sz w:val="20"/>
          <w:u w:val="single"/>
        </w:rPr>
        <w:t>Section 13.05</w:t>
      </w:r>
      <w:r>
        <w:rPr>
          <w:rFonts w:ascii="Times New Roman" w:hAnsi="Times New Roman"/>
          <w:sz w:val="20"/>
        </w:rPr>
        <w:t xml:space="preserve">, payments in respect of the principal of and any premium and interest on such Securities when payments are due, (b) the Company’s obligations with respect to such Securities under </w:t>
      </w:r>
      <w:r>
        <w:rPr>
          <w:rFonts w:ascii="Times New Roman" w:hAnsi="Times New Roman"/>
          <w:sz w:val="20"/>
          <w:u w:val="single"/>
        </w:rPr>
        <w:t>Sections 3.04</w:t>
      </w:r>
      <w:r>
        <w:rPr>
          <w:rFonts w:ascii="Times New Roman" w:hAnsi="Times New Roman"/>
          <w:sz w:val="20"/>
        </w:rPr>
        <w:t xml:space="preserve">, </w:t>
      </w:r>
      <w:r>
        <w:rPr>
          <w:rFonts w:ascii="Times New Roman" w:hAnsi="Times New Roman"/>
          <w:sz w:val="20"/>
          <w:u w:val="single"/>
        </w:rPr>
        <w:t>3.05</w:t>
      </w:r>
      <w:r>
        <w:rPr>
          <w:rFonts w:ascii="Times New Roman" w:hAnsi="Times New Roman"/>
          <w:sz w:val="20"/>
        </w:rPr>
        <w:t xml:space="preserve">, </w:t>
      </w:r>
      <w:r>
        <w:rPr>
          <w:rFonts w:ascii="Times New Roman" w:hAnsi="Times New Roman"/>
          <w:sz w:val="20"/>
          <w:u w:val="single"/>
        </w:rPr>
        <w:t>3.06</w:t>
      </w:r>
      <w:r>
        <w:rPr>
          <w:rFonts w:ascii="Times New Roman" w:hAnsi="Times New Roman"/>
          <w:sz w:val="20"/>
        </w:rPr>
        <w:t xml:space="preserve">, </w:t>
      </w:r>
      <w:r>
        <w:rPr>
          <w:rFonts w:ascii="Times New Roman" w:hAnsi="Times New Roman"/>
          <w:sz w:val="20"/>
          <w:u w:val="single"/>
        </w:rPr>
        <w:t>10.02</w:t>
      </w:r>
      <w:r>
        <w:rPr>
          <w:rFonts w:ascii="Times New Roman" w:hAnsi="Times New Roman"/>
          <w:sz w:val="20"/>
        </w:rPr>
        <w:t xml:space="preserve"> and </w:t>
      </w:r>
      <w:r>
        <w:rPr>
          <w:rFonts w:ascii="Times New Roman" w:hAnsi="Times New Roman"/>
          <w:sz w:val="20"/>
          <w:u w:val="single"/>
        </w:rPr>
        <w:t>10.03</w:t>
      </w:r>
      <w:r>
        <w:rPr>
          <w:rFonts w:ascii="Times New Roman" w:hAnsi="Times New Roman"/>
          <w:sz w:val="20"/>
        </w:rPr>
        <w:t xml:space="preserve">, (c) the rights, powers, trusts, duties and immunities of the Trustee hereunder and (d) this Article. Subject to compliance with this Article, the Company may exercise its option (if any) to have this Section applied to any Securities notwithstanding the prior exercise of its option (if any) to have </w:t>
      </w:r>
      <w:r>
        <w:rPr>
          <w:rFonts w:ascii="Times New Roman" w:hAnsi="Times New Roman"/>
          <w:sz w:val="20"/>
          <w:u w:val="single"/>
        </w:rPr>
        <w:t>Section 13.03</w:t>
      </w:r>
      <w:r>
        <w:rPr>
          <w:rFonts w:ascii="Times New Roman" w:hAnsi="Times New Roman"/>
          <w:sz w:val="20"/>
        </w:rPr>
        <w:t xml:space="preserve"> applied to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13.03 </w:t>
      </w:r>
      <w:r>
        <w:rPr>
          <w:rFonts w:ascii="Times New Roman" w:hAnsi="Times New Roman"/>
          <w:sz w:val="20"/>
          <w:u w:val="single"/>
        </w:rPr>
        <w:t>Covenant Defeasance.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Company’s exercise of its option (if any) to have this Section applied to any Securities or any series of Securities, as the case may be, (a) the Company shall be released from its obligations under </w:t>
      </w:r>
      <w:r>
        <w:rPr>
          <w:rFonts w:ascii="Times New Roman" w:hAnsi="Times New Roman"/>
          <w:sz w:val="20"/>
          <w:u w:val="single"/>
        </w:rPr>
        <w:t>Sections 7.04</w:t>
      </w:r>
      <w:r>
        <w:rPr>
          <w:rFonts w:ascii="Times New Roman" w:hAnsi="Times New Roman"/>
          <w:sz w:val="20"/>
        </w:rPr>
        <w:t xml:space="preserve">, </w:t>
      </w:r>
      <w:r>
        <w:rPr>
          <w:rFonts w:ascii="Times New Roman" w:hAnsi="Times New Roman"/>
          <w:sz w:val="20"/>
          <w:u w:val="single"/>
        </w:rPr>
        <w:t>8.01</w:t>
      </w:r>
      <w:r>
        <w:rPr>
          <w:rFonts w:ascii="Times New Roman" w:hAnsi="Times New Roman"/>
          <w:sz w:val="20"/>
        </w:rPr>
        <w:t xml:space="preserve">, </w:t>
      </w:r>
      <w:r>
        <w:rPr>
          <w:rFonts w:ascii="Times New Roman" w:hAnsi="Times New Roman"/>
          <w:sz w:val="20"/>
          <w:u w:val="single"/>
        </w:rPr>
        <w:t>10.04</w:t>
      </w:r>
      <w:r>
        <w:rPr>
          <w:rFonts w:ascii="Times New Roman" w:hAnsi="Times New Roman"/>
          <w:sz w:val="20"/>
        </w:rPr>
        <w:t xml:space="preserve">, </w:t>
      </w:r>
      <w:r>
        <w:rPr>
          <w:rFonts w:ascii="Times New Roman" w:hAnsi="Times New Roman"/>
          <w:sz w:val="20"/>
          <w:u w:val="single"/>
        </w:rPr>
        <w:t>10.05</w:t>
      </w:r>
      <w:r>
        <w:rPr>
          <w:rFonts w:ascii="Times New Roman" w:hAnsi="Times New Roman"/>
          <w:sz w:val="20"/>
        </w:rPr>
        <w:t xml:space="preserve"> and any covenants provided pursuant to </w:t>
      </w:r>
      <w:r>
        <w:rPr>
          <w:rFonts w:ascii="Times New Roman" w:hAnsi="Times New Roman"/>
          <w:sz w:val="20"/>
          <w:u w:val="single"/>
        </w:rPr>
        <w:t>Section 3.01(u)</w:t>
      </w:r>
      <w:r>
        <w:rPr>
          <w:rFonts w:ascii="Times New Roman" w:hAnsi="Times New Roman"/>
          <w:sz w:val="20"/>
        </w:rPr>
        <w:t xml:space="preserve">, </w:t>
      </w:r>
      <w:r>
        <w:rPr>
          <w:rFonts w:ascii="Times New Roman" w:hAnsi="Times New Roman"/>
          <w:sz w:val="20"/>
          <w:u w:val="single"/>
        </w:rPr>
        <w:t>9.01(b)</w:t>
      </w:r>
      <w:r>
        <w:rPr>
          <w:rFonts w:ascii="Times New Roman" w:hAnsi="Times New Roman"/>
          <w:sz w:val="20"/>
        </w:rPr>
        <w:t xml:space="preserve"> or </w:t>
      </w:r>
      <w:r>
        <w:rPr>
          <w:rFonts w:ascii="Times New Roman" w:hAnsi="Times New Roman"/>
          <w:sz w:val="20"/>
          <w:u w:val="single"/>
        </w:rPr>
        <w:t>9.01(g)</w:t>
      </w:r>
      <w:r>
        <w:rPr>
          <w:rFonts w:ascii="Times New Roman" w:hAnsi="Times New Roman"/>
          <w:sz w:val="20"/>
        </w:rPr>
        <w:t xml:space="preserve"> for the benefit of the Holders of such Securities and (b) the occurrence of any event specified in </w:t>
      </w:r>
      <w:r>
        <w:rPr>
          <w:rFonts w:ascii="Times New Roman" w:hAnsi="Times New Roman"/>
          <w:sz w:val="20"/>
          <w:u w:val="single"/>
        </w:rPr>
        <w:t>Section 5.01(d)</w:t>
      </w:r>
      <w:r>
        <w:rPr>
          <w:rFonts w:ascii="Times New Roman" w:hAnsi="Times New Roman"/>
          <w:sz w:val="20"/>
        </w:rPr>
        <w:t xml:space="preserve"> or </w:t>
      </w:r>
      <w:r>
        <w:rPr>
          <w:rFonts w:ascii="Times New Roman" w:hAnsi="Times New Roman"/>
          <w:sz w:val="20"/>
          <w:u w:val="single"/>
        </w:rPr>
        <w:t>5.01(g)</w:t>
      </w:r>
      <w:r>
        <w:rPr>
          <w:rFonts w:ascii="Times New Roman" w:hAnsi="Times New Roman"/>
          <w:sz w:val="20"/>
        </w:rPr>
        <w:t xml:space="preserve"> shall be deemed not to be or result in an Event of Default, in each case with respect to such Securities as provided in this Section on and after the date the conditions set forth in </w:t>
      </w:r>
      <w:r>
        <w:rPr>
          <w:rFonts w:ascii="Times New Roman" w:hAnsi="Times New Roman"/>
          <w:sz w:val="20"/>
          <w:u w:val="single"/>
        </w:rPr>
        <w:t>Section 13.04</w:t>
      </w:r>
      <w:r>
        <w:rPr>
          <w:rFonts w:ascii="Times New Roman" w:hAnsi="Times New Roman"/>
          <w:sz w:val="20"/>
        </w:rPr>
        <w:t xml:space="preserve"> are satisfied (hereinafter called “</w:t>
      </w:r>
      <w:r>
        <w:rPr>
          <w:rFonts w:ascii="Times New Roman" w:hAnsi="Times New Roman"/>
          <w:b/>
          <w:sz w:val="20"/>
        </w:rPr>
        <w:t>Covenant Defeasance</w:t>
      </w:r>
      <w:r>
        <w:rPr>
          <w:rFonts w:ascii="Times New Roman" w:hAnsi="Times New Roman"/>
          <w:sz w:val="20"/>
        </w:rPr>
        <w:t xml:space="preserve">”). For this purpose, such Covenant Defeasance means that, with respect to such Securities, the Company may omit to comply with and shall have no liability in respect of any term, condition or limitation set forth in any such specified Section, whether directly or indirectly by reason of any reference elsewhere herein to any such Section or by reason of any reference in any such Section to any other provision herein or in any other document, but the remainder of this Indenture and such Securities shall be unaffected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13.04 </w:t>
      </w:r>
      <w:r>
        <w:rPr>
          <w:rFonts w:ascii="Times New Roman" w:hAnsi="Times New Roman"/>
          <w:sz w:val="20"/>
          <w:u w:val="single"/>
        </w:rPr>
        <w:t>Conditions to Defeasance or Covenant Defeasance.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shall be the conditions to the application of </w:t>
      </w:r>
      <w:r>
        <w:rPr>
          <w:rFonts w:ascii="Times New Roman" w:hAnsi="Times New Roman"/>
          <w:sz w:val="20"/>
          <w:u w:val="single"/>
        </w:rPr>
        <w:t>Section 13.02</w:t>
      </w:r>
      <w:r>
        <w:rPr>
          <w:rFonts w:ascii="Times New Roman" w:hAnsi="Times New Roman"/>
          <w:sz w:val="20"/>
        </w:rPr>
        <w:t xml:space="preserve"> or </w:t>
      </w:r>
      <w:r>
        <w:rPr>
          <w:rFonts w:ascii="Times New Roman" w:hAnsi="Times New Roman"/>
          <w:sz w:val="20"/>
          <w:u w:val="single"/>
        </w:rPr>
        <w:t>13.03</w:t>
      </w:r>
      <w:r>
        <w:rPr>
          <w:rFonts w:ascii="Times New Roman" w:hAnsi="Times New Roman"/>
          <w:sz w:val="20"/>
        </w:rPr>
        <w:t xml:space="preserve"> to any Securities or any series of Securities,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irrevocably have deposited or caused to be deposited with the Trustee (or another trustee which satisfies the requirements contemplated by </w:t>
      </w:r>
      <w:r>
        <w:rPr>
          <w:rFonts w:ascii="Times New Roman" w:hAnsi="Times New Roman"/>
          <w:sz w:val="20"/>
          <w:u w:val="single"/>
        </w:rPr>
        <w:t>Section 6.09</w:t>
      </w:r>
      <w:r>
        <w:rPr>
          <w:rFonts w:ascii="Times New Roman" w:hAnsi="Times New Roman"/>
          <w:sz w:val="20"/>
        </w:rPr>
        <w:t xml:space="preserve"> and agrees to comply with the provisions of this Article applicable to it) as trust funds in trust for the purpose of making the following payments, specifically pledged as security for, and dedicated solely to, the benefits of the Holders of such Securities, (A) money in an amount, or (B) in the case of any series of Securities the payment on which may only be made in legal coin or currency of the United States, U.S. Government Obligations which through the scheduled payment of principal and interest in respect thereof in accordance with their terms will provide, not later than Noon, New York City time, on the due date of any payment, money in an amount, or (C) such other obligations or arrangements as may be specified as contemplated by </w:t>
      </w:r>
      <w:r>
        <w:rPr>
          <w:rFonts w:ascii="Times New Roman" w:hAnsi="Times New Roman"/>
          <w:sz w:val="20"/>
          <w:u w:val="single"/>
        </w:rPr>
        <w:t>Section 3.01</w:t>
      </w:r>
      <w:r>
        <w:rPr>
          <w:rFonts w:ascii="Times New Roman" w:hAnsi="Times New Roman"/>
          <w:sz w:val="20"/>
        </w:rPr>
        <w:t xml:space="preserve"> with respect to such Securities, or (D) a combination thereof, in each case sufficient, in the opinion of an independent public accountant or financial advisor, in either case expressed in a written certification thereof to be delivered to the Trustee, to pay and discharge, and which shall be applied by the Trustee (or any such other qualifying trustee) to pay and discharge, (1) the principal of and any premium and interest on such Securities on the respective Stated Maturities, in accordance with the terms of this Indenture and such Securities or any Redemption Date established pursuant to Clause (i) below, and (2) any mandatory sinking fund payments on the dates on which such payments are due and payable in accordance with the terms of this Indenture and such Securities. As used herein, “</w:t>
      </w:r>
      <w:r>
        <w:rPr>
          <w:rFonts w:ascii="Times New Roman" w:hAnsi="Times New Roman"/>
          <w:b/>
          <w:sz w:val="20"/>
        </w:rPr>
        <w:t>U.S. Government Obligation</w:t>
      </w:r>
      <w:r>
        <w:rPr>
          <w:rFonts w:ascii="Times New Roman" w:hAnsi="Times New Roman"/>
          <w:sz w:val="20"/>
        </w:rPr>
        <w:t xml:space="preserve">”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of an election to have </w:t>
      </w:r>
      <w:r>
        <w:rPr>
          <w:rFonts w:ascii="Times New Roman" w:hAnsi="Times New Roman"/>
          <w:sz w:val="20"/>
          <w:u w:val="single"/>
        </w:rPr>
        <w:t>Section 13.02</w:t>
      </w:r>
      <w:r>
        <w:rPr>
          <w:rFonts w:ascii="Times New Roman" w:hAnsi="Times New Roman"/>
          <w:sz w:val="20"/>
        </w:rPr>
        <w:t xml:space="preserve">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Indenture,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of an election to have </w:t>
      </w:r>
      <w:r>
        <w:rPr>
          <w:rFonts w:ascii="Times New Roman" w:hAnsi="Times New Roman"/>
          <w:sz w:val="20"/>
          <w:u w:val="single"/>
        </w:rPr>
        <w:t>Section 13.03</w:t>
      </w:r>
      <w:r>
        <w:rPr>
          <w:rFonts w:ascii="Times New Roman" w:hAnsi="Times New Roman"/>
          <w:sz w:val="20"/>
        </w:rPr>
        <w:t xml:space="preserve"> apply to any Securities or any series of Securities, as the case may be, the Company shall have delivered to the Trustee an Opinion of Counsel that shall confirm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have delivered to the Trustee an Officer’s Certificate to the effect that neither such Securities nor any other Securities of the same series, if then listed on any securities exchange, will be delisted as a result of such deposit. </w:t>
      </w:r>
    </w:p>
    <w:p>
      <w:pPr>
        <w:pStyle w:val="TextBody"/>
        <w:bidi w:val="0"/>
        <w:spacing w:before="240" w:after="0"/>
        <w:jc w:val="left"/>
        <w:rPr>
          <w:rFonts w:ascii="Times New Roman" w:hAnsi="Times New Roman"/>
          <w:sz w:val="20"/>
        </w:rPr>
      </w:pPr>
      <w:r>
        <w:rPr>
          <w:rFonts w:ascii="Times New Roman" w:hAnsi="Times New Roman"/>
          <w:sz w:val="20"/>
        </w:rPr>
        <w:t xml:space="preserve">(e) No event which is, or after notice or lapse of time or both would become, an Event of Default shall have occurred and be continuing at the time of such deposit (other than such event or Event of Default (if any) resulting from the incurrence of indebtedness or the grant of liens securing such indebtedness, all or a portion of the proceeds of which will be applied to such deposit). </w:t>
      </w:r>
    </w:p>
    <w:p>
      <w:pPr>
        <w:pStyle w:val="TextBody"/>
        <w:bidi w:val="0"/>
        <w:spacing w:before="240" w:after="0"/>
        <w:jc w:val="left"/>
        <w:rPr>
          <w:rFonts w:ascii="Times New Roman" w:hAnsi="Times New Roman"/>
          <w:sz w:val="20"/>
        </w:rPr>
      </w:pPr>
      <w:r>
        <w:rPr>
          <w:rFonts w:ascii="Times New Roman" w:hAnsi="Times New Roman"/>
          <w:sz w:val="20"/>
        </w:rPr>
        <w:t xml:space="preserve">(f) The Company shall have delivered to the Trustee an Officer’s Certificate stating that the deposit was not made by the Company with the intent of preferring the Holders over any other creditors of the Company or with the intent of defeating, hindering, delaying or defrauding any other creditors of the Company or others. </w:t>
      </w:r>
    </w:p>
    <w:p>
      <w:pPr>
        <w:pStyle w:val="TextBody"/>
        <w:bidi w:val="0"/>
        <w:spacing w:before="240" w:after="0"/>
        <w:jc w:val="left"/>
        <w:rPr>
          <w:rFonts w:ascii="Times New Roman" w:hAnsi="Times New Roman"/>
          <w:sz w:val="20"/>
        </w:rPr>
      </w:pPr>
      <w:r>
        <w:rPr>
          <w:rFonts w:ascii="Times New Roman" w:hAnsi="Times New Roman"/>
          <w:sz w:val="20"/>
        </w:rPr>
        <w:t xml:space="preserve">(g) Such deposit shall not result in a breach of, or constitute a default under, any material agreement or instrument (other than this Indenture) to which the Company is a party or by which it is bound, or if such breach or default would occur, which is not waived as of, and for all purposes, on and after, the date of such deposit. </w:t>
      </w:r>
    </w:p>
    <w:p>
      <w:pPr>
        <w:pStyle w:val="TextBody"/>
        <w:bidi w:val="0"/>
        <w:spacing w:before="240" w:after="0"/>
        <w:jc w:val="left"/>
        <w:rPr>
          <w:rFonts w:ascii="Times New Roman" w:hAnsi="Times New Roman"/>
          <w:sz w:val="20"/>
        </w:rPr>
      </w:pPr>
      <w:r>
        <w:rPr>
          <w:rFonts w:ascii="Times New Roman" w:hAnsi="Times New Roman"/>
          <w:sz w:val="20"/>
        </w:rPr>
        <w:t xml:space="preserve">(h) The Company shall have delivered to the Trustee an Officer’s Certificate and an Opinion of Counsel, each stating that all conditions precedent with respect to such Defeasance or Covenant Defeasance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Before or after a deposit, the Company may make arrangements satisfactory to the Trustee for the redemption of Securities at a future date in accordance with </w:t>
      </w:r>
      <w:r>
        <w:rPr>
          <w:rFonts w:ascii="Times New Roman" w:hAnsi="Times New Roman"/>
          <w:sz w:val="20"/>
          <w:u w:val="single"/>
        </w:rPr>
        <w:t>Article XI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13.05 </w:t>
      </w:r>
      <w:r>
        <w:rPr>
          <w:rFonts w:ascii="Times New Roman" w:hAnsi="Times New Roman"/>
          <w:sz w:val="20"/>
          <w:u w:val="single"/>
        </w:rPr>
        <w:t>Deposited Money and U.S. Government Obligations to Be Held in Trust; 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the last paragraph of </w:t>
      </w:r>
      <w:r>
        <w:rPr>
          <w:rFonts w:ascii="Times New Roman" w:hAnsi="Times New Roman"/>
          <w:sz w:val="20"/>
          <w:u w:val="single"/>
        </w:rPr>
        <w:t>Section 10.03</w:t>
      </w:r>
      <w:r>
        <w:rPr>
          <w:rFonts w:ascii="Times New Roman" w:hAnsi="Times New Roman"/>
          <w:sz w:val="20"/>
        </w:rPr>
        <w:t xml:space="preserve">, all money and U.S. Government Obligations (including the proceeds thereof) deposited with the Trustee or other qualifying trustee (solely for purposes of this Section and </w:t>
      </w:r>
      <w:r>
        <w:rPr>
          <w:rFonts w:ascii="Times New Roman" w:hAnsi="Times New Roman"/>
          <w:sz w:val="20"/>
          <w:u w:val="single"/>
        </w:rPr>
        <w:t>Section 13.06</w:t>
      </w:r>
      <w:r>
        <w:rPr>
          <w:rFonts w:ascii="Times New Roman" w:hAnsi="Times New Roman"/>
          <w:sz w:val="20"/>
        </w:rPr>
        <w:t xml:space="preserve">, the Trustee and any such other trustee are referred to collectively as the “Trustee”) pursuant to </w:t>
      </w:r>
      <w:r>
        <w:rPr>
          <w:rFonts w:ascii="Times New Roman" w:hAnsi="Times New Roman"/>
          <w:sz w:val="20"/>
          <w:u w:val="single"/>
        </w:rPr>
        <w:t>Section 13.04</w:t>
      </w:r>
      <w:r>
        <w:rPr>
          <w:rFonts w:ascii="Times New Roman" w:hAnsi="Times New Roman"/>
          <w:sz w:val="20"/>
        </w:rPr>
        <w:t xml:space="preserve">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shall pay and indemnify the Trustee against any tax, fee or other charge imposed on or assessed against the U.S. Government Obligations deposited pursuant to </w:t>
      </w:r>
      <w:r>
        <w:rPr>
          <w:rFonts w:ascii="Times New Roman" w:hAnsi="Times New Roman"/>
          <w:sz w:val="20"/>
          <w:u w:val="single"/>
        </w:rPr>
        <w:t>Section 13.04</w:t>
      </w:r>
      <w:r>
        <w:rPr>
          <w:rFonts w:ascii="Times New Roman" w:hAnsi="Times New Roman"/>
          <w:sz w:val="20"/>
        </w:rPr>
        <w:t xml:space="preserve"> or the principal and interest received in respect thereof other than any such tax, fee or other charge which by law is for the account of the Holders of Outstanding Securities; provided that the Trustee shall be entitled to charge any such tax, fee or other charge to such Holder’s account. </w:t>
      </w:r>
    </w:p>
    <w:p>
      <w:pPr>
        <w:pStyle w:val="TextBody"/>
        <w:bidi w:val="0"/>
        <w:spacing w:before="240" w:after="0"/>
        <w:jc w:val="left"/>
        <w:rPr>
          <w:rFonts w:ascii="Times New Roman" w:hAnsi="Times New Roman"/>
          <w:sz w:val="20"/>
        </w:rPr>
      </w:pPr>
      <w:r>
        <w:rPr>
          <w:rFonts w:ascii="Times New Roman" w:hAnsi="Times New Roman"/>
          <w:sz w:val="20"/>
        </w:rPr>
        <w:t xml:space="preserve">Anything in this Article to the contrary notwithstanding, the Trustee shall deliver or pay to the Company from time to time upon Company Request any money or U.S. Government Obligations held by it as provided in </w:t>
      </w:r>
      <w:r>
        <w:rPr>
          <w:rFonts w:ascii="Times New Roman" w:hAnsi="Times New Roman"/>
          <w:sz w:val="20"/>
          <w:u w:val="single"/>
        </w:rPr>
        <w:t>Section 13.04</w:t>
      </w:r>
      <w:r>
        <w:rPr>
          <w:rFonts w:ascii="Times New Roman" w:hAnsi="Times New Roman"/>
          <w:sz w:val="20"/>
        </w:rPr>
        <w:t xml:space="preserve"> with respect to any Securities which are in excess of the amount thereof which would then be required to be deposited to effect the Defeasance or Covenant Defeasance, as the case may be, with respect to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13.06 </w:t>
      </w:r>
      <w:r>
        <w:rPr>
          <w:rFonts w:ascii="Times New Roman" w:hAnsi="Times New Roman"/>
          <w:sz w:val="20"/>
          <w:u w:val="single"/>
        </w:rPr>
        <w:t>Reinstatement.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such Securities from which the Company has been discharged or released pursuant to </w:t>
      </w:r>
      <w:r>
        <w:rPr>
          <w:rFonts w:ascii="Times New Roman" w:hAnsi="Times New Roman"/>
          <w:sz w:val="20"/>
          <w:u w:val="single"/>
        </w:rPr>
        <w:t>Section 13.02</w:t>
      </w:r>
      <w:r>
        <w:rPr>
          <w:rFonts w:ascii="Times New Roman" w:hAnsi="Times New Roman"/>
          <w:sz w:val="20"/>
        </w:rPr>
        <w:t xml:space="preserve"> or </w:t>
      </w:r>
      <w:r>
        <w:rPr>
          <w:rFonts w:ascii="Times New Roman" w:hAnsi="Times New Roman"/>
          <w:sz w:val="20"/>
          <w:u w:val="single"/>
        </w:rPr>
        <w:t>13.03</w:t>
      </w:r>
      <w:r>
        <w:rPr>
          <w:rFonts w:ascii="Times New Roman" w:hAnsi="Times New Roman"/>
          <w:sz w:val="20"/>
        </w:rPr>
        <w:t xml:space="preserve"> shall be revived and reinstated as though no deposit had occurred pursuant to this Article with respect to such Securities, until such time as the Trustee or Paying Agent is permitted to apply all money held in trust pursuant to </w:t>
      </w:r>
      <w:r>
        <w:rPr>
          <w:rFonts w:ascii="Times New Roman" w:hAnsi="Times New Roman"/>
          <w:sz w:val="20"/>
          <w:u w:val="single"/>
        </w:rPr>
        <w:t>Section 13.05</w:t>
      </w:r>
      <w:r>
        <w:rPr>
          <w:rFonts w:ascii="Times New Roman" w:hAnsi="Times New Roman"/>
          <w:sz w:val="20"/>
        </w:rPr>
        <w:t xml:space="preserve"> with respect to such Securities in accordance with this Article; provided, however, that (a)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 and (b) unless otherwise required by any legal proceeding or any order or judgment of any court or governmental authority, the Trustee or Paying Agent shall return all such money and U.S. Government Obligations to the Company promptly after receiving a written request therefor at any time, if such reinstatement of the Company’s obligations has occurred and continues to be in effect.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2079"/>
        <w:gridCol w:w="196"/>
        <w:gridCol w:w="1807"/>
      </w:tblGrid>
      <w:tr>
        <w:trPr/>
        <w:tc>
          <w:tcPr>
            <w:tcW w:w="2079"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INVIVYD, INC.</w:t>
            </w:r>
          </w:p>
        </w:tc>
      </w:tr>
      <w:tr>
        <w:trPr>
          <w:trHeight w:val="240" w:hRule="atLeast"/>
        </w:trPr>
        <w:tc>
          <w:tcPr>
            <w:tcW w:w="2079" w:type="dxa"/>
            <w:tcBorders/>
            <w:vAlign w:val="center"/>
          </w:tcPr>
          <w:p>
            <w:pPr>
              <w:pStyle w:val="TableContents"/>
              <w:bidi w:val="0"/>
              <w:spacing w:before="0" w:after="283"/>
              <w:jc w:val="left"/>
              <w:rPr>
                <w:sz w:val="4"/>
                <w:szCs w:val="4"/>
              </w:rPr>
            </w:pPr>
            <w:r>
              <w:rPr>
                <w:sz w:val="4"/>
                <w:szCs w:val="4"/>
              </w:rPr>
            </w:r>
          </w:p>
        </w:tc>
        <w:tc>
          <w:tcPr>
            <w:tcW w:w="2003" w:type="dxa"/>
            <w:gridSpan w:val="2"/>
            <w:tcBorders/>
            <w:vAlign w:val="center"/>
          </w:tcPr>
          <w:p>
            <w:pPr>
              <w:pStyle w:val="TableContents"/>
              <w:bidi w:val="0"/>
              <w:spacing w:before="0" w:after="283"/>
              <w:jc w:val="left"/>
              <w:rPr>
                <w:sz w:val="4"/>
                <w:szCs w:val="4"/>
              </w:rPr>
            </w:pPr>
            <w:r>
              <w:rPr>
                <w:sz w:val="4"/>
                <w:szCs w:val="4"/>
              </w:rPr>
            </w:r>
          </w:p>
        </w:tc>
      </w:tr>
      <w:tr>
        <w:trPr/>
        <w:tc>
          <w:tcPr>
            <w:tcW w:w="2079" w:type="dxa"/>
            <w:tcBorders/>
          </w:tcPr>
          <w:p>
            <w:pPr>
              <w:pStyle w:val="TableContents"/>
              <w:bidi w:val="0"/>
              <w:spacing w:before="0" w:after="283"/>
              <w:jc w:val="left"/>
              <w:rPr>
                <w:b/>
              </w:rPr>
            </w:pPr>
            <w:r>
              <w:rPr>
                <w:b/>
              </w:rPr>
              <w:t>By:</w:t>
            </w:r>
          </w:p>
        </w:tc>
        <w:tc>
          <w:tcPr>
            <w:tcW w:w="196" w:type="dxa"/>
            <w:tcBorders/>
            <w:vAlign w:val="bottom"/>
          </w:tcPr>
          <w:p>
            <w:pPr>
              <w:pStyle w:val="TableContents"/>
              <w:bidi w:val="0"/>
              <w:spacing w:before="0" w:after="283"/>
              <w:jc w:val="left"/>
              <w:rPr/>
            </w:pPr>
            <w:r>
              <w:rPr/>
              <w:t> </w:t>
            </w:r>
          </w:p>
        </w:tc>
        <w:tc>
          <w:tcPr>
            <w:tcW w:w="1807" w:type="dxa"/>
            <w:tcBorders/>
          </w:tcPr>
          <w:p>
            <w:pPr>
              <w:pStyle w:val="TableContents"/>
              <w:pBdr>
                <w:bottom w:val="single" w:sz="2" w:space="1" w:color="000000"/>
              </w:pBdr>
              <w:bidi w:val="0"/>
              <w:spacing w:before="0" w:after="20"/>
              <w:jc w:val="left"/>
              <w:rPr/>
            </w:pPr>
            <w:r>
              <w:rPr/>
              <w:t> </w:t>
            </w:r>
          </w:p>
        </w:tc>
      </w:tr>
      <w:tr>
        <w:trPr/>
        <w:tc>
          <w:tcPr>
            <w:tcW w:w="2079" w:type="dxa"/>
            <w:tcBorders/>
          </w:tcPr>
          <w:p>
            <w:pPr>
              <w:pStyle w:val="TableContents"/>
              <w:bidi w:val="0"/>
              <w:spacing w:before="0" w:after="283"/>
              <w:jc w:val="left"/>
              <w:rPr>
                <w:b/>
              </w:rPr>
            </w:pPr>
            <w:r>
              <w:rPr>
                <w:b/>
              </w:rPr>
              <w:t>Name:</w:t>
            </w:r>
          </w:p>
        </w:tc>
        <w:tc>
          <w:tcPr>
            <w:tcW w:w="196" w:type="dxa"/>
            <w:tcBorders/>
            <w:vAlign w:val="bottom"/>
          </w:tcPr>
          <w:p>
            <w:pPr>
              <w:pStyle w:val="TableContents"/>
              <w:bidi w:val="0"/>
              <w:spacing w:before="0" w:after="283"/>
              <w:jc w:val="left"/>
              <w:rPr/>
            </w:pPr>
            <w:r>
              <w:rPr/>
              <w:t> </w:t>
            </w:r>
          </w:p>
        </w:tc>
        <w:tc>
          <w:tcPr>
            <w:tcW w:w="1807" w:type="dxa"/>
            <w:tcBorders/>
          </w:tcPr>
          <w:p>
            <w:pPr>
              <w:pStyle w:val="TableContents"/>
              <w:pBdr>
                <w:bottom w:val="single" w:sz="2" w:space="1" w:color="000000"/>
              </w:pBdr>
              <w:bidi w:val="0"/>
              <w:spacing w:before="0" w:after="20"/>
              <w:jc w:val="left"/>
              <w:rPr/>
            </w:pPr>
            <w:r>
              <w:rPr/>
              <w:t> </w:t>
            </w:r>
          </w:p>
        </w:tc>
      </w:tr>
      <w:tr>
        <w:trPr/>
        <w:tc>
          <w:tcPr>
            <w:tcW w:w="2079" w:type="dxa"/>
            <w:tcBorders/>
          </w:tcPr>
          <w:p>
            <w:pPr>
              <w:pStyle w:val="TableContents"/>
              <w:bidi w:val="0"/>
              <w:spacing w:before="0" w:after="283"/>
              <w:jc w:val="left"/>
              <w:rPr>
                <w:b/>
              </w:rPr>
            </w:pPr>
            <w:r>
              <w:rPr>
                <w:b/>
              </w:rPr>
              <w:t>Title:</w:t>
            </w:r>
          </w:p>
        </w:tc>
        <w:tc>
          <w:tcPr>
            <w:tcW w:w="196" w:type="dxa"/>
            <w:tcBorders/>
            <w:vAlign w:val="bottom"/>
          </w:tcPr>
          <w:p>
            <w:pPr>
              <w:pStyle w:val="TableContents"/>
              <w:bidi w:val="0"/>
              <w:spacing w:before="0" w:after="283"/>
              <w:jc w:val="left"/>
              <w:rPr/>
            </w:pPr>
            <w:r>
              <w:rPr/>
              <w:t> </w:t>
            </w:r>
          </w:p>
        </w:tc>
        <w:tc>
          <w:tcPr>
            <w:tcW w:w="1807"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[        ], as Trustee</w:t>
            </w:r>
          </w:p>
        </w:tc>
      </w:tr>
      <w:tr>
        <w:trPr>
          <w:trHeight w:val="240" w:hRule="atLeast"/>
        </w:trPr>
        <w:tc>
          <w:tcPr>
            <w:tcW w:w="2079" w:type="dxa"/>
            <w:tcBorders/>
            <w:vAlign w:val="center"/>
          </w:tcPr>
          <w:p>
            <w:pPr>
              <w:pStyle w:val="TableContents"/>
              <w:bidi w:val="0"/>
              <w:spacing w:before="0" w:after="283"/>
              <w:jc w:val="left"/>
              <w:rPr>
                <w:sz w:val="4"/>
                <w:szCs w:val="4"/>
              </w:rPr>
            </w:pPr>
            <w:r>
              <w:rPr>
                <w:sz w:val="4"/>
                <w:szCs w:val="4"/>
              </w:rPr>
            </w:r>
          </w:p>
        </w:tc>
        <w:tc>
          <w:tcPr>
            <w:tcW w:w="2003" w:type="dxa"/>
            <w:gridSpan w:val="2"/>
            <w:tcBorders/>
            <w:vAlign w:val="center"/>
          </w:tcPr>
          <w:p>
            <w:pPr>
              <w:pStyle w:val="TableContents"/>
              <w:bidi w:val="0"/>
              <w:spacing w:before="0" w:after="283"/>
              <w:jc w:val="left"/>
              <w:rPr>
                <w:sz w:val="4"/>
                <w:szCs w:val="4"/>
              </w:rPr>
            </w:pPr>
            <w:r>
              <w:rPr>
                <w:sz w:val="4"/>
                <w:szCs w:val="4"/>
              </w:rPr>
            </w:r>
          </w:p>
        </w:tc>
      </w:tr>
      <w:tr>
        <w:trPr/>
        <w:tc>
          <w:tcPr>
            <w:tcW w:w="2079" w:type="dxa"/>
            <w:tcBorders/>
          </w:tcPr>
          <w:p>
            <w:pPr>
              <w:pStyle w:val="TableContents"/>
              <w:bidi w:val="0"/>
              <w:spacing w:before="0" w:after="283"/>
              <w:jc w:val="left"/>
              <w:rPr>
                <w:b/>
              </w:rPr>
            </w:pPr>
            <w:r>
              <w:rPr>
                <w:b/>
              </w:rPr>
              <w:t>By:</w:t>
            </w:r>
          </w:p>
        </w:tc>
        <w:tc>
          <w:tcPr>
            <w:tcW w:w="196" w:type="dxa"/>
            <w:tcBorders/>
            <w:vAlign w:val="bottom"/>
          </w:tcPr>
          <w:p>
            <w:pPr>
              <w:pStyle w:val="TableContents"/>
              <w:bidi w:val="0"/>
              <w:spacing w:before="0" w:after="283"/>
              <w:jc w:val="left"/>
              <w:rPr/>
            </w:pPr>
            <w:r>
              <w:rPr/>
              <w:t> </w:t>
            </w:r>
          </w:p>
        </w:tc>
        <w:tc>
          <w:tcPr>
            <w:tcW w:w="1807" w:type="dxa"/>
            <w:tcBorders/>
          </w:tcPr>
          <w:p>
            <w:pPr>
              <w:pStyle w:val="TableContents"/>
              <w:pBdr>
                <w:bottom w:val="single" w:sz="2" w:space="1" w:color="000000"/>
              </w:pBdr>
              <w:bidi w:val="0"/>
              <w:spacing w:before="0" w:after="20"/>
              <w:jc w:val="left"/>
              <w:rPr/>
            </w:pPr>
            <w:r>
              <w:rPr/>
              <w:t> </w:t>
            </w:r>
          </w:p>
        </w:tc>
      </w:tr>
      <w:tr>
        <w:trPr/>
        <w:tc>
          <w:tcPr>
            <w:tcW w:w="2079" w:type="dxa"/>
            <w:tcBorders/>
          </w:tcPr>
          <w:p>
            <w:pPr>
              <w:pStyle w:val="TableContents"/>
              <w:bidi w:val="0"/>
              <w:spacing w:before="0" w:after="283"/>
              <w:jc w:val="left"/>
              <w:rPr>
                <w:b/>
              </w:rPr>
            </w:pPr>
            <w:r>
              <w:rPr>
                <w:b/>
              </w:rPr>
              <w:t>Name:</w:t>
            </w:r>
          </w:p>
        </w:tc>
        <w:tc>
          <w:tcPr>
            <w:tcW w:w="196" w:type="dxa"/>
            <w:tcBorders/>
            <w:vAlign w:val="bottom"/>
          </w:tcPr>
          <w:p>
            <w:pPr>
              <w:pStyle w:val="TableContents"/>
              <w:bidi w:val="0"/>
              <w:spacing w:before="0" w:after="283"/>
              <w:jc w:val="left"/>
              <w:rPr/>
            </w:pPr>
            <w:r>
              <w:rPr/>
              <w:t> </w:t>
            </w:r>
          </w:p>
        </w:tc>
        <w:tc>
          <w:tcPr>
            <w:tcW w:w="1807" w:type="dxa"/>
            <w:tcBorders/>
          </w:tcPr>
          <w:p>
            <w:pPr>
              <w:pStyle w:val="TableContents"/>
              <w:pBdr>
                <w:bottom w:val="single" w:sz="2" w:space="1" w:color="000000"/>
              </w:pBdr>
              <w:bidi w:val="0"/>
              <w:spacing w:before="0" w:after="20"/>
              <w:jc w:val="left"/>
              <w:rPr/>
            </w:pPr>
            <w:r>
              <w:rPr/>
              <w:t> </w:t>
            </w:r>
          </w:p>
        </w:tc>
      </w:tr>
      <w:tr>
        <w:trPr/>
        <w:tc>
          <w:tcPr>
            <w:tcW w:w="2079" w:type="dxa"/>
            <w:tcBorders/>
          </w:tcPr>
          <w:p>
            <w:pPr>
              <w:pStyle w:val="TableContents"/>
              <w:bidi w:val="0"/>
              <w:spacing w:before="0" w:after="283"/>
              <w:jc w:val="left"/>
              <w:rPr>
                <w:b/>
              </w:rPr>
            </w:pPr>
            <w:r>
              <w:rPr>
                <w:b/>
              </w:rPr>
              <w:t>Title:</w:t>
            </w:r>
          </w:p>
        </w:tc>
        <w:tc>
          <w:tcPr>
            <w:tcW w:w="196" w:type="dxa"/>
            <w:tcBorders/>
            <w:vAlign w:val="bottom"/>
          </w:tcPr>
          <w:p>
            <w:pPr>
              <w:pStyle w:val="TableContents"/>
              <w:bidi w:val="0"/>
              <w:spacing w:before="0" w:after="283"/>
              <w:jc w:val="left"/>
              <w:rPr/>
            </w:pPr>
            <w:r>
              <w:rPr/>
              <w:t> </w:t>
            </w:r>
          </w:p>
        </w:tc>
        <w:tc>
          <w:tcPr>
            <w:tcW w:w="1807"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p>
    <w:p>
      <w:pPr>
        <w:pStyle w:val="TextBody"/>
        <w:bidi w:val="0"/>
        <w:spacing w:before="0" w:after="0"/>
        <w:jc w:val="right"/>
        <w:rPr>
          <w:rFonts w:ascii="Times New Roman" w:hAnsi="Times New Roman"/>
          <w:b/>
          <w:sz w:val="20"/>
        </w:rPr>
      </w:pPr>
      <w:bookmarkStart w:id="36" w:name="d28850dex51.htm"/>
      <w:bookmarkStart w:id="37" w:name="ksd28850dex51"/>
      <w:bookmarkEnd w:id="36"/>
      <w:bookmarkEnd w:id="37"/>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38"/>
        <w:gridCol w:w="122"/>
        <w:gridCol w:w="3745"/>
      </w:tblGrid>
      <w:tr>
        <w:trPr/>
        <w:tc>
          <w:tcPr>
            <w:tcW w:w="633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745" w:type="dxa"/>
            <w:tcBorders/>
            <w:vAlign w:val="center"/>
          </w:tcPr>
          <w:p>
            <w:pPr>
              <w:pStyle w:val="TableContents"/>
              <w:bidi w:val="0"/>
              <w:spacing w:before="0" w:after="283"/>
              <w:jc w:val="left"/>
              <w:rPr>
                <w:sz w:val="4"/>
                <w:szCs w:val="4"/>
              </w:rPr>
            </w:pPr>
            <w:r>
              <w:rPr>
                <w:sz w:val="4"/>
                <w:szCs w:val="4"/>
              </w:rPr>
            </w:r>
          </w:p>
        </w:tc>
      </w:tr>
      <w:tr>
        <w:trPr/>
        <w:tc>
          <w:tcPr>
            <w:tcW w:w="6338" w:type="dxa"/>
            <w:tcBorders/>
            <w:vAlign w:val="bottom"/>
          </w:tcPr>
          <w:p>
            <w:pPr>
              <w:pStyle w:val="TableContents"/>
              <w:bidi w:val="0"/>
              <w:spacing w:before="0" w:after="283"/>
              <w:jc w:val="left"/>
              <w:rPr/>
            </w:pPr>
            <w:r>
              <w:rPr/>
              <w:drawing>
                <wp:inline distT="0" distB="0" distL="0" distR="0">
                  <wp:extent cx="895350" cy="895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60"/>
                          <a:stretch>
                            <a:fillRect/>
                          </a:stretch>
                        </pic:blipFill>
                        <pic:spPr bwMode="auto">
                          <a:xfrm>
                            <a:off x="0" y="0"/>
                            <a:ext cx="895350" cy="895350"/>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37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Hogan Lovells US LLP</w:t>
            </w:r>
          </w:p>
          <w:p>
            <w:pPr>
              <w:pStyle w:val="TableContents"/>
              <w:bidi w:val="0"/>
              <w:spacing w:before="0" w:after="0"/>
              <w:jc w:val="left"/>
              <w:rPr>
                <w:rFonts w:ascii="Times New Roman" w:hAnsi="Times New Roman"/>
                <w:sz w:val="20"/>
              </w:rPr>
            </w:pPr>
            <w:r>
              <w:rPr>
                <w:rFonts w:ascii="Times New Roman" w:hAnsi="Times New Roman"/>
                <w:sz w:val="20"/>
              </w:rPr>
              <w:t>1735 Market Street, 23rd Floor</w:t>
            </w:r>
          </w:p>
          <w:p>
            <w:pPr>
              <w:pStyle w:val="TableContents"/>
              <w:bidi w:val="0"/>
              <w:spacing w:before="0" w:after="0"/>
              <w:jc w:val="left"/>
              <w:rPr>
                <w:rFonts w:ascii="Times New Roman" w:hAnsi="Times New Roman"/>
                <w:sz w:val="20"/>
              </w:rPr>
            </w:pPr>
            <w:r>
              <w:rPr>
                <w:rFonts w:ascii="Times New Roman" w:hAnsi="Times New Roman"/>
                <w:sz w:val="20"/>
              </w:rPr>
              <w:t>Philadelphia, PA 19103</w:t>
            </w:r>
          </w:p>
          <w:p>
            <w:pPr>
              <w:pStyle w:val="TableContents"/>
              <w:bidi w:val="0"/>
              <w:spacing w:before="0" w:after="0"/>
              <w:jc w:val="left"/>
              <w:rPr>
                <w:rFonts w:ascii="Times New Roman" w:hAnsi="Times New Roman"/>
                <w:sz w:val="20"/>
              </w:rPr>
            </w:pPr>
            <w:r>
              <w:rPr>
                <w:rFonts w:ascii="Times New Roman" w:hAnsi="Times New Roman"/>
                <w:sz w:val="20"/>
              </w:rPr>
              <w:t>T +1 267 675 4600</w:t>
            </w:r>
          </w:p>
          <w:p>
            <w:pPr>
              <w:pStyle w:val="TableContents"/>
              <w:bidi w:val="0"/>
              <w:spacing w:before="0" w:after="0"/>
              <w:jc w:val="left"/>
              <w:rPr>
                <w:rFonts w:ascii="Times New Roman" w:hAnsi="Times New Roman"/>
                <w:sz w:val="20"/>
              </w:rPr>
            </w:pPr>
            <w:r>
              <w:rPr>
                <w:rFonts w:ascii="Times New Roman" w:hAnsi="Times New Roman"/>
                <w:sz w:val="20"/>
              </w:rPr>
              <w:t>F +1 267 675 4601</w:t>
            </w:r>
          </w:p>
          <w:p>
            <w:pPr>
              <w:pStyle w:val="TableContents"/>
              <w:bidi w:val="0"/>
              <w:spacing w:before="0" w:after="20"/>
              <w:jc w:val="left"/>
              <w:rPr>
                <w:rFonts w:ascii="Times New Roman" w:hAnsi="Times New Roman"/>
                <w:sz w:val="20"/>
              </w:rPr>
            </w:pPr>
            <w:r>
              <w:rPr>
                <w:rFonts w:ascii="Times New Roman" w:hAnsi="Times New Roman"/>
                <w:sz w:val="20"/>
              </w:rPr>
              <w:t>www.hoganlovells.com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October 2, 2025 </w:t>
      </w:r>
    </w:p>
    <w:p>
      <w:pPr>
        <w:pStyle w:val="TextBody"/>
        <w:bidi w:val="0"/>
        <w:spacing w:before="240" w:after="0"/>
        <w:jc w:val="left"/>
        <w:rPr>
          <w:rFonts w:ascii="Times New Roman" w:hAnsi="Times New Roman"/>
          <w:sz w:val="20"/>
        </w:rPr>
      </w:pPr>
      <w:r>
        <w:rPr>
          <w:rFonts w:ascii="Times New Roman" w:hAnsi="Times New Roman"/>
          <w:sz w:val="20"/>
        </w:rPr>
        <w:t xml:space="preserve">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Invivyd, Inc. </w:t>
      </w:r>
    </w:p>
    <w:p>
      <w:pPr>
        <w:pStyle w:val="TextBody"/>
        <w:bidi w:val="0"/>
        <w:spacing w:before="0" w:after="0"/>
        <w:jc w:val="left"/>
        <w:rPr>
          <w:rFonts w:ascii="Times New Roman" w:hAnsi="Times New Roman"/>
          <w:sz w:val="20"/>
        </w:rPr>
      </w:pPr>
      <w:r>
        <w:rPr>
          <w:rFonts w:ascii="Times New Roman" w:hAnsi="Times New Roman"/>
          <w:sz w:val="20"/>
        </w:rPr>
        <w:t xml:space="preserve">209 Church Street </w:t>
      </w:r>
    </w:p>
    <w:p>
      <w:pPr>
        <w:pStyle w:val="TextBody"/>
        <w:bidi w:val="0"/>
        <w:spacing w:before="0" w:after="0"/>
        <w:jc w:val="left"/>
        <w:rPr>
          <w:rFonts w:ascii="Times New Roman" w:hAnsi="Times New Roman"/>
          <w:sz w:val="20"/>
        </w:rPr>
      </w:pPr>
      <w:r>
        <w:rPr>
          <w:rFonts w:ascii="Times New Roman" w:hAnsi="Times New Roman"/>
          <w:sz w:val="20"/>
        </w:rPr>
        <w:t xml:space="preserve">New Haven, CT 06510 </w:t>
      </w:r>
    </w:p>
    <w:p>
      <w:pPr>
        <w:pStyle w:val="TextBody"/>
        <w:bidi w:val="0"/>
        <w:spacing w:before="240" w:after="0"/>
        <w:jc w:val="left"/>
        <w:rPr>
          <w:rFonts w:ascii="Times New Roman" w:hAnsi="Times New Roman"/>
          <w:sz w:val="20"/>
        </w:rPr>
      </w:pPr>
      <w:r>
        <w:rPr>
          <w:rFonts w:ascii="Times New Roman" w:hAnsi="Times New Roman"/>
          <w:sz w:val="20"/>
        </w:rPr>
        <w:t xml:space="preserve">To the addressee referred to above: </w:t>
      </w:r>
    </w:p>
    <w:p>
      <w:pPr>
        <w:pStyle w:val="TextBody"/>
        <w:bidi w:val="0"/>
        <w:spacing w:before="120" w:after="0"/>
        <w:jc w:val="left"/>
        <w:rPr>
          <w:rFonts w:ascii="Times New Roman" w:hAnsi="Times New Roman"/>
          <w:sz w:val="20"/>
        </w:rPr>
      </w:pPr>
      <w:r>
        <w:rPr>
          <w:rFonts w:ascii="Times New Roman" w:hAnsi="Times New Roman"/>
          <w:sz w:val="20"/>
        </w:rPr>
        <w:t>We are acting as counsel to Invivyd, Inc., a Delaware corporation (the “</w:t>
      </w:r>
      <w:r>
        <w:rPr>
          <w:rFonts w:ascii="Times New Roman" w:hAnsi="Times New Roman"/>
          <w:b/>
          <w:sz w:val="20"/>
        </w:rPr>
        <w:t>Company</w:t>
      </w:r>
      <w:r>
        <w:rPr>
          <w:rFonts w:ascii="Times New Roman" w:hAnsi="Times New Roman"/>
          <w:sz w:val="20"/>
        </w:rPr>
        <w:t>”), in connection with its registration statement on Form S-3 (as may be amended from time to time, the “</w:t>
      </w:r>
      <w:r>
        <w:rPr>
          <w:rFonts w:ascii="Times New Roman" w:hAnsi="Times New Roman"/>
          <w:b/>
          <w:sz w:val="20"/>
        </w:rPr>
        <w:t>Registration Statement</w:t>
      </w:r>
      <w:r>
        <w:rPr>
          <w:rFonts w:ascii="Times New Roman" w:hAnsi="Times New Roman"/>
          <w:sz w:val="20"/>
        </w:rPr>
        <w:t>”), filed with the Securities and Exchange Commission relating to the proposed public offering of up to $350,000,000 in aggregate amount of one or more series of the following securities of the Company: (i) debt securities (the “</w:t>
      </w:r>
      <w:r>
        <w:rPr>
          <w:rFonts w:ascii="Times New Roman" w:hAnsi="Times New Roman"/>
          <w:b/>
          <w:sz w:val="20"/>
        </w:rPr>
        <w:t>Debt Securities</w:t>
      </w:r>
      <w:r>
        <w:rPr>
          <w:rFonts w:ascii="Times New Roman" w:hAnsi="Times New Roman"/>
          <w:sz w:val="20"/>
        </w:rPr>
        <w:t>”); (ii) shares of preferred stock, $0.0001 par value per share (the “</w:t>
      </w:r>
      <w:r>
        <w:rPr>
          <w:rFonts w:ascii="Times New Roman" w:hAnsi="Times New Roman"/>
          <w:b/>
          <w:sz w:val="20"/>
        </w:rPr>
        <w:t>Preferred Stock</w:t>
      </w:r>
      <w:r>
        <w:rPr>
          <w:rFonts w:ascii="Times New Roman" w:hAnsi="Times New Roman"/>
          <w:sz w:val="20"/>
        </w:rPr>
        <w:t>”); (iii) shares of common stock, $0.0001 par value per share (the “</w:t>
      </w:r>
      <w:r>
        <w:rPr>
          <w:rFonts w:ascii="Times New Roman" w:hAnsi="Times New Roman"/>
          <w:b/>
          <w:sz w:val="20"/>
        </w:rPr>
        <w:t>Common Stock</w:t>
      </w:r>
      <w:r>
        <w:rPr>
          <w:rFonts w:ascii="Times New Roman" w:hAnsi="Times New Roman"/>
          <w:sz w:val="20"/>
        </w:rPr>
        <w:t>”); (iv) warrants to purchase Debt Securities, Preferred Stock or Common Stock (the “</w:t>
      </w:r>
      <w:r>
        <w:rPr>
          <w:rFonts w:ascii="Times New Roman" w:hAnsi="Times New Roman"/>
          <w:b/>
          <w:sz w:val="20"/>
        </w:rPr>
        <w:t>Warrants</w:t>
      </w:r>
      <w:r>
        <w:rPr>
          <w:rFonts w:ascii="Times New Roman" w:hAnsi="Times New Roman"/>
          <w:sz w:val="20"/>
        </w:rPr>
        <w:t>”); and (v) units consisting of a combination of two or more of Debt Securities, Preferred Stock, Common Stock or Warrants (the “</w:t>
      </w:r>
      <w:r>
        <w:rPr>
          <w:rFonts w:ascii="Times New Roman" w:hAnsi="Times New Roman"/>
          <w:b/>
          <w:sz w:val="20"/>
        </w:rPr>
        <w:t>Units</w:t>
      </w:r>
      <w:r>
        <w:rPr>
          <w:rFonts w:ascii="Times New Roman" w:hAnsi="Times New Roman"/>
          <w:sz w:val="20"/>
        </w:rPr>
        <w:t>” and, together with the Preferred Stock, Common Stock, Warrants and Debt Securities, the “</w:t>
      </w:r>
      <w:r>
        <w:rPr>
          <w:rFonts w:ascii="Times New Roman" w:hAnsi="Times New Roman"/>
          <w:b/>
          <w:sz w:val="20"/>
        </w:rPr>
        <w:t>Securities</w:t>
      </w:r>
      <w:r>
        <w:rPr>
          <w:rFonts w:ascii="Times New Roman" w:hAnsi="Times New Roman"/>
          <w:sz w:val="20"/>
        </w:rPr>
        <w:t xml:space="preserve">”), all of which may be sold from time to time and on a delayed or continuous basis, as set forth in the prospectus which forms a part of the Registration Statement, and as to be set forth in one or more supplements to the prospectus. This opinion letter is furnished to you at your request to enable you to fulfill the requirements of Item 601(b)(5) of Regulation S-K, 17 C.F.R. § 229.601(b)(5), in connection with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opinion letter, we have examined copies of such agreements, instruments and documents as we have deemed an appropriate basis on which to render the opinions hereinafter expressed.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pdfs). As to all matters of fact, we have relied on the representations and statements of fact made in the documents so reviewed, and we have not independently established the facts so relied on. This opinion letter is given, and all statements herein are made, in the context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Hogan Lovells US LLP is a limited liability partnership registered in the state of Delaware. “Hogan Lovells” is an international legal practice that includes Hogan Lovells US LLP and Hogan Lovells International LLP, with offices in: Alicante Amsterdam Baltimore Beijing Berlin Birmingham Boston Brussels Colorado Springs Denver Dubai Dublin Dusseldorf Frankfurt Hamburg Hanoi Ho Chi Minh City Hong Kong Houston London Los Angeles Luxembourg Madrid Mexico City Miami Milan Minneapolis Monterrey Munich New York Northern Virginia Paris Philadelphia Riyadh Rome San Francisco São Paulo Shanghai Silicon Valley Singapore Tokyo Washington, D.C. For more information see www.hoganlovells.com.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66"/>
        <w:gridCol w:w="121"/>
        <w:gridCol w:w="4918"/>
      </w:tblGrid>
      <w:tr>
        <w:trPr/>
        <w:tc>
          <w:tcPr>
            <w:tcW w:w="516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18" w:type="dxa"/>
            <w:tcBorders/>
            <w:vAlign w:val="center"/>
          </w:tcPr>
          <w:p>
            <w:pPr>
              <w:pStyle w:val="TableContents"/>
              <w:bidi w:val="0"/>
              <w:spacing w:before="0" w:after="283"/>
              <w:jc w:val="left"/>
              <w:rPr>
                <w:sz w:val="4"/>
                <w:szCs w:val="4"/>
              </w:rPr>
            </w:pPr>
            <w:r>
              <w:rPr>
                <w:sz w:val="4"/>
                <w:szCs w:val="4"/>
              </w:rPr>
            </w:r>
          </w:p>
        </w:tc>
      </w:tr>
      <w:tr>
        <w:trPr/>
        <w:tc>
          <w:tcPr>
            <w:tcW w:w="5166" w:type="dxa"/>
            <w:tcBorders/>
          </w:tcPr>
          <w:p>
            <w:pPr>
              <w:pStyle w:val="TableContents"/>
              <w:bidi w:val="0"/>
              <w:spacing w:before="0" w:after="283"/>
              <w:jc w:val="left"/>
              <w:rPr/>
            </w:pPr>
            <w:r>
              <w:rPr/>
              <w:t>Invivyd, Inc.</w:t>
            </w:r>
          </w:p>
        </w:tc>
        <w:tc>
          <w:tcPr>
            <w:tcW w:w="121" w:type="dxa"/>
            <w:tcBorders/>
            <w:vAlign w:val="bottom"/>
          </w:tcPr>
          <w:p>
            <w:pPr>
              <w:pStyle w:val="TableContents"/>
              <w:bidi w:val="0"/>
              <w:spacing w:before="0" w:after="283"/>
              <w:jc w:val="left"/>
              <w:rPr/>
            </w:pPr>
            <w:r>
              <w:rPr/>
              <w:t>  </w:t>
            </w:r>
          </w:p>
        </w:tc>
        <w:tc>
          <w:tcPr>
            <w:tcW w:w="4918" w:type="dxa"/>
            <w:tcBorders/>
          </w:tcPr>
          <w:p>
            <w:pPr>
              <w:pStyle w:val="TableContents"/>
              <w:bidi w:val="0"/>
              <w:spacing w:before="0" w:after="283"/>
              <w:jc w:val="right"/>
              <w:rPr/>
            </w:pPr>
            <w:r>
              <w:rPr/>
              <w:t>October 2, 2025</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For purposes of this opinion letter, we have assumed that (i) the issuance, sale, amount and terms of any Securities of the Company to be offered from time to time will have been duly authorized and established by proper action of the board of directors of the Company or a duly authorized committee of such board (“</w:t>
      </w:r>
      <w:r>
        <w:rPr>
          <w:rFonts w:ascii="Times New Roman" w:hAnsi="Times New Roman"/>
          <w:b/>
          <w:sz w:val="20"/>
        </w:rPr>
        <w:t>Board Action</w:t>
      </w:r>
      <w:r>
        <w:rPr>
          <w:rFonts w:ascii="Times New Roman" w:hAnsi="Times New Roman"/>
          <w:sz w:val="20"/>
        </w:rPr>
        <w:t>”) consistent with the procedures and terms described in the Registration Statement and in accordance with the Company’s Amended and Restated Certificate of Incorporation, as amended, and Amended and Restated Bylaws, as amended, and applicable Delaware corporate law, in a manner that does not violate any law, government or court-imposed order or restriction or agreement or instrument then binding on the Company or otherwise impair the legal or binding nature of the obligations represented by the applicable Securities; (ii) at the time of offer, issuance and sale of any Securities, the Registration Statement shall have become effective under the Securities Act of 1933, as amended (the “</w:t>
      </w:r>
      <w:r>
        <w:rPr>
          <w:rFonts w:ascii="Times New Roman" w:hAnsi="Times New Roman"/>
          <w:b/>
          <w:sz w:val="20"/>
        </w:rPr>
        <w:t>Act</w:t>
      </w:r>
      <w:r>
        <w:rPr>
          <w:rFonts w:ascii="Times New Roman" w:hAnsi="Times New Roman"/>
          <w:sz w:val="20"/>
        </w:rPr>
        <w:t xml:space="preserve">”), and no stop order suspending its effectiveness will have been issued and remain in effect; (iii) any Debt Securities will be issued pursuant to an indenture for Debt Securities substantially in the form of such indenture filed as Exhibit 4.4 to the Registration Statement, with items shown in such exhibit as subject to completion having been completed in a satisfactory manner; (iv) the indenture under which any Debt Securities are issued will be qualified under the Trust Indenture Act of 1939, as amended; (v) any Warrants will be issued under one or more warrant agreements, as applicable, each to be between the Company and a financial institution identified therein as a warrant agent; (vi) any Units will be issued under one or more unit agreements; (vii) prior to any issuance of Preferred Stock, an appropriate certificate of designation will be accepted for record by the Secretary of State of the State of Delaware; (viii) if being sold by the Company, the Securities will be delivered against payment of valid consideration therefor and in accordance with the terms of the applicable Board Action authorizing such sale and any applicable underwriting agreement or purchase agreement and as contemplated by the Registration Statement and/or the applicable prospectus supplement; and (ix) the Company will remain a Delaware corporation.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the obligations of the Company with respect to the Securities may be dependent upon such matters, we assume for purposes of this opinion (i) that the other party under the indenture for any Debt Securities, under the warrant agreement for any Warrants, under the unit agreement for any Units, namely, the trustee, the warrant agent or the unit agent, respectively, is duly organized, validly existing and in good standing under the laws of its jurisdiction of organization; (ii) that such other party is duly qualified to engage in the activities contemplated by such indenture, warrant agreement, or unit agreement, as applicable; (iii) that such indenture, warrant agreement, or unit agreement, as applicable, has been duly authorized, executed and delivered by the other party and constitutes the legal, valid and binding obligation of the other party enforceable against the other party in accordance with its terms; (iv) that such other party is in compliance with respect to performance of its obligations under such indenture, warrant agreement, or unit agreement, as applicable, with all applicable laws, rules and regulations; and (v) that such other party has the requisite organizational and legal power and authority to perform its obligations under such indenture, warrant agreement, or unit agreement,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7932"/>
        <w:gridCol w:w="322"/>
        <w:gridCol w:w="60"/>
        <w:gridCol w:w="1588"/>
        <w:gridCol w:w="303"/>
      </w:tblGrid>
      <w:tr>
        <w:trPr/>
        <w:tc>
          <w:tcPr>
            <w:tcW w:w="7932"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r>
      <w:tr>
        <w:trPr/>
        <w:tc>
          <w:tcPr>
            <w:tcW w:w="7932" w:type="dxa"/>
            <w:tcBorders/>
          </w:tcPr>
          <w:p>
            <w:pPr>
              <w:pStyle w:val="TableContents"/>
              <w:bidi w:val="0"/>
              <w:spacing w:before="0" w:after="283"/>
              <w:jc w:val="left"/>
              <w:rPr/>
            </w:pPr>
            <w:r>
              <w:rPr/>
              <w:t>Invivyd, Inc.</w:t>
            </w:r>
          </w:p>
        </w:tc>
        <w:tc>
          <w:tcPr>
            <w:tcW w:w="3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588" w:type="dxa"/>
            <w:tcBorders/>
          </w:tcPr>
          <w:p>
            <w:pPr>
              <w:pStyle w:val="TableContents"/>
              <w:bidi w:val="0"/>
              <w:spacing w:before="0" w:after="283"/>
              <w:jc w:val="right"/>
              <w:rPr/>
            </w:pPr>
            <w:r>
              <w:rPr/>
              <w:t>October 2, 2025</w:t>
            </w:r>
          </w:p>
        </w:tc>
        <w:tc>
          <w:tcPr>
            <w:tcW w:w="303"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opinion letter is based as to matters of law solely on the applicable provisions of the following, as currently in effect: (i) the Delaware General Corporation Law, as amended, and (ii) as to the opinions given in paragraphs (a), (d) and (e), the laws of the State of New York (but not including any laws, statutes, ordinances, administrative decisions, rules or regulations of any political subdivision below the state level). We express no opinion herein as to any other statutes, rules or regulations (and in particular, we express no opinion as to any effect that such other statutes, rules or regulations may have on the opinions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Based upon, subject to and limited by the foregoing, we are of the opinion that: </w:t>
      </w:r>
    </w:p>
    <w:p>
      <w:pPr>
        <w:pStyle w:val="TextBody"/>
        <w:bidi w:val="0"/>
        <w:spacing w:before="120" w:after="0"/>
        <w:jc w:val="left"/>
        <w:rPr>
          <w:rFonts w:ascii="Times New Roman" w:hAnsi="Times New Roman"/>
          <w:sz w:val="20"/>
        </w:rPr>
      </w:pPr>
      <w:r>
        <w:rPr>
          <w:rFonts w:ascii="Times New Roman" w:hAnsi="Times New Roman"/>
          <w:sz w:val="20"/>
        </w:rPr>
        <w:t xml:space="preserve">(a) The Debt Securities (including any Debt Securities duly issued upon the exercise of Warrants and receipt by the Company of any additional consideration payable upon such exercise), upon due execution and delivery of an indenture relating thereto on behalf of the Company and the trustee named therein, and upon authentication by such trustee and due execution and delivery on behalf of the Company in accordance with the indenture and any supplemental indenture relating thereto, will constitute valid and binding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The Preferred Stock (including any Preferred Stock duly issued upon the exchange or conversion of Debt Securities that are exchangeable for or convertible into Preferred Stock or upon the exercise of Warrants and receipt by the Company of any additional consideration payable upon such conversion, exchange or exercise), upon due execution and delivery on behalf of the Company of certificates therefor, including global certificates, or the entry of the issuance thereof in the books and records of the Company, as the case may be,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(c) The Common Stock (including any Common Stock duly issued upon the exchange or conversion of Debt Securities or Preferred Stock that are exchangeable for or convertible into Common Stock or upon the exercise of Warrants and receipt by the Company of any additional consideration payable upon such conversion, exchange or exercise), upon due execution and delivery on behalf of the Company of certificates therefor, including global certificates, or the entry of the issuance thereof in the books and records of the Company, as the case may be,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(d) The Warrants, upon due execution and delivery of a warrant agreement relating thereto on behalf of the Company and the warrant agent named therein, as applicable, and due authentication of the Warrants by such warrant agent, as applicable, and upon due execution and delivery of the Warrants on behalf of the Company, will constitute valid and binding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 The Units, upon due execution and delivery of a unit agreement relating thereto on behalf of the Company, and upon due execution and delivery of one or more certificates bearing such terms on behalf of the Company, will constitute valid and binding obligations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7932"/>
        <w:gridCol w:w="322"/>
        <w:gridCol w:w="60"/>
        <w:gridCol w:w="1588"/>
        <w:gridCol w:w="303"/>
      </w:tblGrid>
      <w:tr>
        <w:trPr/>
        <w:tc>
          <w:tcPr>
            <w:tcW w:w="7932"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r>
      <w:tr>
        <w:trPr/>
        <w:tc>
          <w:tcPr>
            <w:tcW w:w="7932" w:type="dxa"/>
            <w:tcBorders/>
          </w:tcPr>
          <w:p>
            <w:pPr>
              <w:pStyle w:val="TableContents"/>
              <w:bidi w:val="0"/>
              <w:spacing w:before="0" w:after="283"/>
              <w:jc w:val="left"/>
              <w:rPr/>
            </w:pPr>
            <w:r>
              <w:rPr/>
              <w:t>Invivyd, Inc.</w:t>
            </w:r>
          </w:p>
        </w:tc>
        <w:tc>
          <w:tcPr>
            <w:tcW w:w="3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588" w:type="dxa"/>
            <w:tcBorders/>
          </w:tcPr>
          <w:p>
            <w:pPr>
              <w:pStyle w:val="TableContents"/>
              <w:bidi w:val="0"/>
              <w:spacing w:before="0" w:after="283"/>
              <w:jc w:val="right"/>
              <w:rPr/>
            </w:pPr>
            <w:r>
              <w:rPr/>
              <w:t>October 2, 2025</w:t>
            </w:r>
          </w:p>
        </w:tc>
        <w:tc>
          <w:tcPr>
            <w:tcW w:w="303"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opinions expressed in paragraphs (a), (d) and (e) above with respect to the valid and binding nature of obligations may be limited by bankruptcy, insolvency, reorganization, receivership, moratorium or other laws affecting creditors’ rights and remedies (including, without limitation, the effect of statutory and other law regarding fraudulent conveyances and fraudulent, preferential or voidable transfers) and by the exercise of judicial discretion and the application of principles of equity, good faith, fair dealing, reasonableness, conscionability and materiality (regardless of whether the Securities are considered in a proceeding in equity or at law), including, without limitation, principles limiting the availability of specific performance and injunctive relief.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has been prepared for use in connection with the Registration Statement. We assume no obligation to advise of any changes in the foregoing subsequent to the effective date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as Exhibit 5.1 to the Registration Statement and to the reference to this firm under the caption “Legal Matters” in the prospectus constituting a part of the Registration Statement. In giving this consent, we do not thereby admit that we are an “expert” within the meaning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pPr>
            <w:r>
              <w:rPr/>
              <w:t>Very truly yours,</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pPr>
            <w:r>
              <w:rPr/>
              <w:t>/s/ HOGAN LOVELLS US LLP</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pPr>
            <w:r>
              <w:rPr/>
              <w:t>HOGAN LOVELLS US LLP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p>
    <w:p>
      <w:pPr>
        <w:pStyle w:val="TextBody"/>
        <w:bidi w:val="0"/>
        <w:spacing w:before="0" w:after="0"/>
        <w:jc w:val="right"/>
        <w:rPr>
          <w:rFonts w:ascii="Times New Roman" w:hAnsi="Times New Roman"/>
          <w:b/>
          <w:sz w:val="20"/>
        </w:rPr>
      </w:pPr>
      <w:bookmarkStart w:id="38" w:name="d28850dex52.htm"/>
      <w:bookmarkStart w:id="39" w:name="ksd28850dex52"/>
      <w:bookmarkEnd w:id="38"/>
      <w:bookmarkEnd w:id="39"/>
      <w:r>
        <w:rPr>
          <w:rFonts w:ascii="Times New Roman" w:hAnsi="Times New Roman"/>
          <w:b/>
          <w:sz w:val="20"/>
        </w:rPr>
        <w:t xml:space="preserve">Exhibit 5.2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38"/>
        <w:gridCol w:w="122"/>
        <w:gridCol w:w="3745"/>
      </w:tblGrid>
      <w:tr>
        <w:trPr/>
        <w:tc>
          <w:tcPr>
            <w:tcW w:w="633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745" w:type="dxa"/>
            <w:tcBorders/>
            <w:vAlign w:val="center"/>
          </w:tcPr>
          <w:p>
            <w:pPr>
              <w:pStyle w:val="TableContents"/>
              <w:bidi w:val="0"/>
              <w:spacing w:before="0" w:after="283"/>
              <w:jc w:val="left"/>
              <w:rPr>
                <w:sz w:val="4"/>
                <w:szCs w:val="4"/>
              </w:rPr>
            </w:pPr>
            <w:r>
              <w:rPr>
                <w:sz w:val="4"/>
                <w:szCs w:val="4"/>
              </w:rPr>
            </w:r>
          </w:p>
        </w:tc>
      </w:tr>
      <w:tr>
        <w:trPr/>
        <w:tc>
          <w:tcPr>
            <w:tcW w:w="6338" w:type="dxa"/>
            <w:tcBorders/>
            <w:vAlign w:val="bottom"/>
          </w:tcPr>
          <w:p>
            <w:pPr>
              <w:pStyle w:val="TableContents"/>
              <w:bidi w:val="0"/>
              <w:spacing w:before="0" w:after="283"/>
              <w:jc w:val="left"/>
              <w:rPr/>
            </w:pPr>
            <w:r>
              <w:rPr/>
              <w:drawing>
                <wp:inline distT="0" distB="0" distL="0" distR="0">
                  <wp:extent cx="895350" cy="895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61"/>
                          <a:stretch>
                            <a:fillRect/>
                          </a:stretch>
                        </pic:blipFill>
                        <pic:spPr bwMode="auto">
                          <a:xfrm>
                            <a:off x="0" y="0"/>
                            <a:ext cx="895350" cy="895350"/>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37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Hogan Lovells US LLP</w:t>
            </w:r>
          </w:p>
          <w:p>
            <w:pPr>
              <w:pStyle w:val="TableContents"/>
              <w:bidi w:val="0"/>
              <w:spacing w:before="0" w:after="0"/>
              <w:jc w:val="left"/>
              <w:rPr>
                <w:rFonts w:ascii="Times New Roman" w:hAnsi="Times New Roman"/>
                <w:sz w:val="20"/>
              </w:rPr>
            </w:pPr>
            <w:r>
              <w:rPr>
                <w:rFonts w:ascii="Times New Roman" w:hAnsi="Times New Roman"/>
                <w:sz w:val="20"/>
              </w:rPr>
              <w:t>1735 Market Street, 23rd Floor</w:t>
            </w:r>
          </w:p>
          <w:p>
            <w:pPr>
              <w:pStyle w:val="TableContents"/>
              <w:bidi w:val="0"/>
              <w:spacing w:before="0" w:after="0"/>
              <w:jc w:val="left"/>
              <w:rPr>
                <w:rFonts w:ascii="Times New Roman" w:hAnsi="Times New Roman"/>
                <w:sz w:val="20"/>
              </w:rPr>
            </w:pPr>
            <w:r>
              <w:rPr>
                <w:rFonts w:ascii="Times New Roman" w:hAnsi="Times New Roman"/>
                <w:sz w:val="20"/>
              </w:rPr>
              <w:t>Philadelphia, PA 19103</w:t>
            </w:r>
          </w:p>
          <w:p>
            <w:pPr>
              <w:pStyle w:val="TableContents"/>
              <w:bidi w:val="0"/>
              <w:spacing w:before="0" w:after="0"/>
              <w:jc w:val="left"/>
              <w:rPr>
                <w:rFonts w:ascii="Times New Roman" w:hAnsi="Times New Roman"/>
                <w:sz w:val="20"/>
              </w:rPr>
            </w:pPr>
            <w:r>
              <w:rPr>
                <w:rFonts w:ascii="Times New Roman" w:hAnsi="Times New Roman"/>
                <w:sz w:val="20"/>
              </w:rPr>
              <w:t>T +1 267 675 4600</w:t>
            </w:r>
          </w:p>
          <w:p>
            <w:pPr>
              <w:pStyle w:val="TableContents"/>
              <w:bidi w:val="0"/>
              <w:spacing w:before="0" w:after="0"/>
              <w:jc w:val="left"/>
              <w:rPr>
                <w:rFonts w:ascii="Times New Roman" w:hAnsi="Times New Roman"/>
                <w:sz w:val="20"/>
              </w:rPr>
            </w:pPr>
            <w:r>
              <w:rPr>
                <w:rFonts w:ascii="Times New Roman" w:hAnsi="Times New Roman"/>
                <w:sz w:val="20"/>
              </w:rPr>
              <w:t>F +1 267 675 4601</w:t>
            </w:r>
          </w:p>
          <w:p>
            <w:pPr>
              <w:pStyle w:val="TableContents"/>
              <w:bidi w:val="0"/>
              <w:spacing w:before="0" w:after="20"/>
              <w:jc w:val="left"/>
              <w:rPr>
                <w:rFonts w:ascii="Times New Roman" w:hAnsi="Times New Roman"/>
                <w:sz w:val="20"/>
              </w:rPr>
            </w:pPr>
            <w:r>
              <w:rPr>
                <w:rFonts w:ascii="Times New Roman" w:hAnsi="Times New Roman"/>
                <w:sz w:val="20"/>
              </w:rPr>
              <w:t>www.hoganlovells.com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October 2, 2025 </w:t>
      </w:r>
    </w:p>
    <w:p>
      <w:pPr>
        <w:pStyle w:val="TextBody"/>
        <w:bidi w:val="0"/>
        <w:spacing w:before="240" w:after="0"/>
        <w:jc w:val="left"/>
        <w:rPr>
          <w:rFonts w:ascii="Times New Roman" w:hAnsi="Times New Roman"/>
          <w:sz w:val="20"/>
        </w:rPr>
      </w:pPr>
      <w:r>
        <w:rPr>
          <w:rFonts w:ascii="Times New Roman" w:hAnsi="Times New Roman"/>
          <w:sz w:val="20"/>
        </w:rPr>
        <w:t xml:space="preserve">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Invivyd, Inc. </w:t>
      </w:r>
    </w:p>
    <w:p>
      <w:pPr>
        <w:pStyle w:val="TextBody"/>
        <w:bidi w:val="0"/>
        <w:spacing w:before="0" w:after="0"/>
        <w:jc w:val="left"/>
        <w:rPr>
          <w:rFonts w:ascii="Times New Roman" w:hAnsi="Times New Roman"/>
          <w:sz w:val="20"/>
        </w:rPr>
      </w:pPr>
      <w:r>
        <w:rPr>
          <w:rFonts w:ascii="Times New Roman" w:hAnsi="Times New Roman"/>
          <w:sz w:val="20"/>
        </w:rPr>
        <w:t xml:space="preserve">209 Church Street </w:t>
      </w:r>
    </w:p>
    <w:p>
      <w:pPr>
        <w:pStyle w:val="TextBody"/>
        <w:bidi w:val="0"/>
        <w:spacing w:before="0" w:after="0"/>
        <w:jc w:val="left"/>
        <w:rPr>
          <w:rFonts w:ascii="Times New Roman" w:hAnsi="Times New Roman"/>
          <w:sz w:val="20"/>
        </w:rPr>
      </w:pPr>
      <w:r>
        <w:rPr>
          <w:rFonts w:ascii="Times New Roman" w:hAnsi="Times New Roman"/>
          <w:sz w:val="20"/>
        </w:rPr>
        <w:t xml:space="preserve">New Haven, CT 06510 </w:t>
      </w:r>
    </w:p>
    <w:p>
      <w:pPr>
        <w:pStyle w:val="TextBody"/>
        <w:bidi w:val="0"/>
        <w:spacing w:before="240" w:after="0"/>
        <w:jc w:val="left"/>
        <w:rPr>
          <w:rFonts w:ascii="Times New Roman" w:hAnsi="Times New Roman"/>
          <w:sz w:val="20"/>
        </w:rPr>
      </w:pPr>
      <w:r>
        <w:rPr>
          <w:rFonts w:ascii="Times New Roman" w:hAnsi="Times New Roman"/>
          <w:sz w:val="20"/>
        </w:rPr>
        <w:t xml:space="preserve">To the addressee referred to above: </w:t>
      </w:r>
    </w:p>
    <w:p>
      <w:pPr>
        <w:pStyle w:val="TextBody"/>
        <w:bidi w:val="0"/>
        <w:spacing w:before="120" w:after="0"/>
        <w:jc w:val="left"/>
        <w:rPr>
          <w:rFonts w:ascii="Times New Roman" w:hAnsi="Times New Roman"/>
          <w:sz w:val="20"/>
        </w:rPr>
      </w:pPr>
      <w:r>
        <w:rPr>
          <w:rFonts w:ascii="Times New Roman" w:hAnsi="Times New Roman"/>
          <w:sz w:val="20"/>
        </w:rPr>
        <w:t>We are acting as counsel to Invivyd, Inc., a Delaware corporation (the “</w:t>
      </w:r>
      <w:r>
        <w:rPr>
          <w:rFonts w:ascii="Times New Roman" w:hAnsi="Times New Roman"/>
          <w:b/>
          <w:sz w:val="20"/>
        </w:rPr>
        <w:t>Company</w:t>
      </w:r>
      <w:r>
        <w:rPr>
          <w:rFonts w:ascii="Times New Roman" w:hAnsi="Times New Roman"/>
          <w:sz w:val="20"/>
        </w:rPr>
        <w:t>”), in connection with the issuance and sale of up to $75,000,000 of shares of common stock, par value $0.0001 per share, of the Company (the “</w:t>
      </w:r>
      <w:r>
        <w:rPr>
          <w:rFonts w:ascii="Times New Roman" w:hAnsi="Times New Roman"/>
          <w:b/>
          <w:sz w:val="20"/>
        </w:rPr>
        <w:t>Shares</w:t>
      </w:r>
      <w:r>
        <w:rPr>
          <w:rFonts w:ascii="Times New Roman" w:hAnsi="Times New Roman"/>
          <w:sz w:val="20"/>
        </w:rPr>
        <w:t>”), from time to time and at various prices in an “at the market offering” pursuant to the terms of the Controlled Equity OfferingSM Sales Agreement, dated December 22, 2023 (the “</w:t>
      </w:r>
      <w:r>
        <w:rPr>
          <w:rFonts w:ascii="Times New Roman" w:hAnsi="Times New Roman"/>
          <w:b/>
          <w:sz w:val="20"/>
        </w:rPr>
        <w:t>Agreement</w:t>
      </w:r>
      <w:r>
        <w:rPr>
          <w:rFonts w:ascii="Times New Roman" w:hAnsi="Times New Roman"/>
          <w:sz w:val="20"/>
        </w:rPr>
        <w:t>”), by and between the Company and Cantor Fitzgerald &amp; Co., as sales agent. The offering of the Shares by the Company is being made pursuant to its registration statement on Form S-3, filed with the Securities and Exchange Commission under the Securities Act of 1933, as amended (the “</w:t>
      </w:r>
      <w:r>
        <w:rPr>
          <w:rFonts w:ascii="Times New Roman" w:hAnsi="Times New Roman"/>
          <w:b/>
          <w:sz w:val="20"/>
        </w:rPr>
        <w:t>Act</w:t>
      </w:r>
      <w:r>
        <w:rPr>
          <w:rFonts w:ascii="Times New Roman" w:hAnsi="Times New Roman"/>
          <w:sz w:val="20"/>
        </w:rPr>
        <w:t>”), on the date hereof (as may be amended from time to time, the “</w:t>
      </w:r>
      <w:r>
        <w:rPr>
          <w:rFonts w:ascii="Times New Roman" w:hAnsi="Times New Roman"/>
          <w:b/>
          <w:sz w:val="20"/>
        </w:rPr>
        <w:t>Registration</w:t>
      </w:r>
      <w:r>
        <w:rPr>
          <w:rFonts w:ascii="Times New Roman" w:hAnsi="Times New Roman"/>
          <w:sz w:val="20"/>
        </w:rPr>
        <w:t xml:space="preserve"> </w:t>
      </w:r>
      <w:r>
        <w:rPr>
          <w:rFonts w:ascii="Times New Roman" w:hAnsi="Times New Roman"/>
          <w:b/>
          <w:sz w:val="20"/>
        </w:rPr>
        <w:t>Statement</w:t>
      </w:r>
      <w:r>
        <w:rPr>
          <w:rFonts w:ascii="Times New Roman" w:hAnsi="Times New Roman"/>
          <w:sz w:val="20"/>
        </w:rPr>
        <w:t>”), including a base prospectus (the “</w:t>
      </w:r>
      <w:r>
        <w:rPr>
          <w:rFonts w:ascii="Times New Roman" w:hAnsi="Times New Roman"/>
          <w:b/>
          <w:sz w:val="20"/>
        </w:rPr>
        <w:t>Base Prospectus</w:t>
      </w:r>
      <w:r>
        <w:rPr>
          <w:rFonts w:ascii="Times New Roman" w:hAnsi="Times New Roman"/>
          <w:sz w:val="20"/>
        </w:rPr>
        <w:t>”) that forms a part thereof and a prospectus supplement (the “</w:t>
      </w:r>
      <w:r>
        <w:rPr>
          <w:rFonts w:ascii="Times New Roman" w:hAnsi="Times New Roman"/>
          <w:b/>
          <w:sz w:val="20"/>
        </w:rPr>
        <w:t>Prospectus Supplement</w:t>
      </w:r>
      <w:r>
        <w:rPr>
          <w:rFonts w:ascii="Times New Roman" w:hAnsi="Times New Roman"/>
          <w:sz w:val="20"/>
        </w:rPr>
        <w:t>” and together with the Base Prospectus, the “</w:t>
      </w:r>
      <w:r>
        <w:rPr>
          <w:rFonts w:ascii="Times New Roman" w:hAnsi="Times New Roman"/>
          <w:b/>
          <w:sz w:val="20"/>
        </w:rPr>
        <w:t>Prospectus</w:t>
      </w:r>
      <w:r>
        <w:rPr>
          <w:rFonts w:ascii="Times New Roman" w:hAnsi="Times New Roman"/>
          <w:sz w:val="20"/>
        </w:rPr>
        <w:t xml:space="preserve">”). This opinion letter is furnished to you at your request to enable you to fulfill the requirements of Item 601(b)(5) of Regulation S-K, 17 C.F.R. § 229.601(b)(5), in connection with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opinion letter, we have examined copies of such agreements, instruments and documents as we have deemed an appropriate basis on which to render the opinions hereinafter expressed.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pdfs). As to all matters of fact, we have relied on the representations and statements of fact made in the documents so reviewed, and we have not independently established the facts so relied on. This opinion letter is given, and all statements herein are made, in the context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Hogan Lovells US LLP is a limited liability partnership registered in the state of Delaware. “Hogan Lovells” is an international legal practice that includes Hogan Lovells US LLP and Hogan Lovells International LLP, with offices in: Alicante Amsterdam Baltimore Beijing Berlin Birmingham Boston Brussels Colorado Springs Denver Dubai Dublin Dusseldorf Frankfurt Hamburg Hanoi Ho Chi Minh City Hong Kong Houston London Los Angeles Luxembourg Madrid Mexico City Miami Milan Minneapolis Monterrey Munich New York Northern Virginia Paris Philadelphia Riyadh Rome San Francisco São Paulo Shanghai Silicon Valley Singapore Tokyo Washington, D.C. For more information see www.hoganlovells.com.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91"/>
        <w:gridCol w:w="121"/>
        <w:gridCol w:w="4893"/>
      </w:tblGrid>
      <w:tr>
        <w:trPr/>
        <w:tc>
          <w:tcPr>
            <w:tcW w:w="519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93" w:type="dxa"/>
            <w:tcBorders/>
            <w:vAlign w:val="center"/>
          </w:tcPr>
          <w:p>
            <w:pPr>
              <w:pStyle w:val="TableContents"/>
              <w:bidi w:val="0"/>
              <w:spacing w:before="0" w:after="283"/>
              <w:jc w:val="left"/>
              <w:rPr>
                <w:sz w:val="4"/>
                <w:szCs w:val="4"/>
              </w:rPr>
            </w:pPr>
            <w:r>
              <w:rPr>
                <w:sz w:val="4"/>
                <w:szCs w:val="4"/>
              </w:rPr>
            </w:r>
          </w:p>
        </w:tc>
      </w:tr>
      <w:tr>
        <w:trPr/>
        <w:tc>
          <w:tcPr>
            <w:tcW w:w="5191" w:type="dxa"/>
            <w:tcBorders/>
          </w:tcPr>
          <w:p>
            <w:pPr>
              <w:pStyle w:val="TableContents"/>
              <w:bidi w:val="0"/>
              <w:spacing w:before="0" w:after="283"/>
              <w:jc w:val="left"/>
              <w:rPr/>
            </w:pPr>
            <w:r>
              <w:rPr/>
              <w:t>Invivyd, Inc.</w:t>
            </w:r>
          </w:p>
        </w:tc>
        <w:tc>
          <w:tcPr>
            <w:tcW w:w="121" w:type="dxa"/>
            <w:tcBorders/>
            <w:vAlign w:val="bottom"/>
          </w:tcPr>
          <w:p>
            <w:pPr>
              <w:pStyle w:val="TableContents"/>
              <w:bidi w:val="0"/>
              <w:spacing w:before="0" w:after="283"/>
              <w:jc w:val="left"/>
              <w:rPr/>
            </w:pPr>
            <w:r>
              <w:rPr/>
              <w:t>  </w:t>
            </w:r>
          </w:p>
        </w:tc>
        <w:tc>
          <w:tcPr>
            <w:tcW w:w="4893" w:type="dxa"/>
            <w:tcBorders/>
          </w:tcPr>
          <w:p>
            <w:pPr>
              <w:pStyle w:val="TableContents"/>
              <w:bidi w:val="0"/>
              <w:spacing w:before="0" w:after="283"/>
              <w:jc w:val="right"/>
              <w:rPr/>
            </w:pPr>
            <w:r>
              <w:rPr/>
              <w:t>October 2, 2025</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opinion letter is based as to matters of law solely on the Delaware General Corporation Law, as amended. We express no opinion herein as to any other statutes, rules or regulations. </w:t>
      </w:r>
    </w:p>
    <w:p>
      <w:pPr>
        <w:pStyle w:val="TextBody"/>
        <w:bidi w:val="0"/>
        <w:spacing w:before="240" w:after="0"/>
        <w:jc w:val="left"/>
        <w:rPr>
          <w:rFonts w:ascii="Times New Roman" w:hAnsi="Times New Roman"/>
          <w:sz w:val="20"/>
        </w:rPr>
      </w:pPr>
      <w:r>
        <w:rPr>
          <w:rFonts w:ascii="Times New Roman" w:hAnsi="Times New Roman"/>
          <w:sz w:val="20"/>
        </w:rPr>
        <w:t xml:space="preserve">Based upon, subject to and limited by the foregoing, we are of the opinion that following (i) execution and delivery by the Company of the Agreement, (ii) effectiveness of the Registration Statement, (iii) issuance of the Shares pursuant to the terms of the Agreement, which issuance shall not exceed the Maximum Amount (as defined in the Agreement), and (iv) receipt by the Company of the consideration for the Shares specified in the resolutions of the Board of Directors or a committee designated by the Board of Directors, the Shares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has been prepared for use in connection with the filing of the Registration Statement and Prospectus relating to the offer and sale of the Shares, and speaks as of the date hereof. We assume no obligation to advise of any changes in the foregoing subsequent to the effective date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as Exhibit 5.2 to the Registration Statement and to the reference to this firm under the caption “Legal Matters” in the Prospectus constituting a part of the Registration Statement. In giving this consent, we do not thereby admit that we are an “expert” within the meaning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pPr>
            <w:r>
              <w:rPr/>
              <w:t>Very truly yours,</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pPr>
            <w:r>
              <w:rPr/>
              <w:t>/s/ HOGAN LOVELLS US LLP</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pPr>
            <w:r>
              <w:rPr/>
              <w:t>HOGAN LOVELLS US LLP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p>
    <w:p>
      <w:pPr>
        <w:pStyle w:val="TextBody"/>
        <w:bidi w:val="0"/>
        <w:spacing w:before="0" w:after="0"/>
        <w:jc w:val="right"/>
        <w:rPr>
          <w:rFonts w:ascii="Times New Roman" w:hAnsi="Times New Roman"/>
          <w:b/>
          <w:sz w:val="20"/>
        </w:rPr>
      </w:pPr>
      <w:bookmarkStart w:id="40" w:name="d28850dex231.htm"/>
      <w:bookmarkStart w:id="41" w:name="ksd28850dex231"/>
      <w:bookmarkEnd w:id="40"/>
      <w:bookmarkEnd w:id="41"/>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S-3 of Invivyd, Inc. of our report dated March 20, 2025 relating to the financial statements, which appears in Invivyd, Inc.’s Annual Report on Form 10-K for the year ended December 31, 2024.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PricewaterhouseCoopers LLP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October 2, 2025 </w:t>
      </w:r>
    </w:p>
    <w:p>
      <w:pPr>
        <w:pStyle w:val="Normal"/>
        <w:bidi w:val="0"/>
        <w:spacing w:before="0" w:after="0"/>
        <w:jc w:val="left"/>
        <w:rPr>
          <w:sz w:val="4"/>
          <w:szCs w:val="4"/>
        </w:rPr>
      </w:pPr>
      <w:r>
        <w:rPr>
          <w:sz w:val="4"/>
          <w:szCs w:val="4"/>
        </w:rPr>
      </w:r>
      <w:bookmarkStart w:id="42" w:name="d28850dexfilingfees.htm"/>
      <w:bookmarkStart w:id="43" w:name="ksd28850dexfilingfees"/>
      <w:bookmarkStart w:id="44" w:name="d28850dexfilingfees.htm"/>
      <w:bookmarkStart w:id="45" w:name="ksd28850dexfilingfees"/>
      <w:bookmarkEnd w:id="44"/>
      <w:bookmarkEnd w:id="45"/>
      <w:r>
        <w:br w:type="page"/>
      </w:r>
    </w:p>
    <w:tbl>
      <w:tblPr>
        <w:tblW w:w="3551" w:type="dxa"/>
        <w:jc w:val="left"/>
        <w:tblInd w:w="0" w:type="dxa"/>
        <w:tblLayout w:type="fixed"/>
        <w:tblCellMar>
          <w:top w:w="28" w:type="dxa"/>
          <w:left w:w="28" w:type="dxa"/>
          <w:bottom w:w="28" w:type="dxa"/>
          <w:right w:w="28" w:type="dxa"/>
        </w:tblCellMar>
      </w:tblPr>
      <w:tblGrid>
        <w:gridCol w:w="3397"/>
        <w:gridCol w:w="154"/>
      </w:tblGrid>
      <w:tr>
        <w:trPr/>
        <w:tc>
          <w:tcPr>
            <w:tcW w:w="355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97"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397" w:type="dxa"/>
            <w:tcBorders/>
            <w:vAlign w:val="center"/>
          </w:tcPr>
          <w:p>
            <w:pPr>
              <w:pStyle w:val="TableContents"/>
              <w:bidi w:val="0"/>
              <w:spacing w:before="0" w:after="283"/>
              <w:jc w:val="left"/>
              <w:rPr>
                <w:b/>
              </w:rPr>
            </w:pPr>
            <w:r>
              <w:rPr>
                <w:b/>
              </w:rPr>
              <w:t xml:space="preserve">Invivyd,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854" w:type="dxa"/>
        <w:jc w:val="left"/>
        <w:tblInd w:w="0" w:type="dxa"/>
        <w:tblLayout w:type="fixed"/>
        <w:tblCellMar>
          <w:top w:w="28" w:type="dxa"/>
          <w:left w:w="28" w:type="dxa"/>
          <w:bottom w:w="28" w:type="dxa"/>
          <w:right w:w="28" w:type="dxa"/>
        </w:tblCellMar>
      </w:tblPr>
      <w:tblGrid>
        <w:gridCol w:w="1126"/>
        <w:gridCol w:w="226"/>
        <w:gridCol w:w="12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8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Preferred Stock, $0.0001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99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99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99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$ 52,620,945.20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$ 7,266.95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8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333-267643 </w:t>
            </w:r>
          </w:p>
        </w:tc>
        <w:tc>
          <w:tcPr>
            <w:tcW w:w="1021" w:type="dxa"/>
            <w:tcBorders/>
            <w:shd w:fill="E7E7E2" w:val="clear"/>
            <w:vAlign w:val="center"/>
          </w:tcPr>
          <w:p>
            <w:pPr>
              <w:pStyle w:val="TableContents"/>
              <w:bidi w:val="0"/>
              <w:spacing w:before="0" w:after="283"/>
              <w:jc w:val="center"/>
              <w:rPr/>
            </w:pPr>
            <w:r>
              <w:rPr/>
              <w:t xml:space="preserve">10/05/2022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Preferred Stock, $0.0001 par value per share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333-267643 </w:t>
            </w:r>
          </w:p>
        </w:tc>
        <w:tc>
          <w:tcPr>
            <w:tcW w:w="1021" w:type="dxa"/>
            <w:tcBorders/>
            <w:shd w:fill="E7E7E2" w:val="clear"/>
            <w:vAlign w:val="center"/>
          </w:tcPr>
          <w:p>
            <w:pPr>
              <w:pStyle w:val="TableContents"/>
              <w:bidi w:val="0"/>
              <w:spacing w:before="0" w:after="283"/>
              <w:jc w:val="center"/>
              <w:rPr/>
            </w:pPr>
            <w:r>
              <w:rPr/>
              <w:t xml:space="preserve">10/05/2022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99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333-267643 </w:t>
            </w:r>
          </w:p>
        </w:tc>
        <w:tc>
          <w:tcPr>
            <w:tcW w:w="1021" w:type="dxa"/>
            <w:tcBorders/>
            <w:shd w:fill="E7E7E2" w:val="clear"/>
            <w:vAlign w:val="center"/>
          </w:tcPr>
          <w:p>
            <w:pPr>
              <w:pStyle w:val="TableContents"/>
              <w:bidi w:val="0"/>
              <w:spacing w:before="0" w:after="283"/>
              <w:jc w:val="center"/>
              <w:rPr/>
            </w:pPr>
            <w:r>
              <w:rPr/>
              <w:t xml:space="preserve">10/05/2022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99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333-267643 </w:t>
            </w:r>
          </w:p>
        </w:tc>
        <w:tc>
          <w:tcPr>
            <w:tcW w:w="1021" w:type="dxa"/>
            <w:tcBorders/>
            <w:shd w:fill="E7E7E2" w:val="clear"/>
            <w:vAlign w:val="center"/>
          </w:tcPr>
          <w:p>
            <w:pPr>
              <w:pStyle w:val="TableContents"/>
              <w:bidi w:val="0"/>
              <w:spacing w:before="0" w:after="283"/>
              <w:jc w:val="center"/>
              <w:rPr/>
            </w:pPr>
            <w:r>
              <w:rPr/>
              <w:t xml:space="preserve">10/05/2022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99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333-267643 </w:t>
            </w:r>
          </w:p>
        </w:tc>
        <w:tc>
          <w:tcPr>
            <w:tcW w:w="1021" w:type="dxa"/>
            <w:tcBorders/>
            <w:shd w:fill="E7E7E2" w:val="clear"/>
            <w:vAlign w:val="center"/>
          </w:tcPr>
          <w:p>
            <w:pPr>
              <w:pStyle w:val="TableContents"/>
              <w:bidi w:val="0"/>
              <w:spacing w:before="0" w:after="283"/>
              <w:jc w:val="center"/>
              <w:rPr/>
            </w:pPr>
            <w:r>
              <w:rPr/>
              <w:t xml:space="preserve">10/05/2022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center"/>
              <w:rPr/>
            </w:pPr>
            <w:r>
              <w:rPr/>
              <w:t xml:space="preserve">2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$ 297,379,054.80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333-267643 </w:t>
            </w:r>
          </w:p>
        </w:tc>
        <w:tc>
          <w:tcPr>
            <w:tcW w:w="1021" w:type="dxa"/>
            <w:tcBorders/>
            <w:shd w:fill="E7E7E2" w:val="clear"/>
            <w:vAlign w:val="center"/>
          </w:tcPr>
          <w:p>
            <w:pPr>
              <w:pStyle w:val="TableContents"/>
              <w:bidi w:val="0"/>
              <w:spacing w:before="0" w:after="283"/>
              <w:jc w:val="center"/>
              <w:rPr/>
            </w:pPr>
            <w:r>
              <w:rPr/>
              <w:t xml:space="preserve">10/05/2022 </w:t>
            </w:r>
          </w:p>
        </w:tc>
        <w:tc>
          <w:tcPr>
            <w:tcW w:w="1321" w:type="dxa"/>
            <w:tcBorders/>
            <w:shd w:fill="E7E7E2" w:val="clear"/>
            <w:vAlign w:val="center"/>
          </w:tcPr>
          <w:p>
            <w:pPr>
              <w:pStyle w:val="TableContents"/>
              <w:bidi w:val="0"/>
              <w:spacing w:before="0" w:after="283"/>
              <w:jc w:val="right"/>
              <w:rPr/>
            </w:pPr>
            <w:r>
              <w:rPr/>
              <w:t xml:space="preserve">$ 27,567.03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46" w:name="MaxAggtOfferingPrice"/>
            <w:bookmarkEnd w:id="46"/>
            <w:r>
              <w:rPr/>
              <w:t xml:space="preserve">$ 350,000,000.00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7" w:name="TotalFeeAmt"/>
            <w:bookmarkEnd w:id="47"/>
            <w:r>
              <w:rPr/>
              <w:t xml:space="preserve">$ 7,266.95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8" w:name="TotalPreviouslyPaidAmt"/>
            <w:bookmarkEnd w:id="4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9" w:name="TotalOffsetAmt"/>
            <w:bookmarkEnd w:id="4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0" w:name="NetFeeAmt"/>
            <w:bookmarkEnd w:id="50"/>
            <w:r>
              <w:rPr/>
              <w:t xml:space="preserve">$ 7,266.95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7"/>
        <w:gridCol w:w="1299"/>
        <w:gridCol w:w="8709"/>
      </w:tblGrid>
      <w:tr>
        <w:trPr/>
        <w:tc>
          <w:tcPr>
            <w:tcW w:w="19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8" w:type="dxa"/>
            <w:gridSpan w:val="2"/>
            <w:tcBorders/>
            <w:vAlign w:val="center"/>
          </w:tcPr>
          <w:p>
            <w:pPr>
              <w:pStyle w:val="TableContents"/>
              <w:bidi w:val="0"/>
              <w:spacing w:before="0" w:after="283"/>
              <w:jc w:val="left"/>
              <w:rPr/>
            </w:pPr>
            <w:r>
              <w:rPr/>
              <w:t xml:space="preserve">(1) Invivyd, Inc. (the "Registrant") is registering under this registration statement such indeterminate number of shares of common stock and preferred stock, such indeterminate principal amount of debt securities, such indeterminate number of warrants to purchase common stock, preferred stock and/or debt securities, and such indeterminate number of units as may be sold by the Registrant from time to time, which together shall have an aggregate initial offering price not to exceed $350,000,000. If the Registrant issues any debt securities at an original issue discount, then the offering price of such debt securities shall be in such greater principal amount at maturity as shall result in an aggregate offering price not to exceed $350,000,000, less the aggregate dollar amount of all securities previously issued hereunder. The Registrant may sell any securities the Registrant is registering under this registration statement separately or as units with one or more of the other securities the Registrant is registering under this registration statement. The Registrant will determine, from time to time, the proposed maximum offering price per unit in connection with its issuance of the securities the Registrant is registering under this registration statement. The securities the Registrant is registering under this registration statement also include such indeterminate number of shares of common stock and preferred stock and amount of debt securities as the Registrant may issue upon conversion of or exchange for preferred stock or debt securities that provide for conversion or exchange, upon exercise of warrants or pursuant to the antidilution provisions of any of such securities. In addition, pursuant to Rule 416 under the Securities Act of 1933, as amended (the "Securities Act"), the shares the Registrant is registering under this registration statement include such indeterminate number of shares of common stock and preferred stock as may be issuable with respect to the shares the Registrant is registering as a result of stock splits, stock dividends or similar transactions. (2) The proposed maximum offering price per security will be determined from time to time by the Registrant in connection with the issuance by the Registrant of the securities registered hereunder and is not specified as to each class of security pursuant to Instruction 2.A.iii.b of the Instructions to the Calculation of Filing Fee Tables and Related Disclosure of Form S-3. (3) Calculated pursuant to Rule 457(o) under the Securities Act based on the proposed maximum aggregate offering price of all securities listed. (4) Pursuant to Rule 415(a)(6) under the Securities Act, securities with a maximum aggregate price of $297,379,054.80 registered hereunder are unsold securities (the "Unsold Securities") previously covered by the Registrant's registration statement on Form S-3 (File No. 333-267643), which became effective on October 5, 2022 (the "Prior Registration Statement"), and are included in this registration statement. The Registrant paid a filing fee of $27,567.03 (calculated at the filing fee rate in effect at the time of the filing of the Prior Registration Statement) relating to the Unsold Securities under the Prior Registration Statement, and no additional filing fee is due with respect to the Unsold Securities in connection with the filing of this registration statement. During the grace period afforded by Rule 415(a)(5) under the Securities Act, the Registrant may continue to offer and sell under the Prior Registration Statement the Unsold Securities being registered hereunder. To the extent that, after the filing date hereof and prior to the effectiveness of this registration statement, the Registrant sells any Unsold Securities under the Prior Registration Statement, the Registrant will identify in a pre-effective amendment to this registration statement the updated number of Unsold Securities from the Prior Registration Statement to be included in this registration statement pursuant to Rule 415(a)(6) and the updated amount of new securities to be registered on this registration statement. Pursuant to Rule 415(a)(6) under the Securities Act, the offering of Unsold Securities under the Prior Registration Statement will be deemed terminated as of the date of effectiveness of this registration statement.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7"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8" w:type="dxa"/>
            <w:gridSpan w:val="2"/>
            <w:tcBorders/>
            <w:vAlign w:val="center"/>
          </w:tcPr>
          <w:p>
            <w:pPr>
              <w:pStyle w:val="TableContents"/>
              <w:bidi w:val="0"/>
              <w:spacing w:before="0" w:after="283"/>
              <w:jc w:val="left"/>
              <w:rPr/>
            </w:pPr>
            <w:r>
              <w:rPr/>
              <w:t xml:space="preserve">(1) Invivyd, Inc. (the "Registrant") is registering under this registration statement such indeterminate number of shares of common stock and preferred stock, such indeterminate principal amount of debt securities, such indeterminate number of warrants to purchase common stock, preferred stock and/or debt securities, and such indeterminate number of units as may be sold by the Registrant from time to time, which together shall have an aggregate initial offering price not to exceed $350,000,000. If the Registrant issues any debt securities at an original issue discount, then the offering price of such debt securities shall be in such greater principal amount at maturity as shall result in an aggregate offering price not to exceed $350,000,000, less the aggregate dollar amount of all securities previously issued hereunder. The Registrant may sell any securities the Registrant is registering under this registration statement separately or as units with one or more of the other securities the Registrant is registering under this registration statement. The Registrant will determine, from time to time, the proposed maximum offering price per unit in connection with its issuance of the securities the Registrant is registering under this registration statement. The securities the Registrant is registering under this registration statement also include such indeterminate number of shares of common stock and preferred stock and amount of debt securities as the Registrant may issue upon conversion of or exchange for preferred stock or debt securities that provide for conversion or exchange, upon exercise of warrants or pursuant to the antidilution provisions of any of such securities. In addition, pursuant to Rule 416 under the Securities Act of 1933, as amended (the "Securities Act"), the shares the Registrant is registering under this registration statement include such indeterminate number of shares of common stock and preferred stock as may be issuable with respect to the shares the Registrant is registering as a result of stock splits, stock dividends or similar transactions. (2) The proposed maximum offering price per security will be determined from time to time by the Registrant in connection with the issuance by the Registrant of the securities registered hereunder and is not specified as to each class of security pursuant to Instruction 2.A.iii.b of the Instructions to the Calculation of Filing Fee Tables and Related Disclosure of Form S-3. (3) Calculated pursuant to Rule 457(o) under the Securities Act based on the proposed maximum aggregate offering price of all securities listed. (4) Pursuant to Rule 415(a)(6) under the Securities Act, securities with a maximum aggregate price of $297,379,054.80 registered hereunder are unsold securities (the "Unsold Securities") previously covered by the Registrant's registration statement on Form S-3 (File No. 333-267643), which became effective on October 5, 2022 (the "Prior Registration Statement"), and are included in this registration statement. The Registrant paid a filing fee of $27,567.03 (calculated at the filing fee rate in effect at the time of the filing of the Prior Registration Statement) relating to the Unsold Securities under the Prior Registration Statement, and no additional filing fee is due with respect to the Unsold Securities in connection with the filing of this registration statement. During the grace period afforded by Rule 415(a)(5) under the Securities Act, the Registrant may continue to offer and sell under the Prior Registration Statement the Unsold Securities being registered hereunder. To the extent that, after the filing date hereof and prior to the effectiveness of this registration statement, the Registrant sells any Unsold Securities under the Prior Registration Statement, the Registrant will identify in a pre-effective amendment to this registration statement the updated number of Unsold Securities from the Prior Registration Statement to be included in this registration statement pursuant to Rule 415(a)(6) and the updated amount of new securities to be registered on this registration statement. Pursuant to Rule 415(a)(6) under the Securities Act, the offering of Unsold Securities under the Prior Registration Statement will be deemed terminated as of the date of effectiveness of this registration statement.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410"/>
        <w:gridCol w:w="1079"/>
        <w:gridCol w:w="1191"/>
        <w:gridCol w:w="1884"/>
        <w:gridCol w:w="2468"/>
        <w:gridCol w:w="809"/>
        <w:gridCol w:w="1063"/>
        <w:gridCol w:w="1301"/>
      </w:tblGrid>
      <w:tr>
        <w:trPr/>
        <w:tc>
          <w:tcPr>
            <w:tcW w:w="410" w:type="dxa"/>
            <w:tcBorders/>
            <w:shd w:fill="9ADAF6" w:val="clear"/>
            <w:vAlign w:val="center"/>
          </w:tcPr>
          <w:p>
            <w:pPr>
              <w:pStyle w:val="TableHeading"/>
              <w:bidi w:val="0"/>
              <w:spacing w:before="0" w:after="283"/>
              <w:rPr>
                <w:sz w:val="4"/>
                <w:szCs w:val="4"/>
              </w:rPr>
            </w:pPr>
            <w:r>
              <w:rPr>
                <w:sz w:val="4"/>
                <w:szCs w:val="4"/>
              </w:rPr>
            </w:r>
          </w:p>
        </w:tc>
        <w:tc>
          <w:tcPr>
            <w:tcW w:w="107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88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468"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09"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6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01"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410" w:type="dxa"/>
            <w:tcBorders/>
            <w:shd w:fill="E7E7E2" w:val="clear"/>
            <w:vAlign w:val="center"/>
          </w:tcPr>
          <w:p>
            <w:pPr>
              <w:pStyle w:val="TableContents"/>
              <w:bidi w:val="0"/>
              <w:spacing w:before="0" w:after="283"/>
              <w:jc w:val="center"/>
              <w:rPr/>
            </w:pPr>
            <w:r>
              <w:rPr/>
              <w:t xml:space="preserve">N/A </w:t>
            </w:r>
          </w:p>
        </w:tc>
        <w:tc>
          <w:tcPr>
            <w:tcW w:w="1079" w:type="dxa"/>
            <w:tcBorders/>
            <w:shd w:fill="E7E7E2" w:val="clear"/>
            <w:vAlign w:val="center"/>
          </w:tcPr>
          <w:p>
            <w:pPr>
              <w:pStyle w:val="TableContents"/>
              <w:bidi w:val="0"/>
              <w:spacing w:before="0" w:after="283"/>
              <w:jc w:val="left"/>
              <w:rPr/>
            </w:pPr>
            <w:r>
              <w:rPr/>
              <w:t xml:space="preserve">N/A </w:t>
            </w:r>
          </w:p>
        </w:tc>
        <w:tc>
          <w:tcPr>
            <w:tcW w:w="1191" w:type="dxa"/>
            <w:tcBorders/>
            <w:shd w:fill="E7E7E2" w:val="clear"/>
            <w:vAlign w:val="center"/>
          </w:tcPr>
          <w:p>
            <w:pPr>
              <w:pStyle w:val="TableContents"/>
              <w:bidi w:val="0"/>
              <w:spacing w:before="0" w:after="283"/>
              <w:jc w:val="left"/>
              <w:rPr/>
            </w:pPr>
            <w:r>
              <w:rPr/>
              <w:t xml:space="preserve">N/A </w:t>
            </w:r>
          </w:p>
        </w:tc>
        <w:tc>
          <w:tcPr>
            <w:tcW w:w="1884" w:type="dxa"/>
            <w:tcBorders/>
            <w:shd w:fill="E7E7E2" w:val="clear"/>
            <w:vAlign w:val="center"/>
          </w:tcPr>
          <w:p>
            <w:pPr>
              <w:pStyle w:val="TableContents"/>
              <w:bidi w:val="0"/>
              <w:spacing w:before="0" w:after="283"/>
              <w:jc w:val="right"/>
              <w:rPr/>
            </w:pPr>
            <w:r>
              <w:rPr/>
              <w:t xml:space="preserve">N/A </w:t>
            </w:r>
          </w:p>
        </w:tc>
        <w:tc>
          <w:tcPr>
            <w:tcW w:w="2468" w:type="dxa"/>
            <w:tcBorders/>
            <w:shd w:fill="E7E7E2" w:val="clear"/>
            <w:vAlign w:val="center"/>
          </w:tcPr>
          <w:p>
            <w:pPr>
              <w:pStyle w:val="TableContents"/>
              <w:bidi w:val="0"/>
              <w:spacing w:before="0" w:after="283"/>
              <w:jc w:val="right"/>
              <w:rPr/>
            </w:pPr>
            <w:r>
              <w:rPr/>
              <w:t xml:space="preserve">N/A </w:t>
            </w:r>
          </w:p>
        </w:tc>
        <w:tc>
          <w:tcPr>
            <w:tcW w:w="809" w:type="dxa"/>
            <w:tcBorders/>
            <w:shd w:fill="E7E7E2" w:val="clear"/>
            <w:vAlign w:val="center"/>
          </w:tcPr>
          <w:p>
            <w:pPr>
              <w:pStyle w:val="TableContents"/>
              <w:bidi w:val="0"/>
              <w:spacing w:before="0" w:after="283"/>
              <w:jc w:val="center"/>
              <w:rPr/>
            </w:pPr>
            <w:r>
              <w:rPr/>
              <w:t xml:space="preserve">N/A </w:t>
            </w:r>
          </w:p>
        </w:tc>
        <w:tc>
          <w:tcPr>
            <w:tcW w:w="1063" w:type="dxa"/>
            <w:tcBorders/>
            <w:shd w:fill="E7E7E2" w:val="clear"/>
            <w:vAlign w:val="center"/>
          </w:tcPr>
          <w:p>
            <w:pPr>
              <w:pStyle w:val="TableContents"/>
              <w:bidi w:val="0"/>
              <w:spacing w:before="0" w:after="283"/>
              <w:jc w:val="center"/>
              <w:rPr/>
            </w:pPr>
            <w:r>
              <w:rPr/>
              <w:t xml:space="preserve">N/A </w:t>
            </w:r>
          </w:p>
        </w:tc>
        <w:tc>
          <w:tcPr>
            <w:tcW w:w="1301" w:type="dxa"/>
            <w:tcBorders/>
            <w:shd w:fill="E7E7E2" w:val="clear"/>
            <w:vAlign w:val="center"/>
          </w:tcPr>
          <w:p>
            <w:pPr>
              <w:pStyle w:val="TableContents"/>
              <w:bidi w:val="0"/>
              <w:spacing w:before="0" w:after="283"/>
              <w:jc w:val="center"/>
              <w:rPr/>
            </w:pPr>
            <w:r>
              <w:rPr/>
              <w:t xml:space="preserve">N/A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32038/000095017025042332/ivvd-20241231.htm" TargetMode="External"/><Relationship Id="rId4" Type="http://schemas.openxmlformats.org/officeDocument/2006/relationships/hyperlink" Target="http://www.sec.gov/Archives/edgar/data/../../../ix?doc=/Archives/edgar/data/1832038/000095017025051587/ivvd-20250407.htm" TargetMode="External"/><Relationship Id="rId5" Type="http://schemas.openxmlformats.org/officeDocument/2006/relationships/hyperlink" Target="http://www.sec.gov/Archives/edgar/data/../../../ix?doc=/Archives/edgar/data/1832038/000095017025071974/ivvd-20250331.htm" TargetMode="External"/><Relationship Id="rId6" Type="http://schemas.openxmlformats.org/officeDocument/2006/relationships/hyperlink" Target="http://www.sec.gov/Archives/edgar/data/../../../ix?doc=/Archives/edgar/data/0001832038/000095017025109029/ivvd-20250630.htm" TargetMode="External"/><Relationship Id="rId7" Type="http://schemas.openxmlformats.org/officeDocument/2006/relationships/hyperlink" Target="http://www.sec.gov/Archives/edgar/data/../../../ix?doc=/Archives/edgar/data/1832038/000095017025003781/ivvd-20250110.htm" TargetMode="External"/><Relationship Id="rId8" Type="http://schemas.openxmlformats.org/officeDocument/2006/relationships/hyperlink" Target="http://www.sec.gov/Archives/edgar/data/../../../ix?doc=/Archives/edgar/data/1832038/000095017025008995/ivvd-20250127.htm" TargetMode="External"/><Relationship Id="rId9" Type="http://schemas.openxmlformats.org/officeDocument/2006/relationships/hyperlink" Target="http://www.sec.gov/Archives/edgar/data/../../../ix?doc=/Archives/edgar/data/1832038/000095017025012018/ivvd-20250203.htm" TargetMode="External"/><Relationship Id="rId10" Type="http://schemas.openxmlformats.org/officeDocument/2006/relationships/hyperlink" Target="http://www.sec.gov/Archives/edgar/data/../../../ix?doc=/Archives/edgar/data/1832038/000095017025025227/ivvd-20250221.htm" TargetMode="External"/><Relationship Id="rId11" Type="http://schemas.openxmlformats.org/officeDocument/2006/relationships/hyperlink" Target="http://www.sec.gov/Archives/edgar/data/../../../ix?doc=/Archives/edgar/data/1832038/000095017025033068/ivvd-20250305.htm" TargetMode="External"/><Relationship Id="rId12" Type="http://schemas.openxmlformats.org/officeDocument/2006/relationships/hyperlink" Target="http://www.sec.gov/Archives/edgar/data/../../../ix?doc=/Archives/edgar/data/1832038/000095017025045302/ivvd-20250322.htm" TargetMode="External"/><Relationship Id="rId13" Type="http://schemas.openxmlformats.org/officeDocument/2006/relationships/hyperlink" Target="http://www.sec.gov/Archives/edgar/data/../../../ix?doc=/Archives/edgar/data/1832038/000095017025056005/ivvd-20250418.htm" TargetMode="External"/><Relationship Id="rId14" Type="http://schemas.openxmlformats.org/officeDocument/2006/relationships/hyperlink" Target="http://www.sec.gov/Archives/edgar/data/../../../ix?doc=/Archives/edgar/data/1832038/000095017025058705/ivvd-20250421.htm" TargetMode="External"/><Relationship Id="rId15" Type="http://schemas.openxmlformats.org/officeDocument/2006/relationships/hyperlink" Target="http://www.sec.gov/Archives/edgar/data/../../../ix?doc=/Archives/edgar/data/1832038/000095017025068543/ivvd-20250512.htm" TargetMode="External"/><Relationship Id="rId16" Type="http://schemas.openxmlformats.org/officeDocument/2006/relationships/hyperlink" Target="http://www.sec.gov/Archives/edgar/data/../../../ix?doc=/Archives/edgar/data/1832038/000119312525120261/d66861d8k.htm" TargetMode="External"/><Relationship Id="rId17" Type="http://schemas.openxmlformats.org/officeDocument/2006/relationships/hyperlink" Target="http://www.sec.gov/Archives/edgar/data/../../../ix?doc=/Archives/edgar/data/1832038/000095017025075199/ivvd-20250520.htm" TargetMode="External"/><Relationship Id="rId18" Type="http://schemas.openxmlformats.org/officeDocument/2006/relationships/hyperlink" Target="http://www.sec.gov/Archives/edgar/data/../../../ix?doc=/Archives/edgar/data/1832038/000095017025090172/ivvd-20250626.htm" TargetMode="External"/><Relationship Id="rId19" Type="http://schemas.openxmlformats.org/officeDocument/2006/relationships/hyperlink" Target="http://www.sec.gov/Archives/edgar/data/../../../ix?doc=/Archives/edgar/data/1832038/000095017025092528/ivvd-20250702.htm" TargetMode="External"/><Relationship Id="rId20" Type="http://schemas.openxmlformats.org/officeDocument/2006/relationships/hyperlink" Target="http://www.sec.gov/Archives/edgar/data/../../../ix?doc=/Archives/edgar/data/0001832038/000119312525180890/d936404d8k.htm" TargetMode="External"/><Relationship Id="rId21" Type="http://schemas.openxmlformats.org/officeDocument/2006/relationships/hyperlink" Target="http://www.sec.gov/Archives/edgar/data/../../../ix?doc=/Archives/edgar/data/0001832038/000095017025110952/ivvd-20250820.htm" TargetMode="External"/><Relationship Id="rId22" Type="http://schemas.openxmlformats.org/officeDocument/2006/relationships/hyperlink" Target="http://www.sec.gov/Archives/edgar/data/../../../ix?doc=/Archives/edgar/data/1832038/000119312525215541/ivvd-20250922.htm" TargetMode="External"/><Relationship Id="rId23" Type="http://schemas.openxmlformats.org/officeDocument/2006/relationships/hyperlink" Target="http://www.sec.gov/Archives/edgar/data/1832038/000119312521233921/d109461d8a12b.htm" TargetMode="External"/><Relationship Id="rId24" Type="http://schemas.openxmlformats.org/officeDocument/2006/relationships/hyperlink" Target="http://www.sec.gov/Archives/edgar/data/1832038/000095017024037610/ivvd-ex4_2.htm" TargetMode="External"/><Relationship Id="rId25" Type="http://schemas.openxmlformats.org/officeDocument/2006/relationships/image" Target="media/image2.jpeg"/><Relationship Id="rId26" Type="http://schemas.openxmlformats.org/officeDocument/2006/relationships/image" Target="media/image1.jpeg"/><Relationship Id="rId27" Type="http://schemas.openxmlformats.org/officeDocument/2006/relationships/image" Target="media/image3.jpeg"/><Relationship Id="rId28" Type="http://schemas.openxmlformats.org/officeDocument/2006/relationships/hyperlink" Target="http://www.sec.gov/Archives/edgar/data/../../../ix?doc=/Archives/edgar/data/1832038/000095017025042332/ivvd-20241231.htm" TargetMode="External"/><Relationship Id="rId29" Type="http://schemas.openxmlformats.org/officeDocument/2006/relationships/hyperlink" Target="http://www.sec.gov/Archives/edgar/data/../../../ix?doc=/Archives/edgar/data/1832038/000095017025051587/ivvd-20250407.htm" TargetMode="External"/><Relationship Id="rId30" Type="http://schemas.openxmlformats.org/officeDocument/2006/relationships/hyperlink" Target="http://www.sec.gov/Archives/edgar/data/../../../ix?doc=/Archives/edgar/data/1832038/000095017025071974/ivvd-20250331.htm" TargetMode="External"/><Relationship Id="rId31" Type="http://schemas.openxmlformats.org/officeDocument/2006/relationships/hyperlink" Target="http://www.sec.gov/Archives/edgar/data/../../../ix?doc=/Archives/edgar/data/0001832038/000095017025109029/ivvd-20250630.htm" TargetMode="External"/><Relationship Id="rId32" Type="http://schemas.openxmlformats.org/officeDocument/2006/relationships/hyperlink" Target="http://www.sec.gov/Archives/edgar/data/../../../ix?doc=/Archives/edgar/data/1832038/000095017025003781/ivvd-20250110.htm" TargetMode="External"/><Relationship Id="rId33" Type="http://schemas.openxmlformats.org/officeDocument/2006/relationships/hyperlink" Target="http://www.sec.gov/Archives/edgar/data/../../../ix?doc=/Archives/edgar/data/1832038/000095017025008995/ivvd-20250127.htm" TargetMode="External"/><Relationship Id="rId34" Type="http://schemas.openxmlformats.org/officeDocument/2006/relationships/hyperlink" Target="http://www.sec.gov/Archives/edgar/data/../../../ix?doc=/Archives/edgar/data/1832038/000095017025012018/ivvd-20250203.htm" TargetMode="External"/><Relationship Id="rId35" Type="http://schemas.openxmlformats.org/officeDocument/2006/relationships/hyperlink" Target="http://www.sec.gov/Archives/edgar/data/../../../ix?doc=/Archives/edgar/data/1832038/000095017025025227/ivvd-20250221.htm" TargetMode="External"/><Relationship Id="rId36" Type="http://schemas.openxmlformats.org/officeDocument/2006/relationships/hyperlink" Target="http://www.sec.gov/Archives/edgar/data/../../../ix?doc=/Archives/edgar/data/1832038/000095017025033068/ivvd-20250305.htm" TargetMode="External"/><Relationship Id="rId37" Type="http://schemas.openxmlformats.org/officeDocument/2006/relationships/hyperlink" Target="http://www.sec.gov/Archives/edgar/data/../../../ix?doc=/Archives/edgar/data/1832038/000095017025045302/ivvd-20250322.htm" TargetMode="External"/><Relationship Id="rId38" Type="http://schemas.openxmlformats.org/officeDocument/2006/relationships/hyperlink" Target="http://www.sec.gov/Archives/edgar/data/../../../ix?doc=/Archives/edgar/data/1832038/000095017025056005/ivvd-20250418.htm" TargetMode="External"/><Relationship Id="rId39" Type="http://schemas.openxmlformats.org/officeDocument/2006/relationships/hyperlink" Target="http://www.sec.gov/Archives/edgar/data/../../../ix?doc=/Archives/edgar/data/1832038/000095017025058705/ivvd-20250421.htm" TargetMode="External"/><Relationship Id="rId40" Type="http://schemas.openxmlformats.org/officeDocument/2006/relationships/hyperlink" Target="http://www.sec.gov/Archives/edgar/data/../../../ix?doc=/Archives/edgar/data/1832038/000095017025068543/ivvd-20250512.htm" TargetMode="External"/><Relationship Id="rId41" Type="http://schemas.openxmlformats.org/officeDocument/2006/relationships/hyperlink" Target="http://www.sec.gov/Archives/edgar/data/../../../ix?doc=/Archives/edgar/data/1832038/000119312525120261/d66861d8k.htm" TargetMode="External"/><Relationship Id="rId42" Type="http://schemas.openxmlformats.org/officeDocument/2006/relationships/hyperlink" Target="http://www.sec.gov/Archives/edgar/data/../../../ix?doc=/Archives/edgar/data/1832038/000095017025075199/ivvd-20250520.htm" TargetMode="External"/><Relationship Id="rId43" Type="http://schemas.openxmlformats.org/officeDocument/2006/relationships/hyperlink" Target="http://www.sec.gov/Archives/edgar/data/../../../ix?doc=/Archives/edgar/data/1832038/000095017025090172/ivvd-20250626.htm" TargetMode="External"/><Relationship Id="rId44" Type="http://schemas.openxmlformats.org/officeDocument/2006/relationships/hyperlink" Target="http://www.sec.gov/Archives/edgar/data/../../../ix?doc=/Archives/edgar/data/1832038/000095017025092528/ivvd-20250702.htm" TargetMode="External"/><Relationship Id="rId45" Type="http://schemas.openxmlformats.org/officeDocument/2006/relationships/hyperlink" Target="http://www.sec.gov/Archives/edgar/data/../../../ix?doc=/Archives/edgar/data/0001832038/000119312525180890/d936404d8k.htm" TargetMode="External"/><Relationship Id="rId46" Type="http://schemas.openxmlformats.org/officeDocument/2006/relationships/hyperlink" Target="http://www.sec.gov/Archives/edgar/data/../../../ix?doc=/Archives/edgar/data/0001832038/000095017025110952/ivvd-20250820.htm" TargetMode="External"/><Relationship Id="rId47" Type="http://schemas.openxmlformats.org/officeDocument/2006/relationships/hyperlink" Target="http://www.sec.gov/Archives/edgar/data/../../../ix?doc=/Archives/edgar/data/1832038/000119312525215541/ivvd-20250922.htm" TargetMode="External"/><Relationship Id="rId48" Type="http://schemas.openxmlformats.org/officeDocument/2006/relationships/hyperlink" Target="http://www.sec.gov/Archives/edgar/data/1832038/000119312521233921/d109461d8a12b.htm" TargetMode="External"/><Relationship Id="rId49" Type="http://schemas.openxmlformats.org/officeDocument/2006/relationships/hyperlink" Target="http://www.sec.gov/Archives/edgar/data/1832038/000095017024037610/ivvd-ex4_2.htm" TargetMode="External"/><Relationship Id="rId50" Type="http://schemas.openxmlformats.org/officeDocument/2006/relationships/image" Target="media/image1.jpeg"/><Relationship Id="rId51" Type="http://schemas.openxmlformats.org/officeDocument/2006/relationships/image" Target="media/image3.jpeg"/><Relationship Id="rId52" Type="http://schemas.openxmlformats.org/officeDocument/2006/relationships/hyperlink" Target="http://www.sec.gov/Archives/edgar/data/0001832038/000119312521242044/d211424dex31.htm" TargetMode="External"/><Relationship Id="rId53" Type="http://schemas.openxmlformats.org/officeDocument/2006/relationships/hyperlink" Target="http://www.sec.gov/Archives/edgar/data/1832038/000119312522243285/d388436dex31.htm" TargetMode="External"/><Relationship Id="rId54" Type="http://schemas.openxmlformats.org/officeDocument/2006/relationships/hyperlink" Target="http://www.sec.gov/Archives/edgar/data/1832038/000119312523154233/d473409dex31.htm" TargetMode="External"/><Relationship Id="rId55" Type="http://schemas.openxmlformats.org/officeDocument/2006/relationships/hyperlink" Target="http://www.sec.gov/Archives/edgar/data/1832038/000119312522243285/d388436dex32.htm" TargetMode="External"/><Relationship Id="rId56" Type="http://schemas.openxmlformats.org/officeDocument/2006/relationships/hyperlink" Target="http://www.sec.gov/Archives/edgar/data/1832038/000119312523154233/d473409dex32.htm" TargetMode="External"/><Relationship Id="rId57" Type="http://schemas.openxmlformats.org/officeDocument/2006/relationships/hyperlink" Target="http://www.sec.gov/Archives/edgar/data/1832038/000119312522253372/d392092dex33.htm" TargetMode="External"/><Relationship Id="rId58" Type="http://schemas.openxmlformats.org/officeDocument/2006/relationships/hyperlink" Target="http://www.sec.gov/Archives/edgar/data/0001832038/000119312521217506/d549501dex41.htm" TargetMode="External"/><Relationship Id="rId59" Type="http://schemas.openxmlformats.org/officeDocument/2006/relationships/hyperlink" Target="http://www.sec.gov/Archives/edgar/data/1832038/000119312523302195/d547148dex101.htm" TargetMode="External"/><Relationship Id="rId60" Type="http://schemas.openxmlformats.org/officeDocument/2006/relationships/image" Target="media/image4.jpeg"/><Relationship Id="rId61" Type="http://schemas.openxmlformats.org/officeDocument/2006/relationships/image" Target="media/image4.jpeg"/><Relationship Id="rId62" Type="http://schemas.openxmlformats.org/officeDocument/2006/relationships/fontTable" Target="fontTable.xml"/><Relationship Id="rId6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128</Pages>
  <Words>67662</Words>
  <Characters>351092</Characters>
  <CharactersWithSpaces>419765</CharactersWithSpaces>
  <Paragraphs>4021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