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M28 Capital Management LP</w:t>
              <w:br/>
              <w:t xml:space="preserve">700 Canal Street, 1st Floor, </w:t>
              <w:br/>
              <w:t>Stamford, CT, 06902</w:t>
              <w:br/>
              <w:t>203-516-3730</w:t>
            </w:r>
          </w:p>
          <w:p>
            <w:pPr>
              <w:pStyle w:val="TableContents"/>
              <w:bidi w:val="0"/>
              <w:jc w:val="left"/>
              <w:rPr/>
            </w:pPr>
            <w:r>
              <w:rPr/>
            </w:r>
          </w:p>
          <w:p>
            <w:pPr>
              <w:pStyle w:val="TableContents"/>
              <w:bidi w:val="0"/>
              <w:spacing w:before="0" w:after="0"/>
              <w:jc w:val="center"/>
              <w:rPr>
                <w:b/>
                <w:color w:val="0000FF"/>
              </w:rPr>
            </w:pPr>
            <w:r>
              <w:rPr>
                <w:b/>
                <w:color w:val="0000FF"/>
              </w:rPr>
              <w:t>Ele Klein &amp; Adriana Schwartz</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M28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9,248,250.00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9,248,250.00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9,248,250.00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 Elia</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9,248,250.00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9,248,250.00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9,548,250.00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300,000 shares of Common Stock reported in rows (7) and (9) of this cover page are shares of Common Stock underlying director stock options granted to Mr. Elia.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2"/>
        <w:gridCol w:w="8895"/>
        <w:gridCol w:w="158"/>
      </w:tblGrid>
      <w:tr>
        <w:trPr/>
        <w:tc>
          <w:tcPr>
            <w:tcW w:w="1152"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TRAPELO ROAD, SUITE 178, WALTHAM, MASSACHUSETTS , 02451.</w:t>
            </w:r>
          </w:p>
        </w:tc>
        <w:tc>
          <w:tcPr>
            <w:tcW w:w="158"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4 ("Amendment No. 4") to the Schedule 13D filed with the Securities and Exchange Commission on April 1, 2022 (as amended, the "Schedule 13D"). This Amendment No. 4 supplements Items 3 and 6 and amends and restates Items 5(a)-(c), and (e) as set forth below. Capitalized terms used herein and not otherwise defined in this Amendment No. 4 have the meanings set forth in the Schedule 13D. Due solely to a change in the number of outstanding shares of Common Stock of the Issuer, the Reporting Persons no longer beneficially own more than 5% of the Issuer's shares of Common Stock and the Reporting Persons are exiting the reporting system. This Amendment No. 4 is being filed solely as a result of such change. This Amendment No. 4 is the final amendment to the Schedule 13D and constitutes an "exit filing" for the Reporting Persons.</w:t>
            </w:r>
          </w:p>
        </w:tc>
      </w:tr>
      <w:tr>
        <w:trPr/>
        <w:tc>
          <w:tcPr>
            <w:tcW w:w="1152"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The director stock options reported herein were acquired by Mr. Elia for his services rendered to the Issuer as a member of the Issuer's board of directors.</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See rows (11) and (13) of the cover pages to this Schedule 13D for the aggregate number of shares of Common Stock and percentages of the Common Stock beneficially owned by the Reporting Person. The percentages in this Schedule 13D are calculated based upon 209,377,291 shares of Common Stock reported to be outstanding, as disclosed in the Issuer's Prospectus filed pursuant to Rule 424(b)(5) filed with the Securities and Exchange Commission on August 22, 2025 and the Issuer's August 22, 2025 Press Release, after giving effect to the completion of the offering and the exercise in full of the underwriters' overallotment option, as described therein, and assumes the exercise of the director stock options granted to Mr. Elia.</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See rows (7) through (10) of the cover pages to this Schedule 13D for the number of shares of Common Stock as to which the Reporting Persons have the sole or shared power to vote or direct the vote and sole or shared power to dispose or to direct the disposition.</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No transactions in the shares of Common Stock have been effected by the Reporting Persons in the past sixty (60) days.</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August 22, 2025.</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8"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Mr. Elia holds an aggregate of 300,000 unvested and vested director stock options granted in consideration for his service on the board of directors of the Issuer. Mr. Elia is deemed to hold the options for the benefit of M28 Capital and the M28 Funds and Accounts.</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M28 Capital Management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Marc Elia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M28 Capital Management, GP LLC, General Partner, By: Marc Elia,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08/26/2025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2412" w:type="dxa"/>
        <w:jc w:val="left"/>
        <w:tblInd w:w="0" w:type="dxa"/>
        <w:tblLayout w:type="fixed"/>
        <w:tblCellMar>
          <w:top w:w="28" w:type="dxa"/>
          <w:left w:w="28" w:type="dxa"/>
          <w:bottom w:w="28" w:type="dxa"/>
          <w:right w:w="28" w:type="dxa"/>
        </w:tblCellMar>
      </w:tblPr>
      <w:tblGrid>
        <w:gridCol w:w="1206"/>
        <w:gridCol w:w="1206"/>
      </w:tblGrid>
      <w:tr>
        <w:trPr/>
        <w:tc>
          <w:tcPr>
            <w:tcW w:w="1206" w:type="dxa"/>
            <w:tcBorders/>
            <w:vAlign w:val="center"/>
          </w:tcPr>
          <w:p>
            <w:pPr>
              <w:pStyle w:val="TableContents"/>
              <w:bidi w:val="0"/>
              <w:spacing w:before="0" w:after="0"/>
              <w:jc w:val="left"/>
              <w:rPr/>
            </w:pPr>
            <w:r>
              <w:rPr/>
              <w:t> </w:t>
            </w:r>
          </w:p>
          <w:tbl>
            <w:tblPr>
              <w:tblW w:w="1096" w:type="dxa"/>
              <w:jc w:val="left"/>
              <w:tblInd w:w="0" w:type="dxa"/>
              <w:tblLayout w:type="fixed"/>
              <w:tblCellMar>
                <w:top w:w="28" w:type="dxa"/>
                <w:left w:w="28" w:type="dxa"/>
                <w:bottom w:w="28" w:type="dxa"/>
                <w:right w:w="28" w:type="dxa"/>
              </w:tblCellMar>
            </w:tblPr>
            <w:tblGrid>
              <w:gridCol w:w="1096"/>
            </w:tblGrid>
            <w:tr>
              <w:trPr/>
              <w:tc>
                <w:tcPr>
                  <w:tcW w:w="1096" w:type="dxa"/>
                  <w:tcBorders/>
                  <w:vAlign w:val="center"/>
                </w:tcPr>
                <w:p>
                  <w:pPr>
                    <w:pStyle w:val="TableContents"/>
                    <w:bidi w:val="0"/>
                    <w:spacing w:before="0" w:after="0"/>
                    <w:jc w:val="left"/>
                    <w:rPr/>
                  </w:pPr>
                  <w:r>
                    <w:rPr/>
                    <w:t>Marc Elia</w:t>
                  </w:r>
                </w:p>
              </w:tc>
            </w:tr>
          </w:tbl>
          <w:p>
            <w:pPr>
              <w:pStyle w:val="TableContents"/>
              <w:bidi w:val="0"/>
              <w:spacing w:before="0" w:after="283"/>
              <w:jc w:val="left"/>
              <w:rPr/>
            </w:pPr>
            <w:r>
              <w:rPr/>
            </w:r>
          </w:p>
        </w:tc>
        <w:tc>
          <w:tcPr>
            <w:tcW w:w="1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5"/>
        <w:gridCol w:w="4520"/>
      </w:tblGrid>
      <w:tr>
        <w:trPr/>
        <w:tc>
          <w:tcPr>
            <w:tcW w:w="56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Marc Elia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Marc Elia, Individually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08/26/2025</w:t>
                  </w:r>
                </w:p>
              </w:tc>
            </w:tr>
          </w:tbl>
          <w:p>
            <w:pPr>
              <w:pStyle w:val="TableContents"/>
              <w:bidi w:val="0"/>
              <w:spacing w:before="0" w:after="283"/>
              <w:jc w:val="left"/>
              <w:rPr/>
            </w:pPr>
            <w:r>
              <w:rPr/>
            </w:r>
          </w:p>
        </w:tc>
        <w:tc>
          <w:tcPr>
            <w:tcW w:w="45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1061</Words>
  <Characters>5348</Characters>
  <CharactersWithSpaces>6337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