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175895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207645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9" w:lineRule="exact"/>
        <w:rPr>
          <w:sz w:val="24"/>
          <w:szCs w:val="24"/>
          <w:color w:val="auto"/>
        </w:rPr>
      </w:pPr>
    </w:p>
    <w:p>
      <w:pPr>
        <w:ind w:left="3660" w:right="1620" w:hanging="3639"/>
        <w:spacing w:after="0" w:line="360" w:lineRule="auto"/>
        <w:tabs>
          <w:tab w:leader="none" w:pos="48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2022</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4" w:lineRule="exact"/>
        <w:rPr>
          <w:sz w:val="24"/>
          <w:szCs w:val="24"/>
          <w:color w:val="auto"/>
        </w:rPr>
      </w:pPr>
    </w:p>
    <w:p>
      <w:pPr>
        <w:ind w:left="2600" w:right="1600" w:hanging="2579"/>
        <w:spacing w:after="0" w:line="375" w:lineRule="auto"/>
        <w:tabs>
          <w:tab w:leader="none" w:pos="47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___________________ to ___________________</w:t>
      </w:r>
    </w:p>
    <w:p>
      <w:pPr>
        <w:spacing w:after="0" w:line="1" w:lineRule="exact"/>
        <w:rPr>
          <w:rFonts w:ascii="MS PGothic" w:cs="MS PGothic" w:eastAsia="MS PGothic" w:hAnsi="MS PGothic"/>
          <w:sz w:val="18"/>
          <w:szCs w:val="18"/>
          <w:color w:val="auto"/>
          <w:highlight w:val="black"/>
        </w:rPr>
      </w:pP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001-40703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191135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INVIVYD,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175895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673" w:right="339" w:bottom="1440" w:gutter="0" w:footer="0" w:header="0"/>
        </w:sectPr>
      </w:pPr>
    </w:p>
    <w:p>
      <w:pPr>
        <w:spacing w:after="0" w:line="200" w:lineRule="exact"/>
        <w:rPr>
          <w:sz w:val="24"/>
          <w:szCs w:val="24"/>
          <w:color w:val="auto"/>
        </w:rPr>
      </w:pPr>
    </w:p>
    <w:p>
      <w:pPr>
        <w:spacing w:after="0" w:line="285"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1"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p>
      <w:pPr>
        <w:ind w:left="200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5"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85-1403134</w:t>
      </w:r>
    </w:p>
    <w:p>
      <w:pPr>
        <w:spacing w:after="0" w:line="1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69" w:lineRule="exact"/>
        <w:rPr>
          <w:sz w:val="24"/>
          <w:szCs w:val="24"/>
          <w:color w:val="auto"/>
        </w:rPr>
      </w:pPr>
    </w:p>
    <w:p>
      <w:pPr>
        <w:sectPr>
          <w:pgSz w:w="11900" w:h="16838" w:orient="portrait"/>
          <w:cols w:equalWidth="0" w:num="2">
            <w:col w:w="7220" w:space="720"/>
            <w:col w:w="3300"/>
          </w:cols>
          <w:pgMar w:left="320" w:top="673" w:right="339" w:bottom="1440" w:gutter="0" w:footer="0" w:header="0"/>
          <w:type w:val="continuous"/>
        </w:sectPr>
      </w:pPr>
    </w:p>
    <w:tbl>
      <w:tblPr>
        <w:tblLayout w:type="fixed"/>
        <w:tblInd w:w="1700" w:type="dxa"/>
        <w:tblCellMar>
          <w:top w:w="0" w:type="dxa"/>
          <w:left w:w="0" w:type="dxa"/>
          <w:bottom w:w="0" w:type="dxa"/>
          <w:right w:w="0" w:type="dxa"/>
        </w:tblCellMar>
      </w:tblPr>
      <w:tr>
        <w:trPr>
          <w:trHeight w:val="207"/>
        </w:trPr>
        <w:tc>
          <w:tcPr>
            <w:tcW w:w="4340" w:type="dxa"/>
            <w:vAlign w:val="bottom"/>
          </w:tcPr>
          <w:p>
            <w:pPr>
              <w:jc w:val="center"/>
              <w:ind w:right="2019"/>
              <w:spacing w:after="0"/>
              <w:rPr>
                <w:sz w:val="20"/>
                <w:szCs w:val="20"/>
                <w:color w:val="auto"/>
              </w:rPr>
            </w:pPr>
            <w:r>
              <w:rPr>
                <w:rFonts w:ascii="Times New Roman" w:cs="Times New Roman" w:eastAsia="Times New Roman" w:hAnsi="Times New Roman"/>
                <w:sz w:val="18"/>
                <w:szCs w:val="18"/>
                <w:b w:val="1"/>
                <w:bCs w:val="1"/>
                <w:color w:val="auto"/>
                <w:w w:val="98"/>
              </w:rPr>
              <w:t>1601 Trapelo Road, Suite 178</w:t>
            </w:r>
          </w:p>
        </w:tc>
        <w:tc>
          <w:tcPr>
            <w:tcW w:w="2680" w:type="dxa"/>
            <w:vAlign w:val="bottom"/>
          </w:tcPr>
          <w:p>
            <w:pPr>
              <w:spacing w:after="0"/>
              <w:rPr>
                <w:sz w:val="18"/>
                <w:szCs w:val="18"/>
                <w:color w:val="auto"/>
              </w:rPr>
            </w:pPr>
          </w:p>
        </w:tc>
      </w:tr>
      <w:tr>
        <w:trPr>
          <w:trHeight w:val="232"/>
        </w:trPr>
        <w:tc>
          <w:tcPr>
            <w:tcW w:w="4340" w:type="dxa"/>
            <w:vAlign w:val="bottom"/>
          </w:tcPr>
          <w:p>
            <w:pPr>
              <w:jc w:val="center"/>
              <w:ind w:right="2039"/>
              <w:spacing w:after="0"/>
              <w:rPr>
                <w:sz w:val="20"/>
                <w:szCs w:val="20"/>
                <w:color w:val="auto"/>
              </w:rPr>
            </w:pPr>
            <w:r>
              <w:rPr>
                <w:rFonts w:ascii="Times New Roman" w:cs="Times New Roman" w:eastAsia="Times New Roman" w:hAnsi="Times New Roman"/>
                <w:sz w:val="18"/>
                <w:szCs w:val="18"/>
                <w:b w:val="1"/>
                <w:bCs w:val="1"/>
                <w:color w:val="auto"/>
                <w:w w:val="99"/>
              </w:rPr>
              <w:t>Waltham, MA</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66"/>
        </w:trPr>
        <w:tc>
          <w:tcPr>
            <w:tcW w:w="4340" w:type="dxa"/>
            <w:vAlign w:val="bottom"/>
          </w:tcPr>
          <w:p>
            <w:pPr>
              <w:jc w:val="center"/>
              <w:ind w:right="2019"/>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680" w:type="dxa"/>
            <w:vAlign w:val="bottom"/>
          </w:tcPr>
          <w:p>
            <w:pPr>
              <w:jc w:val="center"/>
              <w:ind w:left="2024"/>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819-0080</w:t>
      </w:r>
    </w:p>
    <w:p>
      <w:pPr>
        <w:spacing w:after="0" w:line="2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Adagio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-125095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ind w:left="2960"/>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55"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24"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28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4"/>
                <w:szCs w:val="14"/>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5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$0.0001 par value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IVVD</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Market</w:t>
            </w:r>
          </w:p>
        </w:tc>
        <w:tc>
          <w:tcPr>
            <w:tcW w:w="0" w:type="dxa"/>
            <w:vAlign w:val="bottom"/>
          </w:tcPr>
          <w:p>
            <w:pPr>
              <w:spacing w:after="0"/>
              <w:rPr>
                <w:sz w:val="1"/>
                <w:szCs w:val="1"/>
                <w:color w:val="auto"/>
              </w:rPr>
            </w:pPr>
          </w:p>
        </w:tc>
      </w:tr>
    </w:tbl>
    <w:p>
      <w:pPr>
        <w:spacing w:after="0" w:line="73" w:lineRule="exact"/>
        <w:rPr>
          <w:sz w:val="24"/>
          <w:szCs w:val="24"/>
          <w:color w:val="auto"/>
        </w:rPr>
      </w:pPr>
    </w:p>
    <w:p>
      <w:pPr>
        <w:jc w:val="both"/>
        <w:ind w:firstLine="599"/>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0" w:lineRule="exact"/>
        <w:rPr>
          <w:sz w:val="24"/>
          <w:szCs w:val="24"/>
          <w:color w:val="auto"/>
        </w:rPr>
      </w:pPr>
    </w:p>
    <w:p>
      <w:pPr>
        <w:ind w:right="100" w:firstLine="599"/>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8" w:lineRule="exact"/>
        <w:rPr>
          <w:sz w:val="24"/>
          <w:szCs w:val="24"/>
          <w:color w:val="auto"/>
        </w:rPr>
      </w:pPr>
    </w:p>
    <w:p>
      <w:pPr>
        <w:ind w:right="160" w:firstLine="599"/>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9"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100" w:type="dxa"/>
            <w:vAlign w:val="bottom"/>
          </w:tcPr>
          <w:p>
            <w:pPr>
              <w:ind w:left="1640"/>
              <w:spacing w:after="0" w:line="161" w:lineRule="exact"/>
              <w:rPr>
                <w:sz w:val="20"/>
                <w:szCs w:val="20"/>
                <w:color w:val="auto"/>
              </w:rPr>
            </w:pPr>
            <w:r>
              <w:rPr>
                <w:rFonts w:ascii="MS PGothic" w:cs="MS PGothic" w:eastAsia="MS PGothic" w:hAnsi="MS PGothic"/>
                <w:sz w:val="16"/>
                <w:szCs w:val="16"/>
                <w:color w:val="auto"/>
              </w:rPr>
              <w:t>☐</w:t>
            </w:r>
          </w:p>
        </w:tc>
        <w:tc>
          <w:tcPr>
            <w:tcW w:w="37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Accelerated filer</w:t>
            </w:r>
          </w:p>
        </w:tc>
        <w:tc>
          <w:tcPr>
            <w:tcW w:w="1800" w:type="dxa"/>
            <w:vAlign w:val="bottom"/>
          </w:tcPr>
          <w:p>
            <w:pPr>
              <w:ind w:left="16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45"/>
        </w:trPr>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100" w:type="dxa"/>
            <w:vAlign w:val="bottom"/>
          </w:tcPr>
          <w:p>
            <w:pPr>
              <w:ind w:left="1640"/>
              <w:spacing w:after="0" w:line="161" w:lineRule="exact"/>
              <w:rPr>
                <w:sz w:val="20"/>
                <w:szCs w:val="20"/>
                <w:color w:val="auto"/>
              </w:rPr>
            </w:pPr>
            <w:r>
              <w:rPr>
                <w:rFonts w:ascii="MS PGothic" w:cs="MS PGothic" w:eastAsia="MS PGothic" w:hAnsi="MS PGothic"/>
                <w:sz w:val="16"/>
                <w:szCs w:val="16"/>
                <w:color w:val="auto"/>
              </w:rPr>
              <w:t>☒</w:t>
            </w:r>
          </w:p>
        </w:tc>
        <w:tc>
          <w:tcPr>
            <w:tcW w:w="37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800" w:type="dxa"/>
            <w:vAlign w:val="bottom"/>
          </w:tcPr>
          <w:p>
            <w:pPr>
              <w:ind w:left="16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310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37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Emerging growth company</w:t>
            </w:r>
          </w:p>
        </w:tc>
        <w:tc>
          <w:tcPr>
            <w:tcW w:w="1800" w:type="dxa"/>
            <w:vAlign w:val="bottom"/>
          </w:tcPr>
          <w:p>
            <w:pPr>
              <w:ind w:left="164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63" w:lineRule="exact"/>
        <w:rPr>
          <w:sz w:val="24"/>
          <w:szCs w:val="24"/>
          <w:color w:val="auto"/>
        </w:rPr>
      </w:pPr>
    </w:p>
    <w:p>
      <w:pPr>
        <w:jc w:val="both"/>
        <w:ind w:right="500" w:firstLine="599"/>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 w:lineRule="exact"/>
        <w:rPr>
          <w:sz w:val="24"/>
          <w:szCs w:val="24"/>
          <w:color w:val="auto"/>
        </w:rPr>
      </w:pPr>
    </w:p>
    <w:p>
      <w:pPr>
        <w:ind w:left="600" w:right="2020"/>
        <w:spacing w:after="0" w:line="24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November 3, 2022, the registrant had 108,982,401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360045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3" w:right="339" w:bottom="1440" w:gutter="0" w:footer="0" w:header="0"/>
          <w:type w:val="continuous"/>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20"/>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5"/>
        </w:trPr>
        <w:tc>
          <w:tcPr>
            <w:tcW w:w="1140" w:type="dxa"/>
            <w:vAlign w:val="bottom"/>
            <w:gridSpan w:val="2"/>
            <w:vMerge w:val="continue"/>
          </w:tcPr>
          <w:p>
            <w:pPr>
              <w:spacing w:after="0"/>
              <w:rPr>
                <w:sz w:val="13"/>
                <w:szCs w:val="13"/>
                <w:color w:val="auto"/>
              </w:rPr>
            </w:pPr>
          </w:p>
        </w:tc>
        <w:tc>
          <w:tcPr>
            <w:tcW w:w="9300" w:type="dxa"/>
            <w:vAlign w:val="bottom"/>
            <w:gridSpan w:val="20"/>
            <w:vMerge w:val="continue"/>
          </w:tcPr>
          <w:p>
            <w:pPr>
              <w:spacing w:after="0"/>
              <w:rPr>
                <w:sz w:val="13"/>
                <w:szCs w:val="13"/>
                <w:color w:val="auto"/>
              </w:rPr>
            </w:pPr>
          </w:p>
        </w:tc>
        <w:tc>
          <w:tcPr>
            <w:tcW w:w="7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1.</w:t>
            </w:r>
          </w:p>
        </w:tc>
        <w:tc>
          <w:tcPr>
            <w:tcW w:w="2260" w:type="dxa"/>
            <w:vAlign w:val="bottom"/>
            <w:tcBorders>
              <w:top w:val="single" w:sz="8" w:color="0000FF"/>
              <w:bottom w:val="single" w:sz="8" w:color="0000FF"/>
            </w:tcBorders>
            <w:gridSpan w:val="8"/>
          </w:tcPr>
          <w:p>
            <w:pPr>
              <w:spacing w:after="0" w:line="182" w:lineRule="exact"/>
              <w:rPr>
                <w:sz w:val="20"/>
                <w:szCs w:val="20"/>
                <w:color w:val="auto"/>
              </w:rPr>
            </w:pPr>
            <w:r>
              <w:rPr>
                <w:rFonts w:ascii="Times New Roman" w:cs="Times New Roman" w:eastAsia="Times New Roman" w:hAnsi="Times New Roman"/>
                <w:sz w:val="18"/>
                <w:szCs w:val="18"/>
                <w:color w:val="0000FF"/>
                <w:w w:val="92"/>
              </w:rPr>
              <w:t>Financial Statements (Unaudited)</w:t>
            </w:r>
          </w:p>
        </w:tc>
        <w:tc>
          <w:tcPr>
            <w:tcW w:w="160" w:type="dxa"/>
            <w:vAlign w:val="bottom"/>
            <w:tcBorders>
              <w:bottom w:val="single" w:sz="8" w:color="0000FF"/>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40" w:type="dxa"/>
            <w:vAlign w:val="bottom"/>
            <w:gridSpan w:val="10"/>
          </w:tcPr>
          <w:p>
            <w:pPr>
              <w:spacing w:after="0" w:line="182" w:lineRule="exact"/>
              <w:rPr>
                <w:sz w:val="20"/>
                <w:szCs w:val="20"/>
                <w:color w:val="auto"/>
              </w:rPr>
            </w:pPr>
            <w:r>
              <w:rPr>
                <w:rFonts w:ascii="Times New Roman" w:cs="Times New Roman" w:eastAsia="Times New Roman" w:hAnsi="Times New Roman"/>
                <w:sz w:val="18"/>
                <w:szCs w:val="18"/>
                <w:color w:val="0000FF"/>
                <w:w w:val="99"/>
              </w:rPr>
              <w:t>Condensed Consolidated Balance</w:t>
            </w:r>
          </w:p>
        </w:tc>
        <w:tc>
          <w:tcPr>
            <w:tcW w:w="6860" w:type="dxa"/>
            <w:vAlign w:val="bottom"/>
            <w:gridSpan w:val="10"/>
          </w:tcPr>
          <w:p>
            <w:pPr>
              <w:ind w:left="40"/>
              <w:spacing w:after="0" w:line="182" w:lineRule="exact"/>
              <w:rPr>
                <w:sz w:val="20"/>
                <w:szCs w:val="20"/>
                <w:color w:val="auto"/>
              </w:rPr>
            </w:pPr>
            <w:r>
              <w:rPr>
                <w:rFonts w:ascii="Times New Roman" w:cs="Times New Roman" w:eastAsia="Times New Roman" w:hAnsi="Times New Roman"/>
                <w:sz w:val="18"/>
                <w:szCs w:val="18"/>
                <w:color w:val="0000FF"/>
              </w:rPr>
              <w:t>Sheets</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40" w:type="dxa"/>
            <w:vAlign w:val="bottom"/>
            <w:tcBorders>
              <w:top w:val="single" w:sz="8" w:color="0000FF"/>
              <w:bottom w:val="single" w:sz="8" w:color="0000FF"/>
            </w:tcBorders>
            <w:gridSpan w:val="11"/>
          </w:tcPr>
          <w:p>
            <w:pPr>
              <w:spacing w:after="0" w:line="182" w:lineRule="exact"/>
              <w:rPr>
                <w:sz w:val="20"/>
                <w:szCs w:val="20"/>
                <w:color w:val="auto"/>
              </w:rPr>
            </w:pPr>
            <w:r>
              <w:rPr>
                <w:rFonts w:ascii="Times New Roman" w:cs="Times New Roman" w:eastAsia="Times New Roman" w:hAnsi="Times New Roman"/>
                <w:sz w:val="18"/>
                <w:szCs w:val="18"/>
                <w:color w:val="0000FF"/>
              </w:rPr>
              <w:t>Condensed Consolidated Statements of</w:t>
            </w:r>
          </w:p>
        </w:tc>
        <w:tc>
          <w:tcPr>
            <w:tcW w:w="2600" w:type="dxa"/>
            <w:vAlign w:val="bottom"/>
            <w:tcBorders>
              <w:bottom w:val="single" w:sz="8" w:color="0000FF"/>
            </w:tcBorders>
            <w:gridSpan w:val="6"/>
          </w:tcPr>
          <w:p>
            <w:pPr>
              <w:spacing w:after="0" w:line="182" w:lineRule="exact"/>
              <w:rPr>
                <w:sz w:val="20"/>
                <w:szCs w:val="20"/>
                <w:color w:val="auto"/>
              </w:rPr>
            </w:pPr>
            <w:r>
              <w:rPr>
                <w:rFonts w:ascii="Times New Roman" w:cs="Times New Roman" w:eastAsia="Times New Roman" w:hAnsi="Times New Roman"/>
                <w:sz w:val="18"/>
                <w:szCs w:val="18"/>
                <w:color w:val="0000FF"/>
                <w:w w:val="97"/>
              </w:rPr>
              <w:t>Operations and Comprehensive Loss</w:t>
            </w:r>
          </w:p>
        </w:tc>
        <w:tc>
          <w:tcPr>
            <w:tcW w:w="3760" w:type="dxa"/>
            <w:vAlign w:val="bottom"/>
            <w:gridSpan w:val="3"/>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300" w:type="dxa"/>
            <w:vAlign w:val="bottom"/>
            <w:gridSpan w:val="20"/>
          </w:tcPr>
          <w:p>
            <w:pPr>
              <w:spacing w:after="0" w:line="182" w:lineRule="exact"/>
              <w:rPr>
                <w:sz w:val="20"/>
                <w:szCs w:val="20"/>
                <w:color w:val="auto"/>
              </w:rPr>
            </w:pPr>
            <w:r>
              <w:rPr>
                <w:rFonts w:ascii="Times New Roman" w:cs="Times New Roman" w:eastAsia="Times New Roman" w:hAnsi="Times New Roman"/>
                <w:sz w:val="18"/>
                <w:szCs w:val="18"/>
                <w:color w:val="0000FF"/>
              </w:rPr>
              <w:t>Condensed Consolidated Statement of Convertible Preferred Stock and Stockholders’ Equity (Deficit)</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360" w:type="dxa"/>
            <w:vAlign w:val="bottom"/>
            <w:tcBorders>
              <w:top w:val="single" w:sz="8" w:color="0000FF"/>
            </w:tcBorders>
            <w:gridSpan w:val="19"/>
          </w:tcPr>
          <w:p>
            <w:pPr>
              <w:spacing w:after="0" w:line="182"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19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40" w:type="dxa"/>
            <w:vAlign w:val="bottom"/>
            <w:tcBorders>
              <w:right w:val="single" w:sz="8" w:color="0000EE"/>
            </w:tcBorders>
            <w:gridSpan w:val="5"/>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line="20" w:lineRule="exact"/>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0" w:type="dxa"/>
            <w:vAlign w:val="bottom"/>
            <w:tcBorders>
              <w:bottom w:val="single" w:sz="8" w:color="0000FF"/>
            </w:tcBorders>
            <w:gridSpan w:val="15"/>
          </w:tcPr>
          <w:p>
            <w:pPr>
              <w:spacing w:after="0" w:line="182" w:lineRule="exact"/>
              <w:rPr>
                <w:sz w:val="20"/>
                <w:szCs w:val="20"/>
                <w:color w:val="auto"/>
              </w:rPr>
            </w:pPr>
            <w:r>
              <w:rPr>
                <w:rFonts w:ascii="Times New Roman" w:cs="Times New Roman" w:eastAsia="Times New Roman" w:hAnsi="Times New Roman"/>
                <w:sz w:val="18"/>
                <w:szCs w:val="18"/>
                <w:color w:val="0000FF"/>
                <w:w w:val="99"/>
              </w:rPr>
              <w:t>Notes to Unaudited Condensed Consolidated Financial Statements</w:t>
            </w:r>
          </w:p>
        </w:tc>
        <w:tc>
          <w:tcPr>
            <w:tcW w:w="20" w:type="dxa"/>
            <w:vAlign w:val="bottom"/>
            <w:tcBorders>
              <w:bottom w:val="single" w:sz="8" w:color="0000EE"/>
            </w:tcBorders>
          </w:tcPr>
          <w:p>
            <w:pPr>
              <w:spacing w:after="0"/>
              <w:rPr>
                <w:sz w:val="15"/>
                <w:szCs w:val="15"/>
                <w:color w:val="auto"/>
              </w:rPr>
            </w:pPr>
          </w:p>
        </w:tc>
        <w:tc>
          <w:tcPr>
            <w:tcW w:w="4480" w:type="dxa"/>
            <w:vAlign w:val="bottom"/>
            <w:gridSpan w:val="4"/>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20"/>
          </w:tcPr>
          <w:p>
            <w:pPr>
              <w:spacing w:after="0" w:line="182"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3.</w:t>
            </w:r>
          </w:p>
        </w:tc>
        <w:tc>
          <w:tcPr>
            <w:tcW w:w="6460" w:type="dxa"/>
            <w:vAlign w:val="bottom"/>
            <w:tcBorders>
              <w:top w:val="single" w:sz="8" w:color="0000FF"/>
            </w:tcBorders>
            <w:gridSpan w:val="18"/>
          </w:tcPr>
          <w:p>
            <w:pPr>
              <w:spacing w:after="0" w:line="182"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84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5"/>
          </w:tcPr>
          <w:p>
            <w:pPr>
              <w:spacing w:after="0" w:line="182"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top w:val="single" w:sz="8" w:color="0000FF"/>
              <w:bottom w:val="single" w:sz="8" w:color="0000EE"/>
            </w:tcBorders>
          </w:tcPr>
          <w:p>
            <w:pPr>
              <w:spacing w:after="0"/>
              <w:rPr>
                <w:sz w:val="15"/>
                <w:szCs w:val="15"/>
                <w:color w:val="auto"/>
              </w:rPr>
            </w:pPr>
          </w:p>
        </w:tc>
        <w:tc>
          <w:tcPr>
            <w:tcW w:w="2580" w:type="dxa"/>
            <w:vAlign w:val="bottom"/>
            <w:tcBorders>
              <w:top w:val="single" w:sz="8" w:color="0000FF"/>
            </w:tcBorders>
            <w:gridSpan w:val="8"/>
          </w:tcPr>
          <w:p>
            <w:pPr>
              <w:spacing w:after="0"/>
              <w:rPr>
                <w:sz w:val="15"/>
                <w:szCs w:val="15"/>
                <w:color w:val="auto"/>
              </w:rPr>
            </w:pPr>
          </w:p>
        </w:tc>
        <w:tc>
          <w:tcPr>
            <w:tcW w:w="4920" w:type="dxa"/>
            <w:vAlign w:val="bottom"/>
            <w:gridSpan w:val="6"/>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PART II.</w:t>
            </w:r>
          </w:p>
        </w:tc>
        <w:tc>
          <w:tcPr>
            <w:tcW w:w="1800" w:type="dxa"/>
            <w:vAlign w:val="bottom"/>
            <w:tcBorders>
              <w:bottom w:val="single" w:sz="8" w:color="0000FF"/>
            </w:tcBorders>
            <w:gridSpan w:val="6"/>
          </w:tcPr>
          <w:p>
            <w:pPr>
              <w:spacing w:after="0" w:line="182" w:lineRule="exact"/>
              <w:rPr>
                <w:sz w:val="20"/>
                <w:szCs w:val="20"/>
                <w:color w:val="auto"/>
              </w:rPr>
            </w:pPr>
            <w:r>
              <w:rPr>
                <w:rFonts w:ascii="Times New Roman" w:cs="Times New Roman" w:eastAsia="Times New Roman" w:hAnsi="Times New Roman"/>
                <w:sz w:val="18"/>
                <w:szCs w:val="18"/>
                <w:color w:val="0000FF"/>
                <w:w w:val="93"/>
              </w:rPr>
              <w:t>OTHER INFORMATION</w:t>
            </w:r>
          </w:p>
        </w:tc>
        <w:tc>
          <w:tcPr>
            <w:tcW w:w="100" w:type="dxa"/>
            <w:vAlign w:val="bottom"/>
            <w:tcBorders>
              <w:bottom w:val="single" w:sz="8" w:color="0000FF"/>
            </w:tcBorders>
          </w:tcPr>
          <w:p>
            <w:pPr>
              <w:spacing w:after="0"/>
              <w:rPr>
                <w:sz w:val="15"/>
                <w:szCs w:val="15"/>
                <w:color w:val="auto"/>
              </w:rPr>
            </w:pPr>
          </w:p>
        </w:tc>
        <w:tc>
          <w:tcPr>
            <w:tcW w:w="2460" w:type="dxa"/>
            <w:vAlign w:val="bottom"/>
            <w:gridSpan w:val="6"/>
          </w:tcPr>
          <w:p>
            <w:pPr>
              <w:spacing w:after="0"/>
              <w:rPr>
                <w:sz w:val="15"/>
                <w:szCs w:val="15"/>
                <w:color w:val="auto"/>
              </w:rPr>
            </w:pPr>
          </w:p>
        </w:tc>
        <w:tc>
          <w:tcPr>
            <w:tcW w:w="4940" w:type="dxa"/>
            <w:vAlign w:val="bottom"/>
            <w:gridSpan w:val="7"/>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1.</w:t>
            </w:r>
          </w:p>
        </w:tc>
        <w:tc>
          <w:tcPr>
            <w:tcW w:w="1900" w:type="dxa"/>
            <w:vAlign w:val="bottom"/>
            <w:gridSpan w:val="7"/>
          </w:tcPr>
          <w:p>
            <w:pPr>
              <w:spacing w:after="0" w:line="182" w:lineRule="exact"/>
              <w:rPr>
                <w:sz w:val="20"/>
                <w:szCs w:val="20"/>
                <w:color w:val="auto"/>
              </w:rPr>
            </w:pPr>
            <w:r>
              <w:rPr>
                <w:rFonts w:ascii="Times New Roman" w:cs="Times New Roman" w:eastAsia="Times New Roman" w:hAnsi="Times New Roman"/>
                <w:sz w:val="18"/>
                <w:szCs w:val="18"/>
                <w:color w:val="0000FF"/>
              </w:rPr>
              <w:t>Legal Proceedings</w:t>
            </w:r>
          </w:p>
        </w:tc>
        <w:tc>
          <w:tcPr>
            <w:tcW w:w="2460" w:type="dxa"/>
            <w:vAlign w:val="bottom"/>
            <w:gridSpan w:val="6"/>
          </w:tcPr>
          <w:p>
            <w:pPr>
              <w:spacing w:after="0"/>
              <w:rPr>
                <w:sz w:val="15"/>
                <w:szCs w:val="15"/>
                <w:color w:val="auto"/>
              </w:rPr>
            </w:pPr>
          </w:p>
        </w:tc>
        <w:tc>
          <w:tcPr>
            <w:tcW w:w="4940" w:type="dxa"/>
            <w:vAlign w:val="bottom"/>
            <w:gridSpan w:val="7"/>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top w:val="single" w:sz="8" w:color="0000FF"/>
              <w:bottom w:val="single" w:sz="8" w:color="0000EE"/>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3020" w:type="dxa"/>
            <w:vAlign w:val="bottom"/>
            <w:gridSpan w:val="9"/>
          </w:tcPr>
          <w:p>
            <w:pPr>
              <w:spacing w:after="0"/>
              <w:rPr>
                <w:sz w:val="15"/>
                <w:szCs w:val="15"/>
                <w:color w:val="auto"/>
              </w:rPr>
            </w:pPr>
          </w:p>
        </w:tc>
        <w:tc>
          <w:tcPr>
            <w:tcW w:w="4940" w:type="dxa"/>
            <w:vAlign w:val="bottom"/>
            <w:gridSpan w:val="7"/>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2.</w:t>
            </w:r>
          </w:p>
        </w:tc>
        <w:tc>
          <w:tcPr>
            <w:tcW w:w="94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0000FF"/>
                <w:w w:val="98"/>
              </w:rPr>
              <w:t>Unregistered</w:t>
            </w:r>
          </w:p>
        </w:tc>
        <w:tc>
          <w:tcPr>
            <w:tcW w:w="8360" w:type="dxa"/>
            <w:vAlign w:val="bottom"/>
            <w:gridSpan w:val="17"/>
          </w:tcPr>
          <w:p>
            <w:pPr>
              <w:ind w:left="40"/>
              <w:spacing w:after="0" w:line="182" w:lineRule="exact"/>
              <w:rPr>
                <w:sz w:val="20"/>
                <w:szCs w:val="20"/>
                <w:color w:val="auto"/>
              </w:rPr>
            </w:pPr>
            <w:r>
              <w:rPr>
                <w:rFonts w:ascii="Times New Roman" w:cs="Times New Roman" w:eastAsia="Times New Roman" w:hAnsi="Times New Roman"/>
                <w:sz w:val="18"/>
                <w:szCs w:val="18"/>
                <w:color w:val="0000FF"/>
              </w:rPr>
              <w:t>Sales of Equity Securities and Use of Proceeds</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6.</w:t>
            </w:r>
          </w:p>
        </w:tc>
        <w:tc>
          <w:tcPr>
            <w:tcW w:w="4360" w:type="dxa"/>
            <w:vAlign w:val="bottom"/>
            <w:tcBorders>
              <w:top w:val="single" w:sz="8" w:color="0000FF"/>
            </w:tcBorders>
            <w:gridSpan w:val="13"/>
          </w:tcPr>
          <w:p>
            <w:pPr>
              <w:spacing w:after="0" w:line="182" w:lineRule="exact"/>
              <w:rPr>
                <w:sz w:val="20"/>
                <w:szCs w:val="20"/>
                <w:color w:val="auto"/>
              </w:rPr>
            </w:pPr>
            <w:r>
              <w:rPr>
                <w:rFonts w:ascii="Times New Roman" w:cs="Times New Roman" w:eastAsia="Times New Roman" w:hAnsi="Times New Roman"/>
                <w:sz w:val="18"/>
                <w:szCs w:val="18"/>
                <w:color w:val="0000FF"/>
              </w:rPr>
              <w:t>Exhibits</w:t>
            </w:r>
          </w:p>
        </w:tc>
        <w:tc>
          <w:tcPr>
            <w:tcW w:w="4940" w:type="dxa"/>
            <w:vAlign w:val="bottom"/>
            <w:gridSpan w:val="7"/>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2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14"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i w:val="1"/>
          <w:iCs w:val="1"/>
          <w:color w:val="auto"/>
        </w:rPr>
        <w:t>The following summarizes the principal factors that make an investment in us speculative or risky, all of which are more fully described in the Risk Factors section below. This summary should be read in conjunction with the Risk Factors section and should not be relied upon as an exhaustive summary of the material risks facing our business.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Needs</w:t>
      </w:r>
    </w:p>
    <w:p>
      <w:pPr>
        <w:spacing w:after="0" w:line="121" w:lineRule="exact"/>
        <w:rPr>
          <w:sz w:val="20"/>
          <w:szCs w:val="20"/>
          <w:color w:val="auto"/>
        </w:rPr>
      </w:pPr>
    </w:p>
    <w:p>
      <w:pPr>
        <w:ind w:left="1020" w:right="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our inception. We expect to incur losses over the next several years and may never achieve or maintain profitability.</w:t>
      </w:r>
    </w:p>
    <w:p>
      <w:pPr>
        <w:spacing w:after="0" w:line="54"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no history of commercializing products, which may make it difficult for an investor to evaluate the success of our business to date and to assess our future viability.</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substantial additional funding to meet our financial obligations and to pursue our business objectives. If we are unable to raise capital when needed, we could be forced to curtail our planned operations and the pursuit of our growth strategy.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of our Product Candidates</w:t>
      </w:r>
    </w:p>
    <w:p>
      <w:pPr>
        <w:spacing w:after="0" w:line="106" w:lineRule="exact"/>
        <w:rPr>
          <w:sz w:val="20"/>
          <w:szCs w:val="20"/>
          <w:color w:val="auto"/>
        </w:rPr>
      </w:pPr>
    </w:p>
    <w:p>
      <w:pPr>
        <w:jc w:val="both"/>
        <w:ind w:left="1020" w:hanging="503"/>
        <w:spacing w:after="0" w:line="259"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continue to monitor the evolution of SARS-CoV-2 and the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activity of adintrevimab against predominant variants in the United States to identify a potential opportunity for an EUA request in the event of a susceptible variant. We cannot be certain that adintrevimab will neutralize future variants and that we will submit an EUA for adintrevimab or whether an EUA will be granted if we do submit such request.</w:t>
      </w:r>
    </w:p>
    <w:p>
      <w:pPr>
        <w:spacing w:after="0" w:line="60"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product candidates are currently in clinical and preclinical development. If we are unable to successfully develop, receive regulatory approval or EUA for and commercialize our product candidates for the indications we seek, or successfully develop any other product candidates, or experience significant delays in doing so, our business will be harmed.</w:t>
      </w:r>
    </w:p>
    <w:p>
      <w:pPr>
        <w:spacing w:after="0" w:line="61"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our product candidates represent novel approaches to the prevention and treatment of disease, there are many uncertainties regarding the development, market acceptance, third-party reimbursement coverage and commercial potential of our product candidates.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72" w:lineRule="auto"/>
        <w:tabs>
          <w:tab w:leader="none" w:pos="10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Newly emerging and future SARS-CoV-2 variants could reduce the activity and effectiveness of antibodies targeting the receptor binding domain region as a potential prevention of or treatment for symptomatic COVID-19. We may not be successful in identifying new antibodies that are suitable either as monotherapy or as combination therapy to mitigate the risk of reduced activity against future SARS-CoV-2 variants.</w:t>
      </w:r>
    </w:p>
    <w:p>
      <w:pPr>
        <w:spacing w:after="0" w:line="50" w:lineRule="exact"/>
        <w:rPr>
          <w:rFonts w:ascii="Times New Roman" w:cs="Times New Roman" w:eastAsia="Times New Roman" w:hAnsi="Times New Roman"/>
          <w:sz w:val="17"/>
          <w:szCs w:val="17"/>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integrated discovery platform approach may not produce durable, broadly neutralizing, or effective antibodies in the timeframe necessary to address a changing virus.</w:t>
      </w:r>
    </w:p>
    <w:p>
      <w:pPr>
        <w:spacing w:after="0" w:line="40" w:lineRule="exact"/>
        <w:rPr>
          <w:rFonts w:ascii="Times New Roman" w:cs="Times New Roman" w:eastAsia="Times New Roman" w:hAnsi="Times New Roman"/>
          <w:sz w:val="18"/>
          <w:szCs w:val="18"/>
          <w:color w:val="auto"/>
        </w:rPr>
      </w:pPr>
    </w:p>
    <w:p>
      <w:pPr>
        <w:jc w:val="both"/>
        <w:ind w:left="1020" w:hanging="503"/>
        <w:spacing w:after="0" w:line="245"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the Public Health Emergency will continue to be in place for an extended period of time and that the product candidates we are developing for COVID-19 could be granted an EUA by the FDA or similar authorization by regulatory authorities outside of the United States if we decide to apply for such an authorization. If we do not apply for such an authorization or, if we do apply and no authorization is granted or, once granted, it is terminated, we will be unable to sell our product candidates in the near future and instead, will be required to pursue solely the traditional regulatory approval processes of the FDA and comparable foreign authorities, which are lengthy, time consuming and inherently unpredictable. If we are not able to obtain required regulatory approval for our product candidates, our business will be substantially harmed.</w:t>
      </w:r>
    </w:p>
    <w:p>
      <w:pPr>
        <w:spacing w:after="0" w:line="7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in preclinical studies or earlier clinical trials may not be indicative of results in future clinical trials. Our product candidates may not have favorable results in later clinical trials, if any, or receive regulatory approval.</w:t>
      </w:r>
    </w:p>
    <w:p>
      <w:pPr>
        <w:spacing w:after="0" w:line="40"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awareness or negative public opinion of monoclonal antibody therapies and increased regulatory scrutiny of monoclonal antibody therapies to prevent or treat COVID-19 may adversely impact the development or commercial success of our product candidates.</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or difficulties in the enrollment and/or retention of patients in clinical trials, or we may pause, delay or terminate enrollment in our clinical trials, which could in turn delay or prevent our receipt of necessary regulatory approvals.</w:t>
      </w:r>
    </w:p>
    <w:p>
      <w:pPr>
        <w:spacing w:after="0" w:line="54"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build a pipeline of additional product candidates through internal efforts or through partnerships for discovery of novel antibody product candidates.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operations may be adversely affected by the evolving and ongoing COVID-19 global pandemic.</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Risks Related to the Manufacturing of our Product Candidates</w:t>
      </w:r>
    </w:p>
    <w:p>
      <w:pPr>
        <w:spacing w:after="0" w:line="108" w:lineRule="exact"/>
        <w:rPr>
          <w:sz w:val="20"/>
          <w:szCs w:val="20"/>
          <w:color w:val="auto"/>
        </w:rPr>
      </w:pPr>
    </w:p>
    <w:p>
      <w:pPr>
        <w:jc w:val="both"/>
        <w:ind w:left="1020" w:hanging="503"/>
        <w:spacing w:after="0" w:line="250"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Monoclonal antibody therapies are complex and difficult to manufacture, and we rely on contract manufacturers for access to capacity. We could experience manufacturing problems, may be unable to access desired manufacturing capacity within desired timeframes, or may be unable to access raw materials due to global supply chain shortages or otherwise, that result in delays in the development, supply, or commercialization of our product candidates or otherwise harm our business.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Our Product Candidates</w:t>
      </w:r>
    </w:p>
    <w:p>
      <w:pPr>
        <w:spacing w:after="0" w:line="94" w:lineRule="exact"/>
        <w:rPr>
          <w:sz w:val="20"/>
          <w:szCs w:val="20"/>
          <w:color w:val="auto"/>
        </w:rPr>
      </w:pPr>
    </w:p>
    <w:p>
      <w:pPr>
        <w:ind w:left="10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affected populations for our product candidates may be smaller than we or third parties currently project, which may affect our ability to enroll our clinical trials as well as the addressable markets for our product candidates.</w:t>
      </w:r>
    </w:p>
    <w:p>
      <w:pPr>
        <w:spacing w:after="0" w:line="40"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monoclonal antibody product candidates may face significant competition from vaccines, antiviral agents and other therapeutics for COVID-19 that are currently available or in development.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08" w:lineRule="exact"/>
        <w:rPr>
          <w:sz w:val="20"/>
          <w:szCs w:val="20"/>
          <w:color w:val="auto"/>
        </w:rPr>
      </w:pPr>
    </w:p>
    <w:p>
      <w:pPr>
        <w:jc w:val="both"/>
        <w:ind w:left="1020" w:right="20" w:hanging="503"/>
        <w:spacing w:after="0" w:line="258"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maintain and enforce patent protection for our product candidates, or if the scope of the patent protection obtained is not sufficiently broad, our competitors or other third parties could develop and commercialize products similar or identical to ours and our ability to successfully develop and commercialize our product candidates may be adversely affected.</w:t>
      </w:r>
    </w:p>
    <w:p>
      <w:pPr>
        <w:spacing w:after="0" w:line="61"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initiate legal proceedings alleging that we are infringing, misappropriating or otherwise violating their intellectual property rights, the outcome of which would be uncertain.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 and Our Status as a Public Company</w:t>
      </w:r>
    </w:p>
    <w:p>
      <w:pPr>
        <w:spacing w:after="0" w:line="108" w:lineRule="exact"/>
        <w:rPr>
          <w:sz w:val="20"/>
          <w:szCs w:val="20"/>
          <w:color w:val="auto"/>
        </w:rPr>
      </w:pPr>
    </w:p>
    <w:p>
      <w:pPr>
        <w:jc w:val="both"/>
        <w:ind w:left="1020" w:hanging="503"/>
        <w:spacing w:after="0" w:line="250"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previously identified a material weakness in our internal control over financial reporting, which has since been remediated. We may identify future material weaknesses in our internal control over financial reporting. If we are unable to remediate these material weaknesses, or if we fail to establish and maintain adequate internal control over financial reporting, we may not be able to produce timely and accurate financial statements, and we may conclude that our internal control over financial reporting is not effective, which may adversely affect our business.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3"/>
                <w:szCs w:val="13"/>
                <w:color w:val="auto"/>
              </w:rPr>
            </w:pPr>
          </w:p>
        </w:tc>
        <w:tc>
          <w:tcPr>
            <w:tcW w:w="14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09"/>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278,152</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542,224</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140,517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49,194</w:t>
            </w:r>
          </w:p>
        </w:tc>
        <w:tc>
          <w:tcPr>
            <w:tcW w:w="100" w:type="dxa"/>
            <w:vAlign w:val="bottom"/>
          </w:tcPr>
          <w:p>
            <w:pPr>
              <w:spacing w:after="0"/>
              <w:rPr>
                <w:sz w:val="18"/>
                <w:szCs w:val="18"/>
                <w:color w:val="auto"/>
              </w:rPr>
            </w:pPr>
          </w:p>
        </w:tc>
      </w:tr>
      <w:tr>
        <w:trPr>
          <w:trHeight w:val="216"/>
        </w:trPr>
        <w:tc>
          <w:tcPr>
            <w:tcW w:w="7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2,927</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25,293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421,596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616,711</w:t>
            </w: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424,747</w:t>
            </w:r>
          </w:p>
        </w:tc>
        <w:tc>
          <w:tcPr>
            <w:tcW w:w="280" w:type="dxa"/>
            <w:vAlign w:val="bottom"/>
          </w:tcPr>
          <w:p>
            <w:pPr>
              <w:spacing w:after="0"/>
              <w:rPr>
                <w:sz w:val="18"/>
                <w:szCs w:val="18"/>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620,091</w:t>
            </w:r>
          </w:p>
        </w:tc>
        <w:tc>
          <w:tcPr>
            <w:tcW w:w="100" w:type="dxa"/>
            <w:vAlign w:val="bottom"/>
          </w:tcPr>
          <w:p>
            <w:pPr>
              <w:spacing w:after="0"/>
              <w:rPr>
                <w:sz w:val="18"/>
                <w:szCs w:val="18"/>
                <w:color w:val="auto"/>
              </w:rPr>
            </w:pPr>
          </w:p>
        </w:tc>
      </w:tr>
      <w:tr>
        <w:trPr>
          <w:trHeight w:val="20"/>
        </w:trPr>
        <w:tc>
          <w:tcPr>
            <w:tcW w:w="7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78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Convertible Preferred Stock and Stockholders’ Equity (Deficit)</w:t>
            </w: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16,770</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5,783</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28,974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56,277</w:t>
            </w: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7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46,126</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62,060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Early-exercise liability</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liability</w:t>
            </w:r>
          </w:p>
        </w:tc>
        <w:tc>
          <w:tcPr>
            <w:tcW w:w="22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r>
      <w:tr>
        <w:trPr>
          <w:trHeight w:val="209"/>
        </w:trPr>
        <w:tc>
          <w:tcPr>
            <w:tcW w:w="77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47,304</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62,072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71"/>
        </w:trPr>
        <w:tc>
          <w:tcPr>
            <w:tcW w:w="7780" w:type="dxa"/>
            <w:vAlign w:val="bottom"/>
          </w:tcPr>
          <w:p>
            <w:pPr>
              <w:ind w:left="380"/>
              <w:spacing w:after="0" w:line="170" w:lineRule="exact"/>
              <w:rPr>
                <w:sz w:val="20"/>
                <w:szCs w:val="20"/>
                <w:color w:val="auto"/>
              </w:rPr>
            </w:pPr>
            <w:r>
              <w:rPr>
                <w:rFonts w:ascii="Times New Roman" w:cs="Times New Roman" w:eastAsia="Times New Roman" w:hAnsi="Times New Roman"/>
                <w:sz w:val="18"/>
                <w:szCs w:val="18"/>
                <w:color w:val="auto"/>
              </w:rPr>
              <w:t>Preferred stock (undesignated), $0.0001 par value; 10,000,000 shares</w:t>
            </w: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0"/>
        </w:trPr>
        <w:tc>
          <w:tcPr>
            <w:tcW w:w="7780" w:type="dxa"/>
            <w:vAlign w:val="bottom"/>
          </w:tcPr>
          <w:p>
            <w:pPr>
              <w:ind w:left="520"/>
              <w:spacing w:after="0" w:line="181" w:lineRule="exact"/>
              <w:rPr>
                <w:sz w:val="20"/>
                <w:szCs w:val="20"/>
                <w:color w:val="auto"/>
              </w:rPr>
            </w:pPr>
            <w:r>
              <w:rPr>
                <w:rFonts w:ascii="Times New Roman" w:cs="Times New Roman" w:eastAsia="Times New Roman" w:hAnsi="Times New Roman"/>
                <w:sz w:val="18"/>
                <w:szCs w:val="18"/>
                <w:color w:val="auto"/>
              </w:rPr>
              <w:t>authorized and no shares issued and outstanding at September 30, 2022</w:t>
            </w: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77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and December 31, 2021</w:t>
            </w:r>
          </w:p>
        </w:tc>
        <w:tc>
          <w:tcPr>
            <w:tcW w:w="220" w:type="dxa"/>
            <w:vAlign w:val="bottom"/>
          </w:tcPr>
          <w:p>
            <w:pPr>
              <w:spacing w:after="0"/>
              <w:rPr>
                <w:sz w:val="21"/>
                <w:szCs w:val="21"/>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71"/>
        </w:trPr>
        <w:tc>
          <w:tcPr>
            <w:tcW w:w="7780" w:type="dxa"/>
            <w:vAlign w:val="bottom"/>
            <w:shd w:val="clear" w:color="auto" w:fill="CFF0FC"/>
          </w:tcPr>
          <w:p>
            <w:pPr>
              <w:ind w:left="380"/>
              <w:spacing w:after="0" w:line="170" w:lineRule="exact"/>
              <w:rPr>
                <w:sz w:val="20"/>
                <w:szCs w:val="20"/>
                <w:color w:val="auto"/>
              </w:rPr>
            </w:pPr>
            <w:r>
              <w:rPr>
                <w:rFonts w:ascii="Times New Roman" w:cs="Times New Roman" w:eastAsia="Times New Roman" w:hAnsi="Times New Roman"/>
                <w:sz w:val="18"/>
                <w:szCs w:val="18"/>
                <w:color w:val="auto"/>
              </w:rPr>
              <w:t>Common stock, $0.0001 par value; 1,000,000,000 shares authorized,</w:t>
            </w:r>
          </w:p>
        </w:tc>
        <w:tc>
          <w:tcPr>
            <w:tcW w:w="22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0"/>
        </w:trPr>
        <w:tc>
          <w:tcPr>
            <w:tcW w:w="7780" w:type="dxa"/>
            <w:vAlign w:val="bottom"/>
            <w:shd w:val="clear" w:color="auto" w:fill="CFF0FC"/>
          </w:tcPr>
          <w:p>
            <w:pPr>
              <w:ind w:left="520"/>
              <w:spacing w:after="0" w:line="181" w:lineRule="exact"/>
              <w:rPr>
                <w:sz w:val="20"/>
                <w:szCs w:val="20"/>
                <w:color w:val="auto"/>
              </w:rPr>
            </w:pPr>
            <w:r>
              <w:rPr>
                <w:rFonts w:ascii="Times New Roman" w:cs="Times New Roman" w:eastAsia="Times New Roman" w:hAnsi="Times New Roman"/>
                <w:sz w:val="18"/>
                <w:szCs w:val="18"/>
                <w:color w:val="auto"/>
              </w:rPr>
              <w:t>108,957,401 shares issued and outstanding at September 30, 2022;</w:t>
            </w: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4"/>
        </w:trPr>
        <w:tc>
          <w:tcPr>
            <w:tcW w:w="7780" w:type="dxa"/>
            <w:vAlign w:val="bottom"/>
            <w:shd w:val="clear" w:color="auto" w:fill="CFF0FC"/>
          </w:tcPr>
          <w:p>
            <w:pPr>
              <w:ind w:left="520"/>
              <w:spacing w:after="0" w:line="184" w:lineRule="exact"/>
              <w:rPr>
                <w:sz w:val="20"/>
                <w:szCs w:val="20"/>
                <w:color w:val="auto"/>
              </w:rPr>
            </w:pPr>
            <w:r>
              <w:rPr>
                <w:rFonts w:ascii="Times New Roman" w:cs="Times New Roman" w:eastAsia="Times New Roman" w:hAnsi="Times New Roman"/>
                <w:sz w:val="18"/>
                <w:szCs w:val="18"/>
                <w:color w:val="auto"/>
              </w:rPr>
              <w:t>1,000,000,000 shares authorized, 111,251,660 shares issued and</w:t>
            </w:r>
          </w:p>
        </w:tc>
        <w:tc>
          <w:tcPr>
            <w:tcW w:w="22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48"/>
        </w:trPr>
        <w:tc>
          <w:tcPr>
            <w:tcW w:w="778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110,782,909 shares outstanding at December 31, 2021</w:t>
            </w: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21"/>
                <w:szCs w:val="21"/>
                <w:color w:val="auto"/>
              </w:rPr>
            </w:pPr>
          </w:p>
        </w:tc>
      </w:tr>
      <w:tr>
        <w:trPr>
          <w:trHeight w:val="171"/>
        </w:trPr>
        <w:tc>
          <w:tcPr>
            <w:tcW w:w="7780" w:type="dxa"/>
            <w:vAlign w:val="bottom"/>
          </w:tcPr>
          <w:p>
            <w:pPr>
              <w:ind w:left="380"/>
              <w:spacing w:after="0" w:line="170" w:lineRule="exact"/>
              <w:rPr>
                <w:sz w:val="20"/>
                <w:szCs w:val="20"/>
                <w:color w:val="auto"/>
              </w:rPr>
            </w:pPr>
            <w:r>
              <w:rPr>
                <w:rFonts w:ascii="Times New Roman" w:cs="Times New Roman" w:eastAsia="Times New Roman" w:hAnsi="Times New Roman"/>
                <w:sz w:val="18"/>
                <w:szCs w:val="18"/>
                <w:color w:val="auto"/>
              </w:rPr>
              <w:t>Treasury stock, at cost; 0 shares and 468,751 shares at</w:t>
            </w: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4"/>
        </w:trPr>
        <w:tc>
          <w:tcPr>
            <w:tcW w:w="7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September 30, 2022 and December 31, 2021, respectively</w:t>
            </w:r>
          </w:p>
        </w:tc>
        <w:tc>
          <w:tcPr>
            <w:tcW w:w="220" w:type="dxa"/>
            <w:vAlign w:val="bottom"/>
          </w:tcPr>
          <w:p>
            <w:pPr>
              <w:spacing w:after="0"/>
              <w:rPr>
                <w:sz w:val="20"/>
                <w:szCs w:val="20"/>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866,238</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850,125</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(8 )</w:t>
            </w:r>
          </w:p>
        </w:tc>
      </w:tr>
      <w:tr>
        <w:trPr>
          <w:trHeight w:val="216"/>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(488,852 )</w:t>
            </w:r>
          </w:p>
        </w:tc>
        <w:tc>
          <w:tcPr>
            <w:tcW w:w="2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(292,109 )</w:t>
            </w:r>
          </w:p>
        </w:tc>
      </w:tr>
      <w:tr>
        <w:trPr>
          <w:trHeight w:val="210"/>
        </w:trPr>
        <w:tc>
          <w:tcPr>
            <w:tcW w:w="778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2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377,443</w:t>
            </w:r>
          </w:p>
        </w:tc>
        <w:tc>
          <w:tcPr>
            <w:tcW w:w="28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558,019</w:t>
            </w:r>
          </w:p>
        </w:tc>
        <w:tc>
          <w:tcPr>
            <w:tcW w:w="100" w:type="dxa"/>
            <w:vAlign w:val="bottom"/>
            <w:tcBorders>
              <w:top w:val="single" w:sz="8" w:color="CFF0FC"/>
            </w:tcBorders>
          </w:tcPr>
          <w:p>
            <w:pPr>
              <w:spacing w:after="0"/>
              <w:rPr>
                <w:sz w:val="18"/>
                <w:szCs w:val="18"/>
                <w:color w:val="auto"/>
              </w:rPr>
            </w:pPr>
          </w:p>
        </w:tc>
      </w:tr>
      <w:tr>
        <w:trPr>
          <w:trHeight w:val="250"/>
        </w:trPr>
        <w:tc>
          <w:tcPr>
            <w:tcW w:w="77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 convertible preferred stock and stockholders’ equity (deficit)</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424,747</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620,091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-4405630</wp:posOffset>
            </wp:positionV>
            <wp:extent cx="6858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-4405630</wp:posOffset>
            </wp:positionV>
            <wp:extent cx="68580"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-3848100</wp:posOffset>
            </wp:positionV>
            <wp:extent cx="6858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-3848100</wp:posOffset>
            </wp:positionV>
            <wp:extent cx="6858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-2708275</wp:posOffset>
            </wp:positionV>
            <wp:extent cx="6858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-2708275</wp:posOffset>
            </wp:positionV>
            <wp:extent cx="68580"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-2142490</wp:posOffset>
            </wp:positionV>
            <wp:extent cx="6858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-2142490</wp:posOffset>
            </wp:positionV>
            <wp:extent cx="6858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-316865</wp:posOffset>
            </wp:positionV>
            <wp:extent cx="6858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-8255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00" w:type="dxa"/>
            <w:vAlign w:val="bottom"/>
          </w:tcPr>
          <w:p>
            <w:pPr>
              <w:spacing w:after="0"/>
              <w:rPr>
                <w:sz w:val="13"/>
                <w:szCs w:val="13"/>
                <w:color w:val="auto"/>
              </w:rPr>
            </w:pPr>
          </w:p>
        </w:tc>
        <w:tc>
          <w:tcPr>
            <w:tcW w:w="1260" w:type="dxa"/>
            <w:vAlign w:val="bottom"/>
            <w:gridSpan w:val="2"/>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40" w:type="dxa"/>
            <w:vAlign w:val="bottom"/>
          </w:tcPr>
          <w:p>
            <w:pPr>
              <w:spacing w:after="0"/>
              <w:rPr>
                <w:sz w:val="13"/>
                <w:szCs w:val="13"/>
                <w:color w:val="auto"/>
              </w:rPr>
            </w:pPr>
          </w:p>
        </w:tc>
        <w:tc>
          <w:tcPr>
            <w:tcW w:w="1220" w:type="dxa"/>
            <w:vAlign w:val="bottom"/>
            <w:gridSpan w:val="2"/>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40" w:type="dxa"/>
            <w:vAlign w:val="bottom"/>
          </w:tcPr>
          <w:p>
            <w:pPr>
              <w:spacing w:after="0"/>
              <w:rPr>
                <w:sz w:val="13"/>
                <w:szCs w:val="13"/>
                <w:color w:val="auto"/>
              </w:rPr>
            </w:pPr>
          </w:p>
        </w:tc>
        <w:tc>
          <w:tcPr>
            <w:tcW w:w="1120" w:type="dxa"/>
            <w:vAlign w:val="bottom"/>
            <w:gridSpan w:val="2"/>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Nine Months</w:t>
            </w:r>
          </w:p>
        </w:tc>
      </w:tr>
      <w:tr>
        <w:trPr>
          <w:trHeight w:val="148"/>
        </w:trPr>
        <w:tc>
          <w:tcPr>
            <w:tcW w:w="5840" w:type="dxa"/>
            <w:vAlign w:val="bottom"/>
          </w:tcPr>
          <w:p>
            <w:pPr>
              <w:spacing w:after="0"/>
              <w:rPr>
                <w:sz w:val="12"/>
                <w:szCs w:val="12"/>
                <w:color w:val="auto"/>
              </w:rPr>
            </w:pPr>
          </w:p>
        </w:tc>
        <w:tc>
          <w:tcPr>
            <w:tcW w:w="14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Ended September</w:t>
            </w:r>
          </w:p>
        </w:tc>
        <w:tc>
          <w:tcPr>
            <w:tcW w:w="13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Ended September</w:t>
            </w:r>
          </w:p>
        </w:tc>
        <w:tc>
          <w:tcPr>
            <w:tcW w:w="13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Ended September</w:t>
            </w:r>
          </w:p>
        </w:tc>
        <w:tc>
          <w:tcPr>
            <w:tcW w:w="12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Ended September</w:t>
            </w:r>
          </w:p>
        </w:tc>
      </w:tr>
      <w:tr>
        <w:trPr>
          <w:trHeight w:val="189"/>
        </w:trPr>
        <w:tc>
          <w:tcPr>
            <w:tcW w:w="5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30,</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30,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30,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30,</w:t>
            </w:r>
          </w:p>
        </w:tc>
        <w:tc>
          <w:tcPr>
            <w:tcW w:w="100" w:type="dxa"/>
            <w:vAlign w:val="bottom"/>
          </w:tcPr>
          <w:p>
            <w:pPr>
              <w:spacing w:after="0"/>
              <w:rPr>
                <w:sz w:val="16"/>
                <w:szCs w:val="16"/>
                <w:color w:val="auto"/>
              </w:rPr>
            </w:pPr>
          </w:p>
        </w:tc>
      </w:tr>
      <w:tr>
        <w:trPr>
          <w:trHeight w:val="187"/>
        </w:trPr>
        <w:tc>
          <w:tcPr>
            <w:tcW w:w="58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10"/>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40" w:type="dxa"/>
            <w:vAlign w:val="bottom"/>
          </w:tcPr>
          <w:p>
            <w:pPr>
              <w:ind w:left="200"/>
              <w:spacing w:after="0" w:line="216"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4"/>
                <w:szCs w:val="24"/>
                <w:color w:val="auto"/>
                <w:vertAlign w:val="superscript"/>
              </w:rPr>
              <w:t>(1)</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30,131</w:t>
            </w:r>
          </w:p>
        </w:tc>
        <w:tc>
          <w:tcPr>
            <w:tcW w:w="24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45,366</w:t>
            </w:r>
          </w:p>
        </w:tc>
        <w:tc>
          <w:tcPr>
            <w:tcW w:w="22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159,295</w:t>
            </w:r>
          </w:p>
        </w:tc>
        <w:tc>
          <w:tcPr>
            <w:tcW w:w="22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114,465</w:t>
            </w:r>
          </w:p>
        </w:tc>
        <w:tc>
          <w:tcPr>
            <w:tcW w:w="100" w:type="dxa"/>
            <w:vAlign w:val="bottom"/>
          </w:tcPr>
          <w:p>
            <w:pPr>
              <w:spacing w:after="0"/>
              <w:rPr>
                <w:sz w:val="18"/>
                <w:szCs w:val="18"/>
                <w:color w:val="auto"/>
              </w:rPr>
            </w:pPr>
          </w:p>
        </w:tc>
      </w:tr>
      <w:tr>
        <w:trPr>
          <w:trHeight w:val="216"/>
        </w:trPr>
        <w:tc>
          <w:tcPr>
            <w:tcW w:w="5840" w:type="dxa"/>
            <w:vAlign w:val="bottom"/>
            <w:shd w:val="clear" w:color="auto" w:fill="CFF0FC"/>
          </w:tcPr>
          <w:p>
            <w:pPr>
              <w:ind w:left="200"/>
              <w:spacing w:after="0" w:line="216" w:lineRule="exact"/>
              <w:rPr>
                <w:sz w:val="20"/>
                <w:szCs w:val="20"/>
                <w:color w:val="auto"/>
              </w:rPr>
            </w:pPr>
            <w:r>
              <w:rPr>
                <w:rFonts w:ascii="Times New Roman" w:cs="Times New Roman" w:eastAsia="Times New Roman" w:hAnsi="Times New Roman"/>
                <w:sz w:val="18"/>
                <w:szCs w:val="18"/>
                <w:color w:val="auto"/>
              </w:rPr>
              <w:t>Acquired in-process research and development</w:t>
            </w:r>
            <w:r>
              <w:rPr>
                <w:rFonts w:ascii="Times New Roman" w:cs="Times New Roman" w:eastAsia="Times New Roman" w:hAnsi="Times New Roman"/>
                <w:sz w:val="24"/>
                <w:szCs w:val="24"/>
                <w:color w:val="auto"/>
                <w:vertAlign w:val="superscript"/>
              </w:rPr>
              <w:t>(2)</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shd w:val="clear" w:color="auto" w:fill="CFF0FC"/>
          </w:tcPr>
          <w:p>
            <w:pPr>
              <w:spacing w:after="0"/>
              <w:rPr>
                <w:sz w:val="18"/>
                <w:szCs w:val="18"/>
                <w:color w:val="auto"/>
              </w:rPr>
            </w:pPr>
          </w:p>
        </w:tc>
      </w:tr>
      <w:tr>
        <w:trPr>
          <w:trHeight w:val="216"/>
        </w:trPr>
        <w:tc>
          <w:tcPr>
            <w:tcW w:w="5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13,200</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11,052</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36,524</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21,853</w:t>
            </w:r>
          </w:p>
        </w:tc>
        <w:tc>
          <w:tcPr>
            <w:tcW w:w="100" w:type="dxa"/>
            <w:vAlign w:val="bottom"/>
          </w:tcPr>
          <w:p>
            <w:pPr>
              <w:spacing w:after="0"/>
              <w:rPr>
                <w:sz w:val="18"/>
                <w:szCs w:val="18"/>
                <w:color w:val="auto"/>
              </w:rPr>
            </w:pPr>
          </w:p>
        </w:tc>
      </w:tr>
      <w:tr>
        <w:trPr>
          <w:trHeight w:val="210"/>
        </w:trPr>
        <w:tc>
          <w:tcPr>
            <w:tcW w:w="58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47,331</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60,418</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199,819</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143,818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tcPr>
          <w:p>
            <w:pPr>
              <w:spacing w:after="0"/>
              <w:rPr>
                <w:sz w:val="18"/>
                <w:szCs w:val="18"/>
                <w:color w:val="auto"/>
              </w:rPr>
            </w:pPr>
          </w:p>
        </w:tc>
        <w:tc>
          <w:tcPr>
            <w:tcW w:w="13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(47,331 )</w:t>
            </w:r>
          </w:p>
        </w:tc>
        <w:tc>
          <w:tcPr>
            <w:tcW w:w="100" w:type="dxa"/>
            <w:vAlign w:val="bottom"/>
          </w:tcPr>
          <w:p>
            <w:pPr>
              <w:spacing w:after="0"/>
              <w:rPr>
                <w:sz w:val="18"/>
                <w:szCs w:val="18"/>
                <w:color w:val="auto"/>
              </w:rPr>
            </w:pPr>
          </w:p>
        </w:tc>
        <w:tc>
          <w:tcPr>
            <w:tcW w:w="12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(60,418 )</w:t>
            </w:r>
          </w:p>
        </w:tc>
        <w:tc>
          <w:tcPr>
            <w:tcW w:w="140" w:type="dxa"/>
            <w:vAlign w:val="bottom"/>
          </w:tcPr>
          <w:p>
            <w:pPr>
              <w:spacing w:after="0"/>
              <w:rPr>
                <w:sz w:val="18"/>
                <w:szCs w:val="18"/>
                <w:color w:val="auto"/>
              </w:rPr>
            </w:pPr>
          </w:p>
        </w:tc>
        <w:tc>
          <w:tcPr>
            <w:tcW w:w="12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(199,819 )</w:t>
            </w:r>
          </w:p>
        </w:tc>
        <w:tc>
          <w:tcPr>
            <w:tcW w:w="1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(143,818 )</w:t>
            </w:r>
          </w:p>
        </w:tc>
      </w:tr>
      <w:tr>
        <w:trPr>
          <w:trHeight w:val="209"/>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3,076</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8"/>
                <w:szCs w:val="18"/>
                <w:color w:val="auto"/>
              </w:rPr>
            </w:pPr>
          </w:p>
        </w:tc>
      </w:tr>
      <w:tr>
        <w:trPr>
          <w:trHeight w:val="210"/>
        </w:trPr>
        <w:tc>
          <w:tcPr>
            <w:tcW w:w="58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3,076</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spacing w:after="0"/>
              <w:rPr>
                <w:sz w:val="18"/>
                <w:szCs w:val="18"/>
                <w:color w:val="auto"/>
              </w:rPr>
            </w:pPr>
          </w:p>
        </w:tc>
        <w:tc>
          <w:tcPr>
            <w:tcW w:w="13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(45,087 )</w:t>
            </w:r>
          </w:p>
        </w:tc>
        <w:tc>
          <w:tcPr>
            <w:tcW w:w="100" w:type="dxa"/>
            <w:vAlign w:val="bottom"/>
          </w:tcPr>
          <w:p>
            <w:pPr>
              <w:spacing w:after="0"/>
              <w:rPr>
                <w:sz w:val="18"/>
                <w:szCs w:val="18"/>
                <w:color w:val="auto"/>
              </w:rPr>
            </w:pPr>
          </w:p>
        </w:tc>
        <w:tc>
          <w:tcPr>
            <w:tcW w:w="12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(60,375 )</w:t>
            </w:r>
          </w:p>
        </w:tc>
        <w:tc>
          <w:tcPr>
            <w:tcW w:w="140" w:type="dxa"/>
            <w:vAlign w:val="bottom"/>
          </w:tcPr>
          <w:p>
            <w:pPr>
              <w:spacing w:after="0"/>
              <w:rPr>
                <w:sz w:val="18"/>
                <w:szCs w:val="18"/>
                <w:color w:val="auto"/>
              </w:rPr>
            </w:pPr>
          </w:p>
        </w:tc>
        <w:tc>
          <w:tcPr>
            <w:tcW w:w="12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(196,743 )</w:t>
            </w:r>
          </w:p>
        </w:tc>
        <w:tc>
          <w:tcPr>
            <w:tcW w:w="1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(143,748 )</w:t>
            </w:r>
          </w:p>
        </w:tc>
      </w:tr>
      <w:tr>
        <w:trPr>
          <w:trHeight w:val="210"/>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2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gain on available-for-sale securities, net of tax</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r>
      <w:tr>
        <w:trPr>
          <w:trHeight w:val="249"/>
        </w:trPr>
        <w:tc>
          <w:tcPr>
            <w:tcW w:w="5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1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(45,041</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(60,372</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(196,689</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(143,745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7"/>
        </w:trPr>
        <w:tc>
          <w:tcPr>
            <w:tcW w:w="58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1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01"/>
              <w:spacing w:after="0" w:line="196" w:lineRule="exact"/>
              <w:rPr>
                <w:sz w:val="20"/>
                <w:szCs w:val="20"/>
                <w:color w:val="auto"/>
              </w:rPr>
            </w:pPr>
            <w:r>
              <w:rPr>
                <w:rFonts w:ascii="Times New Roman" w:cs="Times New Roman" w:eastAsia="Times New Roman" w:hAnsi="Times New Roman"/>
                <w:sz w:val="18"/>
                <w:szCs w:val="18"/>
                <w:color w:val="auto"/>
              </w:rPr>
              <w:t>(0.42 )</w:t>
            </w: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(0.98 )</w:t>
            </w:r>
          </w:p>
        </w:tc>
        <w:tc>
          <w:tcPr>
            <w:tcW w:w="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(1.82 )</w:t>
            </w:r>
          </w:p>
        </w:tc>
        <w:tc>
          <w:tcPr>
            <w:tcW w:w="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(7.06 )</w:t>
            </w:r>
          </w:p>
        </w:tc>
      </w:tr>
      <w:tr>
        <w:trPr>
          <w:trHeight w:val="20"/>
        </w:trPr>
        <w:tc>
          <w:tcPr>
            <w:tcW w:w="5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84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12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108,420,674</w:t>
            </w:r>
          </w:p>
        </w:tc>
        <w:tc>
          <w:tcPr>
            <w:tcW w:w="2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61,297,086</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108,154,397</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20,346,771</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-1499235</wp:posOffset>
            </wp:positionV>
            <wp:extent cx="7747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-1499235</wp:posOffset>
            </wp:positionV>
            <wp:extent cx="6858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-1499235</wp:posOffset>
            </wp:positionV>
            <wp:extent cx="6858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-1499235</wp:posOffset>
            </wp:positionV>
            <wp:extent cx="6858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-925195</wp:posOffset>
            </wp:positionV>
            <wp:extent cx="7747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-925195</wp:posOffset>
            </wp:positionV>
            <wp:extent cx="6858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-925195</wp:posOffset>
            </wp:positionV>
            <wp:extent cx="6858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-925195</wp:posOffset>
            </wp:positionV>
            <wp:extent cx="6858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-350520</wp:posOffset>
            </wp:positionV>
            <wp:extent cx="2682875" cy="1885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682875" cy="18859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-24765</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-7620</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-24765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-7620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-24765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-7620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 w:lineRule="exact"/>
        <w:rPr>
          <w:sz w:val="20"/>
          <w:szCs w:val="20"/>
          <w:color w:val="auto"/>
        </w:rPr>
      </w:pPr>
    </w:p>
    <w:p>
      <w:pPr>
        <w:ind w:left="520" w:hanging="512"/>
        <w:spacing w:after="0" w:line="254"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related-party amounts of $1,742 and $6,027 for the three and nine months ended September 30, 2022, respectively, and $1,826 and $2,261 for the three and nine months ended September 30, 2021, respectively (see Note 15).</w:t>
      </w:r>
    </w:p>
    <w:p>
      <w:pPr>
        <w:ind w:left="520" w:right="20" w:hanging="512"/>
        <w:spacing w:after="0" w:line="243"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related-party amounts of $4,000 for both the three and nine months ended September 30, 2022, and $4,000 and $7,500 for the three and nine months ended September 30, 2021, respectively (see Note 15).</w:t>
      </w:r>
    </w:p>
    <w:p>
      <w:pPr>
        <w:spacing w:after="0" w:line="7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117"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CONVERTIBLE</w:t>
      </w:r>
    </w:p>
    <w:p>
      <w:pPr>
        <w:spacing w:after="0" w:line="104"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PREFERRED STOCK AND STOCKHOLDERS’ EQUITY (DEFICIT)</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Borders>
              <w:right w:val="single" w:sz="8" w:color="auto"/>
            </w:tcBorders>
            <w:gridSpan w:val="6"/>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Convertible Preferred</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4"/>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8"/>
        </w:trPr>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Borders>
              <w:right w:val="single" w:sz="8" w:color="auto"/>
            </w:tcBorders>
            <w:gridSpan w:val="6"/>
            <w:vMerge w:val="continue"/>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vMerge w:val="restart"/>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center"/>
              <w:ind w:right="200"/>
              <w:spacing w:after="0" w:line="139"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80" w:type="dxa"/>
            <w:vAlign w:val="bottom"/>
          </w:tcPr>
          <w:p>
            <w:pPr>
              <w:spacing w:after="0"/>
              <w:rPr>
                <w:sz w:val="12"/>
                <w:szCs w:val="12"/>
                <w:color w:val="auto"/>
              </w:rPr>
            </w:pPr>
          </w:p>
        </w:tc>
        <w:tc>
          <w:tcPr>
            <w:tcW w:w="960" w:type="dxa"/>
            <w:vAlign w:val="bottom"/>
            <w:gridSpan w:val="3"/>
          </w:tcPr>
          <w:p>
            <w:pPr>
              <w:jc w:val="center"/>
              <w:ind w:right="420"/>
              <w:spacing w:after="0" w:line="139" w:lineRule="exact"/>
              <w:rPr>
                <w:sz w:val="20"/>
                <w:szCs w:val="20"/>
                <w:color w:val="auto"/>
              </w:rPr>
            </w:pPr>
            <w:r>
              <w:rPr>
                <w:rFonts w:ascii="Times New Roman" w:cs="Times New Roman" w:eastAsia="Times New Roman" w:hAnsi="Times New Roman"/>
                <w:sz w:val="13"/>
                <w:szCs w:val="13"/>
                <w:b w:val="1"/>
                <w:bCs w:val="1"/>
                <w:color w:val="auto"/>
              </w:rPr>
              <w:t>Other</w:t>
            </w:r>
          </w:p>
        </w:tc>
        <w:tc>
          <w:tcPr>
            <w:tcW w:w="900" w:type="dxa"/>
            <w:vAlign w:val="bottom"/>
            <w:gridSpan w:val="4"/>
          </w:tcPr>
          <w:p>
            <w:pPr>
              <w:jc w:val="center"/>
              <w:ind w:right="220"/>
              <w:spacing w:after="0" w:line="139" w:lineRule="exact"/>
              <w:rPr>
                <w:sz w:val="20"/>
                <w:szCs w:val="20"/>
                <w:color w:val="auto"/>
              </w:rPr>
            </w:pPr>
            <w:r>
              <w:rPr>
                <w:rFonts w:ascii="Times New Roman" w:cs="Times New Roman" w:eastAsia="Times New Roman" w:hAnsi="Times New Roman"/>
                <w:sz w:val="13"/>
                <w:szCs w:val="13"/>
                <w:b w:val="1"/>
                <w:bCs w:val="1"/>
                <w:color w:val="auto"/>
              </w:rPr>
              <w:t>Accumulat</w:t>
            </w:r>
          </w:p>
        </w:tc>
        <w:tc>
          <w:tcPr>
            <w:tcW w:w="90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76"/>
        </w:trPr>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bottom w:val="single" w:sz="8" w:color="auto"/>
            </w:tcBorders>
            <w:gridSpan w:val="3"/>
          </w:tcPr>
          <w:p>
            <w:pPr>
              <w:jc w:val="center"/>
              <w:ind w:left="433"/>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bottom w:val="single" w:sz="8" w:color="auto"/>
            </w:tcBorders>
            <w:gridSpan w:val="3"/>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4"/>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140" w:type="dxa"/>
            <w:vAlign w:val="bottom"/>
            <w:gridSpan w:val="4"/>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20" w:type="dxa"/>
            <w:vAlign w:val="bottom"/>
          </w:tcPr>
          <w:p>
            <w:pPr>
              <w:spacing w:after="0"/>
              <w:rPr>
                <w:sz w:val="15"/>
                <w:szCs w:val="15"/>
                <w:color w:val="auto"/>
              </w:rPr>
            </w:pPr>
          </w:p>
        </w:tc>
        <w:tc>
          <w:tcPr>
            <w:tcW w:w="780" w:type="dxa"/>
            <w:vAlign w:val="bottom"/>
            <w:gridSpan w:val="3"/>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1"/>
              </w:rPr>
              <w:t>ed</w:t>
            </w:r>
          </w:p>
        </w:tc>
        <w:tc>
          <w:tcPr>
            <w:tcW w:w="120" w:type="dxa"/>
            <w:vAlign w:val="bottom"/>
          </w:tcPr>
          <w:p>
            <w:pPr>
              <w:spacing w:after="0"/>
              <w:rPr>
                <w:sz w:val="15"/>
                <w:szCs w:val="15"/>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0" w:type="dxa"/>
            <w:vAlign w:val="bottom"/>
          </w:tcPr>
          <w:p>
            <w:pPr>
              <w:spacing w:after="0"/>
              <w:rPr>
                <w:sz w:val="1"/>
                <w:szCs w:val="1"/>
                <w:color w:val="auto"/>
              </w:rPr>
            </w:pPr>
          </w:p>
        </w:tc>
      </w:tr>
      <w:tr>
        <w:trPr>
          <w:trHeight w:val="125"/>
        </w:trPr>
        <w:tc>
          <w:tcPr>
            <w:tcW w:w="2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gridSpan w:val="2"/>
            <w:vMerge w:val="restart"/>
          </w:tcPr>
          <w:p>
            <w:pPr>
              <w:spacing w:after="0"/>
              <w:rPr>
                <w:sz w:val="10"/>
                <w:szCs w:val="10"/>
                <w:color w:val="auto"/>
              </w:rPr>
            </w:pPr>
          </w:p>
        </w:tc>
        <w:tc>
          <w:tcPr>
            <w:tcW w:w="48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3"/>
                <w:szCs w:val="13"/>
                <w:b w:val="1"/>
                <w:bCs w:val="1"/>
                <w:color w:val="auto"/>
              </w:rPr>
              <w:t>Amoun</w:t>
            </w:r>
          </w:p>
        </w:tc>
        <w:tc>
          <w:tcPr>
            <w:tcW w:w="2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vMerge w:val="restart"/>
          </w:tcPr>
          <w:p>
            <w:pPr>
              <w:spacing w:after="0"/>
              <w:rPr>
                <w:sz w:val="10"/>
                <w:szCs w:val="10"/>
                <w:color w:val="auto"/>
              </w:rPr>
            </w:pPr>
          </w:p>
        </w:tc>
        <w:tc>
          <w:tcPr>
            <w:tcW w:w="620" w:type="dxa"/>
            <w:vAlign w:val="bottom"/>
            <w:gridSpan w:val="2"/>
            <w:vMerge w:val="restart"/>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gridSpan w:val="2"/>
            <w:vMerge w:val="restart"/>
          </w:tcPr>
          <w:p>
            <w:pPr>
              <w:spacing w:after="0"/>
              <w:rPr>
                <w:sz w:val="10"/>
                <w:szCs w:val="10"/>
                <w:color w:val="auto"/>
              </w:rPr>
            </w:pPr>
          </w:p>
        </w:tc>
        <w:tc>
          <w:tcPr>
            <w:tcW w:w="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gridSpan w:val="2"/>
            <w:vMerge w:val="restart"/>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00" w:type="dxa"/>
            <w:vAlign w:val="bottom"/>
            <w:vMerge w:val="restart"/>
          </w:tcPr>
          <w:p>
            <w:pPr>
              <w:spacing w:after="0"/>
              <w:rPr>
                <w:sz w:val="10"/>
                <w:szCs w:val="10"/>
                <w:color w:val="auto"/>
              </w:rPr>
            </w:pPr>
          </w:p>
        </w:tc>
        <w:tc>
          <w:tcPr>
            <w:tcW w:w="9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Income (Loss)</w:t>
            </w:r>
          </w:p>
        </w:tc>
        <w:tc>
          <w:tcPr>
            <w:tcW w:w="220" w:type="dxa"/>
            <w:vAlign w:val="bottom"/>
            <w:gridSpan w:val="2"/>
            <w:vMerge w:val="restart"/>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vMerge w:val="restart"/>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00" w:type="dxa"/>
            <w:vAlign w:val="bottom"/>
            <w:gridSpan w:val="2"/>
            <w:vMerge w:val="restart"/>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260"/>
              <w:spacing w:after="0" w:line="126" w:lineRule="exact"/>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78"/>
        </w:trPr>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t</w:t>
            </w:r>
          </w:p>
        </w:tc>
        <w:tc>
          <w:tcPr>
            <w:tcW w:w="2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620" w:type="dxa"/>
            <w:vAlign w:val="bottom"/>
            <w:tcBorders>
              <w:bottom w:val="single" w:sz="8" w:color="auto"/>
            </w:tcBorders>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560" w:type="dxa"/>
            <w:vAlign w:val="bottom"/>
            <w:tcBorders>
              <w:bottom w:val="single" w:sz="8" w:color="auto"/>
            </w:tcBorders>
            <w:gridSpan w:val="2"/>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920" w:type="dxa"/>
            <w:vAlign w:val="bottom"/>
            <w:tcBorders>
              <w:bottom w:val="single" w:sz="8" w:color="auto"/>
            </w:tcBorders>
            <w:gridSpan w:val="2"/>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380" w:type="dxa"/>
            <w:vAlign w:val="bottom"/>
            <w:gridSpan w:val="2"/>
            <w:shd w:val="clear" w:color="auto" w:fill="CFF0FC"/>
          </w:tcPr>
          <w:p>
            <w:pPr>
              <w:ind w:left="20"/>
              <w:spacing w:after="0" w:line="130" w:lineRule="exact"/>
              <w:rPr>
                <w:sz w:val="20"/>
                <w:szCs w:val="20"/>
                <w:color w:val="auto"/>
              </w:rPr>
            </w:pPr>
            <w:r>
              <w:rPr>
                <w:rFonts w:ascii="Times New Roman" w:cs="Times New Roman" w:eastAsia="Times New Roman" w:hAnsi="Times New Roman"/>
                <w:sz w:val="13"/>
                <w:szCs w:val="13"/>
                <w:b w:val="1"/>
                <w:bCs w:val="1"/>
                <w:color w:val="auto"/>
              </w:rPr>
              <w:t>Balances at December 31, 2020</w:t>
            </w:r>
          </w:p>
        </w:tc>
        <w:tc>
          <w:tcPr>
            <w:tcW w:w="620" w:type="dxa"/>
            <w:vAlign w:val="bottom"/>
            <w:shd w:val="clear" w:color="auto" w:fill="CFF0FC"/>
          </w:tcPr>
          <w:p>
            <w:pPr>
              <w:jc w:val="right"/>
              <w:spacing w:after="0" w:line="130" w:lineRule="exact"/>
              <w:rPr>
                <w:sz w:val="20"/>
                <w:szCs w:val="20"/>
                <w:color w:val="auto"/>
              </w:rPr>
            </w:pPr>
            <w:r>
              <w:rPr>
                <w:rFonts w:ascii="Times New Roman" w:cs="Times New Roman" w:eastAsia="Times New Roman" w:hAnsi="Times New Roman"/>
                <w:sz w:val="13"/>
                <w:szCs w:val="13"/>
                <w:color w:val="auto"/>
              </w:rPr>
              <w:t>12,647,9</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FF0FC"/>
          </w:tcPr>
          <w:p>
            <w:pPr>
              <w:jc w:val="right"/>
              <w:spacing w:after="0" w:line="130" w:lineRule="exact"/>
              <w:rPr>
                <w:sz w:val="20"/>
                <w:szCs w:val="20"/>
                <w:color w:val="auto"/>
              </w:rPr>
            </w:pPr>
            <w:r>
              <w:rPr>
                <w:rFonts w:ascii="Times New Roman" w:cs="Times New Roman" w:eastAsia="Times New Roman" w:hAnsi="Times New Roman"/>
                <w:sz w:val="13"/>
                <w:szCs w:val="13"/>
                <w:color w:val="auto"/>
              </w:rPr>
              <w:t>169,5</w:t>
            </w:r>
          </w:p>
        </w:tc>
        <w:tc>
          <w:tcPr>
            <w:tcW w:w="24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0" w:lineRule="exact"/>
              <w:rPr>
                <w:sz w:val="20"/>
                <w:szCs w:val="20"/>
                <w:color w:val="auto"/>
              </w:rPr>
            </w:pPr>
            <w:r>
              <w:rPr>
                <w:rFonts w:ascii="Times New Roman" w:cs="Times New Roman" w:eastAsia="Times New Roman" w:hAnsi="Times New Roman"/>
                <w:sz w:val="13"/>
                <w:szCs w:val="13"/>
                <w:color w:val="auto"/>
              </w:rPr>
              <w:t>5,593,24</w:t>
            </w:r>
          </w:p>
        </w:tc>
        <w:tc>
          <w:tcPr>
            <w:tcW w:w="220" w:type="dxa"/>
            <w:vAlign w:val="bottom"/>
            <w:shd w:val="clear" w:color="auto" w:fill="CFF0FC"/>
          </w:tcPr>
          <w:p>
            <w:pPr>
              <w:spacing w:after="0"/>
              <w:rPr>
                <w:sz w:val="11"/>
                <w:szCs w:val="11"/>
                <w:color w:val="auto"/>
              </w:rPr>
            </w:pPr>
          </w:p>
        </w:tc>
        <w:tc>
          <w:tcPr>
            <w:tcW w:w="400" w:type="dxa"/>
            <w:vAlign w:val="bottom"/>
            <w:vMerge w:val="restart"/>
            <w:shd w:val="clear" w:color="auto" w:fill="CFF0FC"/>
          </w:tcPr>
          <w:p>
            <w:pPr>
              <w:jc w:val="right"/>
              <w:ind w:right="253"/>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0" w:lineRule="exact"/>
              <w:rPr>
                <w:sz w:val="20"/>
                <w:szCs w:val="20"/>
                <w:color w:val="auto"/>
              </w:rPr>
            </w:pPr>
            <w:r>
              <w:rPr>
                <w:rFonts w:ascii="Times New Roman" w:cs="Times New Roman" w:eastAsia="Times New Roman" w:hAnsi="Times New Roman"/>
                <w:sz w:val="13"/>
                <w:szCs w:val="13"/>
                <w:color w:val="auto"/>
              </w:rPr>
              <w:t>22,600,0</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vMerge w:val="restart"/>
            <w:shd w:val="clear" w:color="auto" w:fill="CFF0FC"/>
          </w:tcPr>
          <w:p>
            <w:pPr>
              <w:jc w:val="right"/>
              <w:ind w:right="193"/>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(85 )</w:t>
            </w:r>
          </w:p>
        </w:tc>
        <w:tc>
          <w:tcPr>
            <w:tcW w:w="100" w:type="dxa"/>
            <w:vAlign w:val="bottom"/>
            <w:shd w:val="clear" w:color="auto" w:fill="CFF0FC"/>
          </w:tcPr>
          <w:p>
            <w:pPr>
              <w:spacing w:after="0"/>
              <w:rPr>
                <w:sz w:val="11"/>
                <w:szCs w:val="11"/>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154</w:t>
            </w:r>
          </w:p>
        </w:tc>
        <w:tc>
          <w:tcPr>
            <w:tcW w:w="200" w:type="dxa"/>
            <w:vAlign w:val="bottom"/>
            <w:shd w:val="clear" w:color="auto" w:fill="CFF0FC"/>
          </w:tcPr>
          <w:p>
            <w:pPr>
              <w:spacing w:after="0"/>
              <w:rPr>
                <w:sz w:val="11"/>
                <w:szCs w:val="11"/>
                <w:color w:val="auto"/>
              </w:rPr>
            </w:pPr>
          </w:p>
        </w:tc>
        <w:tc>
          <w:tcPr>
            <w:tcW w:w="180" w:type="dxa"/>
            <w:vAlign w:val="bottom"/>
            <w:vMerge w:val="restart"/>
            <w:shd w:val="clear" w:color="auto" w:fill="CFF0FC"/>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3"/>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(65,319 )</w:t>
            </w:r>
          </w:p>
        </w:tc>
        <w:tc>
          <w:tcPr>
            <w:tcW w:w="100" w:type="dxa"/>
            <w:vAlign w:val="bottom"/>
            <w:shd w:val="clear" w:color="auto" w:fill="CFF0FC"/>
          </w:tcPr>
          <w:p>
            <w:pPr>
              <w:spacing w:after="0"/>
              <w:rPr>
                <w:sz w:val="11"/>
                <w:szCs w:val="11"/>
                <w:color w:val="auto"/>
              </w:rPr>
            </w:pPr>
          </w:p>
        </w:tc>
        <w:tc>
          <w:tcPr>
            <w:tcW w:w="1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(65,249 )</w:t>
            </w:r>
          </w:p>
        </w:tc>
        <w:tc>
          <w:tcPr>
            <w:tcW w:w="0" w:type="dxa"/>
            <w:vAlign w:val="bottom"/>
          </w:tcPr>
          <w:p>
            <w:pPr>
              <w:spacing w:after="0"/>
              <w:rPr>
                <w:sz w:val="1"/>
                <w:szCs w:val="1"/>
                <w:color w:val="auto"/>
              </w:rPr>
            </w:pPr>
          </w:p>
        </w:tc>
      </w:tr>
      <w:tr>
        <w:trPr>
          <w:trHeight w:val="175"/>
        </w:trPr>
        <w:tc>
          <w:tcPr>
            <w:tcW w:w="2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vMerge w:val="continue"/>
            <w:shd w:val="clear" w:color="auto" w:fill="CFF0FC"/>
          </w:tcPr>
          <w:p>
            <w:pPr>
              <w:spacing w:after="0"/>
              <w:rPr>
                <w:sz w:val="15"/>
                <w:szCs w:val="15"/>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24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220" w:type="dxa"/>
            <w:vAlign w:val="bottom"/>
            <w:shd w:val="clear" w:color="auto" w:fill="CFF0FC"/>
          </w:tcPr>
          <w:p>
            <w:pPr>
              <w:spacing w:after="0"/>
              <w:rPr>
                <w:sz w:val="15"/>
                <w:szCs w:val="15"/>
                <w:color w:val="auto"/>
              </w:rPr>
            </w:pPr>
          </w:p>
        </w:tc>
        <w:tc>
          <w:tcPr>
            <w:tcW w:w="400" w:type="dxa"/>
            <w:vAlign w:val="bottom"/>
            <w:vMerge w:val="continue"/>
            <w:shd w:val="clear" w:color="auto" w:fill="CFF0FC"/>
          </w:tcPr>
          <w:p>
            <w:pPr>
              <w:spacing w:after="0"/>
              <w:rPr>
                <w:sz w:val="15"/>
                <w:szCs w:val="15"/>
                <w:color w:val="auto"/>
              </w:rPr>
            </w:pPr>
          </w:p>
        </w:tc>
        <w:tc>
          <w:tcPr>
            <w:tcW w:w="220" w:type="dxa"/>
            <w:vAlign w:val="bottom"/>
            <w:vMerge w:val="continue"/>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00</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40" w:type="dxa"/>
            <w:vAlign w:val="bottom"/>
            <w:vMerge w:val="continue"/>
            <w:shd w:val="clear" w:color="auto" w:fill="CFF0FC"/>
          </w:tcPr>
          <w:p>
            <w:pPr>
              <w:spacing w:after="0"/>
              <w:rPr>
                <w:sz w:val="15"/>
                <w:szCs w:val="15"/>
                <w:color w:val="auto"/>
              </w:rPr>
            </w:pPr>
          </w:p>
        </w:tc>
        <w:tc>
          <w:tcPr>
            <w:tcW w:w="340" w:type="dxa"/>
            <w:vAlign w:val="bottom"/>
            <w:gridSpan w:val="2"/>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vMerge w:val="continue"/>
            <w:shd w:val="clear" w:color="auto" w:fill="CFF0FC"/>
          </w:tcPr>
          <w:p>
            <w:pPr>
              <w:spacing w:after="0"/>
              <w:rPr>
                <w:sz w:val="15"/>
                <w:szCs w:val="15"/>
                <w:color w:val="auto"/>
              </w:rPr>
            </w:pPr>
          </w:p>
        </w:tc>
        <w:tc>
          <w:tcPr>
            <w:tcW w:w="600" w:type="dxa"/>
            <w:vAlign w:val="bottom"/>
            <w:vMerge w:val="continue"/>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vMerge w:val="continue"/>
            <w:shd w:val="clear" w:color="auto" w:fill="CFF0FC"/>
          </w:tcPr>
          <w:p>
            <w:pPr>
              <w:spacing w:after="0"/>
              <w:rPr>
                <w:sz w:val="15"/>
                <w:szCs w:val="15"/>
                <w:color w:val="auto"/>
              </w:rPr>
            </w:pPr>
          </w:p>
        </w:tc>
        <w:tc>
          <w:tcPr>
            <w:tcW w:w="960" w:type="dxa"/>
            <w:vAlign w:val="bottom"/>
            <w:gridSpan w:val="3"/>
            <w:vMerge w:val="continue"/>
            <w:shd w:val="clear" w:color="auto" w:fill="CFF0FC"/>
          </w:tcPr>
          <w:p>
            <w:pPr>
              <w:spacing w:after="0"/>
              <w:rPr>
                <w:sz w:val="15"/>
                <w:szCs w:val="15"/>
                <w:color w:val="auto"/>
              </w:rPr>
            </w:pPr>
          </w:p>
        </w:tc>
        <w:tc>
          <w:tcPr>
            <w:tcW w:w="120" w:type="dxa"/>
            <w:vAlign w:val="bottom"/>
            <w:vMerge w:val="continue"/>
            <w:shd w:val="clear" w:color="auto" w:fill="CFF0FC"/>
          </w:tcPr>
          <w:p>
            <w:pPr>
              <w:spacing w:after="0"/>
              <w:rPr>
                <w:sz w:val="15"/>
                <w:szCs w:val="15"/>
                <w:color w:val="auto"/>
              </w:rPr>
            </w:pPr>
          </w:p>
        </w:tc>
        <w:tc>
          <w:tcPr>
            <w:tcW w:w="680" w:type="dxa"/>
            <w:vAlign w:val="bottom"/>
            <w:gridSpan w:val="2"/>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vMerge w:val="continue"/>
            <w:shd w:val="clear" w:color="auto" w:fill="CFF0FC"/>
          </w:tcPr>
          <w:p>
            <w:pPr>
              <w:spacing w:after="0"/>
              <w:rPr>
                <w:sz w:val="15"/>
                <w:szCs w:val="15"/>
                <w:color w:val="auto"/>
              </w:rPr>
            </w:pPr>
          </w:p>
        </w:tc>
        <w:tc>
          <w:tcPr>
            <w:tcW w:w="780" w:type="dxa"/>
            <w:vAlign w:val="bottom"/>
            <w:gridSpan w:val="2"/>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0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5"/>
                <w:szCs w:val="15"/>
                <w:color w:val="auto"/>
              </w:rPr>
            </w:pPr>
          </w:p>
        </w:tc>
        <w:tc>
          <w:tcPr>
            <w:tcW w:w="4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587</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3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(38,700 )</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(38,700 )</w:t>
            </w:r>
          </w:p>
        </w:tc>
        <w:tc>
          <w:tcPr>
            <w:tcW w:w="0" w:type="dxa"/>
            <w:vAlign w:val="bottom"/>
          </w:tcPr>
          <w:p>
            <w:pPr>
              <w:spacing w:after="0"/>
              <w:rPr>
                <w:sz w:val="1"/>
                <w:szCs w:val="1"/>
                <w:color w:val="auto"/>
              </w:rPr>
            </w:pPr>
          </w:p>
        </w:tc>
      </w:tr>
      <w:tr>
        <w:trPr>
          <w:trHeight w:val="20"/>
        </w:trPr>
        <w:tc>
          <w:tcPr>
            <w:tcW w:w="22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380" w:type="dxa"/>
            <w:vAlign w:val="bottom"/>
            <w:gridSpan w:val="2"/>
          </w:tcPr>
          <w:p>
            <w:pPr>
              <w:ind w:left="20"/>
              <w:spacing w:after="0" w:line="130" w:lineRule="exact"/>
              <w:rPr>
                <w:sz w:val="20"/>
                <w:szCs w:val="20"/>
                <w:color w:val="auto"/>
              </w:rPr>
            </w:pPr>
            <w:r>
              <w:rPr>
                <w:rFonts w:ascii="Times New Roman" w:cs="Times New Roman" w:eastAsia="Times New Roman" w:hAnsi="Times New Roman"/>
                <w:sz w:val="13"/>
                <w:szCs w:val="13"/>
                <w:b w:val="1"/>
                <w:bCs w:val="1"/>
                <w:color w:val="auto"/>
              </w:rPr>
              <w:t>Balances at March 31, 2021</w:t>
            </w:r>
          </w:p>
        </w:tc>
        <w:tc>
          <w:tcPr>
            <w:tcW w:w="62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12,647,9</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169,5</w:t>
            </w: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5,593,24</w:t>
            </w:r>
          </w:p>
        </w:tc>
        <w:tc>
          <w:tcPr>
            <w:tcW w:w="220" w:type="dxa"/>
            <w:vAlign w:val="bottom"/>
          </w:tcPr>
          <w:p>
            <w:pPr>
              <w:spacing w:after="0"/>
              <w:rPr>
                <w:sz w:val="11"/>
                <w:szCs w:val="11"/>
                <w:color w:val="auto"/>
              </w:rPr>
            </w:pPr>
          </w:p>
        </w:tc>
        <w:tc>
          <w:tcPr>
            <w:tcW w:w="400" w:type="dxa"/>
            <w:vAlign w:val="bottom"/>
            <w:vMerge w:val="restart"/>
          </w:tcPr>
          <w:p>
            <w:pPr>
              <w:jc w:val="right"/>
              <w:ind w:right="253"/>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22,600,0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vMerge w:val="restart"/>
          </w:tcPr>
          <w:p>
            <w:pPr>
              <w:jc w:val="right"/>
              <w:ind w:right="193"/>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(85 )</w:t>
            </w: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741</w:t>
            </w:r>
          </w:p>
        </w:tc>
        <w:tc>
          <w:tcPr>
            <w:tcW w:w="200" w:type="dxa"/>
            <w:vAlign w:val="bottom"/>
          </w:tcPr>
          <w:p>
            <w:pPr>
              <w:spacing w:after="0"/>
              <w:rPr>
                <w:sz w:val="11"/>
                <w:szCs w:val="11"/>
                <w:color w:val="auto"/>
              </w:rPr>
            </w:pPr>
          </w:p>
        </w:tc>
        <w:tc>
          <w:tcPr>
            <w:tcW w:w="180" w:type="dxa"/>
            <w:vAlign w:val="bottom"/>
            <w:vMerge w:val="restart"/>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(104,019 )</w:t>
            </w:r>
          </w:p>
        </w:tc>
        <w:tc>
          <w:tcPr>
            <w:tcW w:w="100" w:type="dxa"/>
            <w:vAlign w:val="bottom"/>
          </w:tcPr>
          <w:p>
            <w:pPr>
              <w:spacing w:after="0"/>
              <w:rPr>
                <w:sz w:val="11"/>
                <w:szCs w:val="11"/>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(103,362 )</w:t>
            </w:r>
          </w:p>
        </w:tc>
        <w:tc>
          <w:tcPr>
            <w:tcW w:w="0" w:type="dxa"/>
            <w:vAlign w:val="bottom"/>
          </w:tcPr>
          <w:p>
            <w:pPr>
              <w:spacing w:after="0"/>
              <w:rPr>
                <w:sz w:val="1"/>
                <w:szCs w:val="1"/>
                <w:color w:val="auto"/>
              </w:rPr>
            </w:pPr>
          </w:p>
        </w:tc>
      </w:tr>
      <w:tr>
        <w:trPr>
          <w:trHeight w:val="175"/>
        </w:trPr>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2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22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380" w:type="dxa"/>
            <w:vAlign w:val="bottom"/>
            <w:gridSpan w:val="2"/>
            <w:shd w:val="clear" w:color="auto" w:fill="CFF0FC"/>
          </w:tcPr>
          <w:p>
            <w:pPr>
              <w:ind w:left="20"/>
              <w:spacing w:after="0" w:line="116" w:lineRule="exact"/>
              <w:rPr>
                <w:sz w:val="20"/>
                <w:szCs w:val="20"/>
                <w:color w:val="auto"/>
              </w:rPr>
            </w:pPr>
            <w:r>
              <w:rPr>
                <w:rFonts w:ascii="Times New Roman" w:cs="Times New Roman" w:eastAsia="Times New Roman" w:hAnsi="Times New Roman"/>
                <w:sz w:val="13"/>
                <w:szCs w:val="13"/>
                <w:color w:val="auto"/>
              </w:rPr>
              <w:t>Issuance of Series C convertible</w:t>
            </w: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380" w:type="dxa"/>
            <w:vAlign w:val="bottom"/>
            <w:gridSpan w:val="2"/>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preferred stock, net of issuance costs of</w:t>
            </w:r>
          </w:p>
        </w:tc>
        <w:tc>
          <w:tcPr>
            <w:tcW w:w="6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4,296,55</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335,1</w:t>
            </w:r>
          </w:p>
        </w:tc>
        <w:tc>
          <w:tcPr>
            <w:tcW w:w="24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$337</w:t>
            </w: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240" w:type="dxa"/>
            <w:vAlign w:val="bottom"/>
            <w:tcBorders>
              <w:right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FF0FC"/>
          </w:tcPr>
          <w:p>
            <w:pPr>
              <w:spacing w:after="0"/>
              <w:rPr>
                <w:sz w:val="16"/>
                <w:szCs w:val="16"/>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spacing w:after="0"/>
              <w:rPr>
                <w:sz w:val="16"/>
                <w:szCs w:val="16"/>
                <w:color w:val="auto"/>
              </w:rPr>
            </w:pPr>
          </w:p>
        </w:tc>
        <w:tc>
          <w:tcPr>
            <w:tcW w:w="4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6"/>
                <w:szCs w:val="16"/>
                <w:color w:val="auto"/>
              </w:rPr>
            </w:pPr>
          </w:p>
        </w:tc>
        <w:tc>
          <w:tcPr>
            <w:tcW w:w="9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7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Issuance of common stock</w:t>
            </w: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0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6,000</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5"/>
                <w:szCs w:val="15"/>
                <w:color w:val="auto"/>
              </w:rPr>
            </w:pPr>
          </w:p>
        </w:tc>
        <w:tc>
          <w:tcPr>
            <w:tcW w:w="4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3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8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600" w:type="dxa"/>
            <w:vAlign w:val="bottom"/>
            <w:tcBorders>
              <w:right w:val="single" w:sz="8" w:color="auto"/>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spacing w:after="0"/>
              <w:rPr>
                <w:sz w:val="15"/>
                <w:szCs w:val="15"/>
                <w:color w:val="auto"/>
              </w:rPr>
            </w:pPr>
          </w:p>
        </w:tc>
        <w:tc>
          <w:tcPr>
            <w:tcW w:w="4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3,342</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7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3,342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380" w:type="dxa"/>
            <w:vAlign w:val="bottom"/>
            <w:gridSpan w:val="2"/>
          </w:tcPr>
          <w:p>
            <w:pPr>
              <w:ind w:left="20"/>
              <w:spacing w:after="0" w:line="136" w:lineRule="exact"/>
              <w:rPr>
                <w:sz w:val="20"/>
                <w:szCs w:val="20"/>
                <w:color w:val="auto"/>
              </w:rPr>
            </w:pPr>
            <w:r>
              <w:rPr>
                <w:rFonts w:ascii="Times New Roman" w:cs="Times New Roman" w:eastAsia="Times New Roman" w:hAnsi="Times New Roman"/>
                <w:sz w:val="13"/>
                <w:szCs w:val="13"/>
                <w:color w:val="auto"/>
              </w:rPr>
              <w:t>Vesting of restricted common stock from</w:t>
            </w:r>
          </w:p>
        </w:tc>
        <w:tc>
          <w:tcPr>
            <w:tcW w:w="86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0" w:type="dxa"/>
            <w:vAlign w:val="bottom"/>
            <w:tcBorders>
              <w:right w:val="single" w:sz="8" w:color="auto"/>
            </w:tcBorders>
            <w:gridSpan w:val="2"/>
            <w:vMerge w:val="restart"/>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1"/>
                <w:szCs w:val="11"/>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1"/>
                <w:szCs w:val="11"/>
                <w:color w:val="auto"/>
              </w:rPr>
            </w:pPr>
          </w:p>
        </w:tc>
        <w:tc>
          <w:tcPr>
            <w:tcW w:w="4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early-exercised options</w:t>
            </w:r>
          </w:p>
        </w:tc>
        <w:tc>
          <w:tcPr>
            <w:tcW w:w="8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Borders>
              <w:right w:val="single" w:sz="8" w:color="auto"/>
            </w:tcBorders>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380" w:type="dxa"/>
            <w:vAlign w:val="bottom"/>
            <w:gridSpan w:val="2"/>
            <w:shd w:val="clear" w:color="auto" w:fill="CFF0FC"/>
          </w:tcPr>
          <w:p>
            <w:pPr>
              <w:ind w:left="20"/>
              <w:spacing w:after="0" w:line="123" w:lineRule="exact"/>
              <w:rPr>
                <w:sz w:val="20"/>
                <w:szCs w:val="20"/>
                <w:color w:val="auto"/>
              </w:rPr>
            </w:pPr>
            <w:r>
              <w:rPr>
                <w:rFonts w:ascii="Times New Roman" w:cs="Times New Roman" w:eastAsia="Times New Roman" w:hAnsi="Times New Roman"/>
                <w:sz w:val="13"/>
                <w:szCs w:val="13"/>
                <w:color w:val="auto"/>
              </w:rPr>
              <w:t>Retirement of treasury stock</w:t>
            </w: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line="123" w:lineRule="exact"/>
              <w:rPr>
                <w:sz w:val="20"/>
                <w:szCs w:val="20"/>
                <w:color w:val="auto"/>
              </w:rPr>
            </w:pPr>
            <w:r>
              <w:rPr>
                <w:rFonts w:ascii="Times New Roman" w:cs="Times New Roman" w:eastAsia="Times New Roman" w:hAnsi="Times New Roman"/>
                <w:sz w:val="13"/>
                <w:szCs w:val="13"/>
                <w:color w:val="auto"/>
              </w:rPr>
              <w:t>(22,600,</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600" w:type="dxa"/>
            <w:vAlign w:val="bottom"/>
            <w:tcBorders>
              <w:right w:val="single" w:sz="8" w:color="auto"/>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FF0FC"/>
          </w:tcPr>
          <w:p>
            <w:pPr>
              <w:spacing w:after="0"/>
              <w:rPr>
                <w:sz w:val="16"/>
                <w:szCs w:val="16"/>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000 )</w:t>
            </w: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(85 )</w:t>
            </w:r>
          </w:p>
        </w:tc>
        <w:tc>
          <w:tcPr>
            <w:tcW w:w="180" w:type="dxa"/>
            <w:vAlign w:val="bottom"/>
            <w:shd w:val="clear" w:color="auto" w:fill="CFF0FC"/>
          </w:tcPr>
          <w:p>
            <w:pPr>
              <w:spacing w:after="0"/>
              <w:rPr>
                <w:sz w:val="16"/>
                <w:szCs w:val="16"/>
                <w:color w:val="auto"/>
              </w:rPr>
            </w:pPr>
          </w:p>
        </w:tc>
        <w:tc>
          <w:tcPr>
            <w:tcW w:w="9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7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4"/>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(44,673 )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(44,673 )</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280" w:type="dxa"/>
            <w:vAlign w:val="bottom"/>
            <w:shd w:val="clear" w:color="auto" w:fill="CFF0FC"/>
          </w:tcPr>
          <w:p>
            <w:pPr>
              <w:ind w:left="20"/>
              <w:spacing w:after="0" w:line="131" w:lineRule="exact"/>
              <w:rPr>
                <w:sz w:val="20"/>
                <w:szCs w:val="20"/>
                <w:color w:val="auto"/>
              </w:rPr>
            </w:pPr>
            <w:r>
              <w:rPr>
                <w:rFonts w:ascii="Times New Roman" w:cs="Times New Roman" w:eastAsia="Times New Roman" w:hAnsi="Times New Roman"/>
                <w:sz w:val="13"/>
                <w:szCs w:val="13"/>
                <w:b w:val="1"/>
                <w:bCs w:val="1"/>
                <w:color w:val="auto"/>
              </w:rPr>
              <w:t>Balances at June 30, 2021</w:t>
            </w: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16,944,4</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504,7</w:t>
            </w:r>
          </w:p>
        </w:tc>
        <w:tc>
          <w:tcPr>
            <w:tcW w:w="24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5,599,24</w:t>
            </w:r>
          </w:p>
        </w:tc>
        <w:tc>
          <w:tcPr>
            <w:tcW w:w="220" w:type="dxa"/>
            <w:vAlign w:val="bottom"/>
            <w:shd w:val="clear" w:color="auto" w:fill="CFF0FC"/>
          </w:tcPr>
          <w:p>
            <w:pPr>
              <w:spacing w:after="0"/>
              <w:rPr>
                <w:sz w:val="11"/>
                <w:szCs w:val="11"/>
                <w:color w:val="auto"/>
              </w:rPr>
            </w:pPr>
          </w:p>
        </w:tc>
        <w:tc>
          <w:tcPr>
            <w:tcW w:w="400" w:type="dxa"/>
            <w:vAlign w:val="bottom"/>
            <w:vMerge w:val="restart"/>
            <w:shd w:val="clear" w:color="auto" w:fill="CFF0FC"/>
          </w:tcPr>
          <w:p>
            <w:pPr>
              <w:jc w:val="right"/>
              <w:ind w:right="253"/>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40" w:type="dxa"/>
            <w:vAlign w:val="bottom"/>
            <w:shd w:val="clear" w:color="auto" w:fill="CFF0FC"/>
          </w:tcPr>
          <w:p>
            <w:pPr>
              <w:spacing w:after="0"/>
              <w:rPr>
                <w:sz w:val="11"/>
                <w:szCs w:val="11"/>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vMerge w:val="restart"/>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vMerge w:val="restart"/>
            <w:shd w:val="clear" w:color="auto" w:fill="CFF0FC"/>
          </w:tcPr>
          <w:p>
            <w:pPr>
              <w:jc w:val="right"/>
              <w:ind w:right="193"/>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vMerge w:val="restart"/>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4,067</w:t>
            </w:r>
          </w:p>
        </w:tc>
        <w:tc>
          <w:tcPr>
            <w:tcW w:w="200" w:type="dxa"/>
            <w:vAlign w:val="bottom"/>
            <w:shd w:val="clear" w:color="auto" w:fill="CFF0FC"/>
          </w:tcPr>
          <w:p>
            <w:pPr>
              <w:spacing w:after="0"/>
              <w:rPr>
                <w:sz w:val="11"/>
                <w:szCs w:val="11"/>
                <w:color w:val="auto"/>
              </w:rPr>
            </w:pPr>
          </w:p>
        </w:tc>
        <w:tc>
          <w:tcPr>
            <w:tcW w:w="180" w:type="dxa"/>
            <w:vAlign w:val="bottom"/>
            <w:vMerge w:val="restart"/>
            <w:shd w:val="clear" w:color="auto" w:fill="CFF0FC"/>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vMerge w:val="restart"/>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(148,692 )</w:t>
            </w:r>
          </w:p>
        </w:tc>
        <w:tc>
          <w:tcPr>
            <w:tcW w:w="100" w:type="dxa"/>
            <w:vAlign w:val="bottom"/>
            <w:shd w:val="clear" w:color="auto" w:fill="CFF0FC"/>
          </w:tcPr>
          <w:p>
            <w:pPr>
              <w:spacing w:after="0"/>
              <w:rPr>
                <w:sz w:val="11"/>
                <w:szCs w:val="11"/>
                <w:color w:val="auto"/>
              </w:rPr>
            </w:pPr>
          </w:p>
        </w:tc>
        <w:tc>
          <w:tcPr>
            <w:tcW w:w="1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(144,624 )</w:t>
            </w:r>
          </w:p>
        </w:tc>
        <w:tc>
          <w:tcPr>
            <w:tcW w:w="0" w:type="dxa"/>
            <w:vAlign w:val="bottom"/>
          </w:tcPr>
          <w:p>
            <w:pPr>
              <w:spacing w:after="0"/>
              <w:rPr>
                <w:sz w:val="1"/>
                <w:szCs w:val="1"/>
                <w:color w:val="auto"/>
              </w:rPr>
            </w:pPr>
          </w:p>
        </w:tc>
      </w:tr>
      <w:tr>
        <w:trPr>
          <w:trHeight w:val="214"/>
        </w:trPr>
        <w:tc>
          <w:tcPr>
            <w:tcW w:w="2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vMerge w:val="continue"/>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24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220" w:type="dxa"/>
            <w:vAlign w:val="bottom"/>
            <w:shd w:val="clear" w:color="auto" w:fill="CFF0FC"/>
          </w:tcPr>
          <w:p>
            <w:pPr>
              <w:spacing w:after="0"/>
              <w:rPr>
                <w:sz w:val="18"/>
                <w:szCs w:val="18"/>
                <w:color w:val="auto"/>
              </w:rPr>
            </w:pPr>
          </w:p>
        </w:tc>
        <w:tc>
          <w:tcPr>
            <w:tcW w:w="400" w:type="dxa"/>
            <w:vAlign w:val="bottom"/>
            <w:vMerge w:val="continue"/>
            <w:shd w:val="clear" w:color="auto" w:fill="CFF0FC"/>
          </w:tcPr>
          <w:p>
            <w:pPr>
              <w:spacing w:after="0"/>
              <w:rPr>
                <w:sz w:val="18"/>
                <w:szCs w:val="18"/>
                <w:color w:val="auto"/>
              </w:rPr>
            </w:pPr>
          </w:p>
        </w:tc>
        <w:tc>
          <w:tcPr>
            <w:tcW w:w="22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vMerge w:val="continue"/>
            <w:shd w:val="clear" w:color="auto" w:fill="CFF0FC"/>
          </w:tcPr>
          <w:p>
            <w:pPr>
              <w:spacing w:after="0"/>
              <w:rPr>
                <w:sz w:val="18"/>
                <w:szCs w:val="18"/>
                <w:color w:val="auto"/>
              </w:rPr>
            </w:pPr>
          </w:p>
        </w:tc>
        <w:tc>
          <w:tcPr>
            <w:tcW w:w="520" w:type="dxa"/>
            <w:vAlign w:val="bottom"/>
            <w:vMerge w:val="continue"/>
            <w:shd w:val="clear" w:color="auto" w:fill="CFF0FC"/>
          </w:tcPr>
          <w:p>
            <w:pPr>
              <w:spacing w:after="0"/>
              <w:rPr>
                <w:sz w:val="18"/>
                <w:szCs w:val="18"/>
                <w:color w:val="auto"/>
              </w:rPr>
            </w:pPr>
          </w:p>
        </w:tc>
        <w:tc>
          <w:tcPr>
            <w:tcW w:w="12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vMerge w:val="continue"/>
            <w:shd w:val="clear" w:color="auto" w:fill="CFF0FC"/>
          </w:tcPr>
          <w:p>
            <w:pPr>
              <w:spacing w:after="0"/>
              <w:rPr>
                <w:sz w:val="18"/>
                <w:szCs w:val="18"/>
                <w:color w:val="auto"/>
              </w:rPr>
            </w:pPr>
          </w:p>
        </w:tc>
        <w:tc>
          <w:tcPr>
            <w:tcW w:w="220" w:type="dxa"/>
            <w:vAlign w:val="bottom"/>
            <w:vMerge w:val="continue"/>
            <w:shd w:val="clear" w:color="auto" w:fill="CFF0FC"/>
          </w:tcPr>
          <w:p>
            <w:pPr>
              <w:spacing w:after="0"/>
              <w:rPr>
                <w:sz w:val="18"/>
                <w:szCs w:val="18"/>
                <w:color w:val="auto"/>
              </w:rPr>
            </w:pPr>
          </w:p>
        </w:tc>
        <w:tc>
          <w:tcPr>
            <w:tcW w:w="12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vMerge w:val="continue"/>
            <w:shd w:val="clear" w:color="auto" w:fill="CFF0FC"/>
          </w:tcPr>
          <w:p>
            <w:pPr>
              <w:spacing w:after="0"/>
              <w:rPr>
                <w:sz w:val="18"/>
                <w:szCs w:val="18"/>
                <w:color w:val="auto"/>
              </w:rPr>
            </w:pPr>
          </w:p>
        </w:tc>
        <w:tc>
          <w:tcPr>
            <w:tcW w:w="60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vMerge w:val="continue"/>
            <w:shd w:val="clear" w:color="auto" w:fill="CFF0FC"/>
          </w:tcPr>
          <w:p>
            <w:pPr>
              <w:spacing w:after="0"/>
              <w:rPr>
                <w:sz w:val="18"/>
                <w:szCs w:val="18"/>
                <w:color w:val="auto"/>
              </w:rPr>
            </w:pPr>
          </w:p>
        </w:tc>
        <w:tc>
          <w:tcPr>
            <w:tcW w:w="740" w:type="dxa"/>
            <w:vAlign w:val="bottom"/>
            <w:vMerge w:val="continue"/>
            <w:shd w:val="clear" w:color="auto" w:fill="CFF0FC"/>
          </w:tcPr>
          <w:p>
            <w:pPr>
              <w:spacing w:after="0"/>
              <w:rPr>
                <w:sz w:val="18"/>
                <w:szCs w:val="18"/>
                <w:color w:val="auto"/>
              </w:rPr>
            </w:pPr>
          </w:p>
        </w:tc>
        <w:tc>
          <w:tcPr>
            <w:tcW w:w="12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vMerge w:val="continue"/>
            <w:shd w:val="clear" w:color="auto" w:fill="CFF0FC"/>
          </w:tcPr>
          <w:p>
            <w:pPr>
              <w:spacing w:after="0"/>
              <w:rPr>
                <w:sz w:val="18"/>
                <w:szCs w:val="18"/>
                <w:color w:val="auto"/>
              </w:rPr>
            </w:pPr>
          </w:p>
        </w:tc>
        <w:tc>
          <w:tcPr>
            <w:tcW w:w="680" w:type="dxa"/>
            <w:vAlign w:val="bottom"/>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vMerge w:val="continue"/>
            <w:shd w:val="clear" w:color="auto" w:fill="CFF0FC"/>
          </w:tcPr>
          <w:p>
            <w:pPr>
              <w:spacing w:after="0"/>
              <w:rPr>
                <w:sz w:val="18"/>
                <w:szCs w:val="18"/>
                <w:color w:val="auto"/>
              </w:rPr>
            </w:pPr>
          </w:p>
        </w:tc>
        <w:tc>
          <w:tcPr>
            <w:tcW w:w="78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2280" w:type="dxa"/>
            <w:vAlign w:val="bottom"/>
            <w:tcBorders>
              <w:top w:val="single" w:sz="8" w:color="CFF0FC"/>
            </w:tcBorders>
            <w:shd w:val="clear" w:color="auto" w:fill="CFF0FC"/>
          </w:tcPr>
          <w:p>
            <w:pPr>
              <w:ind w:left="20"/>
              <w:spacing w:after="0" w:line="117" w:lineRule="exact"/>
              <w:rPr>
                <w:sz w:val="20"/>
                <w:szCs w:val="20"/>
                <w:color w:val="auto"/>
              </w:rPr>
            </w:pPr>
            <w:r>
              <w:rPr>
                <w:rFonts w:ascii="Times New Roman" w:cs="Times New Roman" w:eastAsia="Times New Roman" w:hAnsi="Times New Roman"/>
                <w:sz w:val="13"/>
                <w:szCs w:val="13"/>
                <w:color w:val="auto"/>
              </w:rPr>
              <w:t>Issuance of common stock upon</w:t>
            </w:r>
          </w:p>
        </w:tc>
        <w:tc>
          <w:tcPr>
            <w:tcW w:w="100" w:type="dxa"/>
            <w:vAlign w:val="bottom"/>
            <w:tcBorders>
              <w:top w:val="single" w:sz="8" w:color="CFF0FC"/>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36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right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rPr>
                <w:sz w:val="10"/>
                <w:szCs w:val="10"/>
                <w:color w:val="auto"/>
              </w:rPr>
            </w:pPr>
          </w:p>
        </w:tc>
        <w:tc>
          <w:tcPr>
            <w:tcW w:w="40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2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34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60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74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completion of initial public offering, net</w:t>
            </w: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20,930,0</w:t>
            </w:r>
          </w:p>
        </w:tc>
        <w:tc>
          <w:tcPr>
            <w:tcW w:w="22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of commissions, underwriting discounts</w:t>
            </w:r>
          </w:p>
        </w:tc>
        <w:tc>
          <w:tcPr>
            <w:tcW w:w="100" w:type="dxa"/>
            <w:vAlign w:val="bottom"/>
            <w:shd w:val="clear" w:color="auto" w:fill="CFF0FC"/>
          </w:tcPr>
          <w:p>
            <w:pPr>
              <w:spacing w:after="0"/>
              <w:rPr>
                <w:sz w:val="12"/>
                <w:szCs w:val="12"/>
                <w:color w:val="auto"/>
              </w:rPr>
            </w:pPr>
          </w:p>
        </w:tc>
        <w:tc>
          <w:tcPr>
            <w:tcW w:w="7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tcBorders>
              <w:right w:val="single" w:sz="8" w:color="auto"/>
            </w:tcBorders>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64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327,518</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327,520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and offering costs</w:t>
            </w:r>
          </w:p>
        </w:tc>
        <w:tc>
          <w:tcPr>
            <w:tcW w:w="100" w:type="dxa"/>
            <w:vAlign w:val="bottom"/>
            <w:shd w:val="clear" w:color="auto" w:fill="CFF0FC"/>
          </w:tcPr>
          <w:p>
            <w:pPr>
              <w:spacing w:after="0"/>
              <w:rPr>
                <w:sz w:val="15"/>
                <w:szCs w:val="15"/>
                <w:color w:val="auto"/>
              </w:rPr>
            </w:pPr>
          </w:p>
        </w:tc>
        <w:tc>
          <w:tcPr>
            <w:tcW w:w="740" w:type="dxa"/>
            <w:vAlign w:val="bottom"/>
            <w:gridSpan w:val="2"/>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tcBorders>
              <w:right w:val="single" w:sz="8" w:color="auto"/>
            </w:tcBorders>
            <w:gridSpan w:val="2"/>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00</w:t>
            </w:r>
          </w:p>
        </w:tc>
        <w:tc>
          <w:tcPr>
            <w:tcW w:w="2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20" w:type="dxa"/>
            <w:vAlign w:val="bottom"/>
            <w:vMerge w:val="continue"/>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gridSpan w:val="2"/>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340" w:type="dxa"/>
            <w:vAlign w:val="bottom"/>
            <w:gridSpan w:val="2"/>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vMerge w:val="continue"/>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60" w:type="dxa"/>
            <w:vAlign w:val="bottom"/>
            <w:gridSpan w:val="2"/>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gridSpan w:val="2"/>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280" w:type="dxa"/>
            <w:vAlign w:val="bottom"/>
          </w:tcPr>
          <w:p>
            <w:pPr>
              <w:ind w:left="20"/>
              <w:spacing w:after="0" w:line="123" w:lineRule="exact"/>
              <w:rPr>
                <w:sz w:val="20"/>
                <w:szCs w:val="20"/>
                <w:color w:val="auto"/>
              </w:rPr>
            </w:pPr>
            <w:r>
              <w:rPr>
                <w:rFonts w:ascii="Times New Roman" w:cs="Times New Roman" w:eastAsia="Times New Roman" w:hAnsi="Times New Roman"/>
                <w:sz w:val="13"/>
                <w:szCs w:val="13"/>
                <w:color w:val="auto"/>
              </w:rPr>
              <w:t>Conversion of convertible preferred</w:t>
            </w:r>
          </w:p>
        </w:tc>
        <w:tc>
          <w:tcPr>
            <w:tcW w:w="100" w:type="dxa"/>
            <w:vAlign w:val="bottom"/>
          </w:tcPr>
          <w:p>
            <w:pPr>
              <w:spacing w:after="0"/>
              <w:rPr>
                <w:sz w:val="10"/>
                <w:szCs w:val="10"/>
                <w:color w:val="auto"/>
              </w:rPr>
            </w:pPr>
          </w:p>
        </w:tc>
        <w:tc>
          <w:tcPr>
            <w:tcW w:w="620" w:type="dxa"/>
            <w:vAlign w:val="bottom"/>
          </w:tcPr>
          <w:p>
            <w:pPr>
              <w:jc w:val="right"/>
              <w:spacing w:after="0" w:line="123" w:lineRule="exact"/>
              <w:rPr>
                <w:sz w:val="20"/>
                <w:szCs w:val="20"/>
                <w:color w:val="auto"/>
              </w:rPr>
            </w:pPr>
            <w:r>
              <w:rPr>
                <w:rFonts w:ascii="Times New Roman" w:cs="Times New Roman" w:eastAsia="Times New Roman" w:hAnsi="Times New Roman"/>
                <w:sz w:val="13"/>
                <w:szCs w:val="13"/>
                <w:color w:val="auto"/>
              </w:rPr>
              <w:t>(16,944,</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jc w:val="right"/>
              <w:spacing w:after="0" w:line="123" w:lineRule="exact"/>
              <w:rPr>
                <w:sz w:val="20"/>
                <w:szCs w:val="20"/>
                <w:color w:val="auto"/>
              </w:rPr>
            </w:pPr>
            <w:r>
              <w:rPr>
                <w:rFonts w:ascii="Times New Roman" w:cs="Times New Roman" w:eastAsia="Times New Roman" w:hAnsi="Times New Roman"/>
                <w:sz w:val="13"/>
                <w:szCs w:val="13"/>
                <w:color w:val="auto"/>
              </w:rPr>
              <w:t>(504,</w:t>
            </w:r>
          </w:p>
        </w:tc>
        <w:tc>
          <w:tcPr>
            <w:tcW w:w="2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line="123" w:lineRule="exact"/>
              <w:rPr>
                <w:sz w:val="20"/>
                <w:szCs w:val="20"/>
                <w:color w:val="auto"/>
              </w:rPr>
            </w:pPr>
            <w:r>
              <w:rPr>
                <w:rFonts w:ascii="Times New Roman" w:cs="Times New Roman" w:eastAsia="Times New Roman" w:hAnsi="Times New Roman"/>
                <w:sz w:val="13"/>
                <w:szCs w:val="13"/>
                <w:color w:val="auto"/>
              </w:rPr>
              <w:t>84,722,4</w:t>
            </w: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stock to common stock</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484 )</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711 )</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6"/>
                <w:szCs w:val="16"/>
                <w:color w:val="auto"/>
              </w:rPr>
            </w:pPr>
          </w:p>
        </w:tc>
        <w:tc>
          <w:tcPr>
            <w:tcW w:w="4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504,707</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504,709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3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8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600" w:type="dxa"/>
            <w:vAlign w:val="bottom"/>
            <w:tcBorders>
              <w:right w:val="single" w:sz="8" w:color="auto"/>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spacing w:after="0"/>
              <w:rPr>
                <w:sz w:val="15"/>
                <w:szCs w:val="15"/>
                <w:color w:val="auto"/>
              </w:rPr>
            </w:pPr>
          </w:p>
        </w:tc>
        <w:tc>
          <w:tcPr>
            <w:tcW w:w="4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5,979</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7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5,979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380" w:type="dxa"/>
            <w:vAlign w:val="bottom"/>
            <w:gridSpan w:val="2"/>
          </w:tcPr>
          <w:p>
            <w:pPr>
              <w:ind w:left="20"/>
              <w:spacing w:after="0" w:line="136" w:lineRule="exact"/>
              <w:rPr>
                <w:sz w:val="20"/>
                <w:szCs w:val="20"/>
                <w:color w:val="auto"/>
              </w:rPr>
            </w:pPr>
            <w:r>
              <w:rPr>
                <w:rFonts w:ascii="Times New Roman" w:cs="Times New Roman" w:eastAsia="Times New Roman" w:hAnsi="Times New Roman"/>
                <w:sz w:val="13"/>
                <w:szCs w:val="13"/>
                <w:color w:val="auto"/>
              </w:rPr>
              <w:t>Vesting of restricted common stock from</w:t>
            </w:r>
          </w:p>
        </w:tc>
        <w:tc>
          <w:tcPr>
            <w:tcW w:w="86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0" w:type="dxa"/>
            <w:vAlign w:val="bottom"/>
            <w:tcBorders>
              <w:right w:val="single" w:sz="8" w:color="auto"/>
            </w:tcBorders>
            <w:gridSpan w:val="2"/>
            <w:vMerge w:val="restart"/>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1"/>
                <w:szCs w:val="11"/>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1"/>
                <w:szCs w:val="11"/>
                <w:color w:val="auto"/>
              </w:rPr>
            </w:pPr>
          </w:p>
        </w:tc>
        <w:tc>
          <w:tcPr>
            <w:tcW w:w="4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early-exercised options</w:t>
            </w:r>
          </w:p>
        </w:tc>
        <w:tc>
          <w:tcPr>
            <w:tcW w:w="8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Borders>
              <w:right w:val="single" w:sz="8" w:color="auto"/>
            </w:tcBorders>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380" w:type="dxa"/>
            <w:vAlign w:val="bottom"/>
            <w:gridSpan w:val="2"/>
            <w:shd w:val="clear" w:color="auto" w:fill="CFF0FC"/>
          </w:tcPr>
          <w:p>
            <w:pPr>
              <w:ind w:left="20"/>
              <w:spacing w:after="0" w:line="136" w:lineRule="exact"/>
              <w:rPr>
                <w:sz w:val="20"/>
                <w:szCs w:val="20"/>
                <w:color w:val="auto"/>
              </w:rPr>
            </w:pPr>
            <w:r>
              <w:rPr>
                <w:rFonts w:ascii="Times New Roman" w:cs="Times New Roman" w:eastAsia="Times New Roman" w:hAnsi="Times New Roman"/>
                <w:sz w:val="13"/>
                <w:szCs w:val="13"/>
                <w:color w:val="auto"/>
              </w:rPr>
              <w:t>Unrealized gain on available-for-sale</w:t>
            </w:r>
          </w:p>
        </w:tc>
        <w:tc>
          <w:tcPr>
            <w:tcW w:w="860" w:type="dxa"/>
            <w:vAlign w:val="bottom"/>
            <w:gridSpan w:val="3"/>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600" w:type="dxa"/>
            <w:vAlign w:val="bottom"/>
            <w:tcBorders>
              <w:right w:val="single" w:sz="8" w:color="auto"/>
            </w:tcBorders>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FF0FC"/>
          </w:tcPr>
          <w:p>
            <w:pPr>
              <w:spacing w:after="0"/>
              <w:rPr>
                <w:sz w:val="11"/>
                <w:szCs w:val="11"/>
                <w:color w:val="auto"/>
              </w:rPr>
            </w:pPr>
          </w:p>
        </w:tc>
        <w:tc>
          <w:tcPr>
            <w:tcW w:w="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gridSpan w:val="3"/>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spacing w:after="0"/>
              <w:rPr>
                <w:sz w:val="11"/>
                <w:szCs w:val="11"/>
                <w:color w:val="auto"/>
              </w:rPr>
            </w:pPr>
          </w:p>
        </w:tc>
        <w:tc>
          <w:tcPr>
            <w:tcW w:w="440" w:type="dxa"/>
            <w:vAlign w:val="bottom"/>
            <w:gridSpan w:val="3"/>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1"/>
                <w:szCs w:val="11"/>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gridSpan w:val="3"/>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3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securities, net of tax</w:t>
            </w:r>
          </w:p>
        </w:tc>
        <w:tc>
          <w:tcPr>
            <w:tcW w:w="860" w:type="dxa"/>
            <w:vAlign w:val="bottom"/>
            <w:gridSpan w:val="3"/>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tcBorders>
              <w:right w:val="single" w:sz="8" w:color="auto"/>
            </w:tcBorders>
            <w:gridSpan w:val="2"/>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gridSpan w:val="2"/>
            <w:vMerge w:val="continue"/>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20" w:type="dxa"/>
            <w:vAlign w:val="bottom"/>
            <w:vMerge w:val="continue"/>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gridSpan w:val="3"/>
            <w:vMerge w:val="continue"/>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440" w:type="dxa"/>
            <w:vAlign w:val="bottom"/>
            <w:gridSpan w:val="3"/>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gridSpan w:val="2"/>
            <w:vMerge w:val="continue"/>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40" w:type="dxa"/>
            <w:vAlign w:val="bottom"/>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gridSpan w:val="3"/>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(60,375.0 )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(60,375 )</w:t>
            </w:r>
          </w:p>
        </w:tc>
        <w:tc>
          <w:tcPr>
            <w:tcW w:w="0" w:type="dxa"/>
            <w:vAlign w:val="bottom"/>
          </w:tcPr>
          <w:p>
            <w:pPr>
              <w:spacing w:after="0"/>
              <w:rPr>
                <w:sz w:val="1"/>
                <w:szCs w:val="1"/>
                <w:color w:val="auto"/>
              </w:rPr>
            </w:pPr>
          </w:p>
        </w:tc>
      </w:tr>
      <w:tr>
        <w:trPr>
          <w:trHeight w:val="20"/>
        </w:trPr>
        <w:tc>
          <w:tcPr>
            <w:tcW w:w="2380" w:type="dxa"/>
            <w:vAlign w:val="bottom"/>
            <w:gridSpan w:val="2"/>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380" w:type="dxa"/>
            <w:vAlign w:val="bottom"/>
            <w:gridSpan w:val="2"/>
            <w:shd w:val="clear" w:color="auto" w:fill="CFF0FC"/>
          </w:tcPr>
          <w:p>
            <w:pPr>
              <w:ind w:left="20"/>
              <w:spacing w:after="0" w:line="131" w:lineRule="exact"/>
              <w:rPr>
                <w:sz w:val="20"/>
                <w:szCs w:val="20"/>
                <w:color w:val="auto"/>
              </w:rPr>
            </w:pPr>
            <w:r>
              <w:rPr>
                <w:rFonts w:ascii="Times New Roman" w:cs="Times New Roman" w:eastAsia="Times New Roman" w:hAnsi="Times New Roman"/>
                <w:sz w:val="13"/>
                <w:szCs w:val="13"/>
                <w:b w:val="1"/>
                <w:bCs w:val="1"/>
                <w:color w:val="auto"/>
              </w:rPr>
              <w:t>Balances at September 30, 2021</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vMerge w:val="restart"/>
            <w:shd w:val="clear" w:color="auto" w:fill="CFF0FC"/>
          </w:tcPr>
          <w:p>
            <w:pPr>
              <w:spacing w:after="0"/>
              <w:rPr>
                <w:sz w:val="11"/>
                <w:szCs w:val="11"/>
                <w:color w:val="auto"/>
              </w:rPr>
            </w:pPr>
          </w:p>
        </w:tc>
        <w:tc>
          <w:tcPr>
            <w:tcW w:w="1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right w:val="single" w:sz="8" w:color="auto"/>
            </w:tcBorders>
            <w:vMerge w:val="restart"/>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111,251,</w:t>
            </w:r>
          </w:p>
        </w:tc>
        <w:tc>
          <w:tcPr>
            <w:tcW w:w="220" w:type="dxa"/>
            <w:vAlign w:val="bottom"/>
            <w:shd w:val="clear" w:color="auto" w:fill="CFF0FC"/>
          </w:tcPr>
          <w:p>
            <w:pPr>
              <w:spacing w:after="0"/>
              <w:rPr>
                <w:sz w:val="11"/>
                <w:szCs w:val="11"/>
                <w:color w:val="auto"/>
              </w:rPr>
            </w:pPr>
          </w:p>
        </w:tc>
        <w:tc>
          <w:tcPr>
            <w:tcW w:w="400" w:type="dxa"/>
            <w:vAlign w:val="bottom"/>
            <w:vMerge w:val="restart"/>
            <w:shd w:val="clear" w:color="auto" w:fill="CFF0FC"/>
          </w:tcPr>
          <w:p>
            <w:pPr>
              <w:jc w:val="right"/>
              <w:ind w:right="253"/>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vMerge w:val="restart"/>
            <w:shd w:val="clear" w:color="auto" w:fill="CFF0FC"/>
          </w:tcPr>
          <w:p>
            <w:pPr>
              <w:spacing w:after="0"/>
              <w:rPr>
                <w:sz w:val="11"/>
                <w:szCs w:val="11"/>
                <w:color w:val="auto"/>
              </w:rPr>
            </w:pPr>
          </w:p>
        </w:tc>
        <w:tc>
          <w:tcPr>
            <w:tcW w:w="340" w:type="dxa"/>
            <w:vAlign w:val="bottom"/>
            <w:vMerge w:val="restart"/>
            <w:shd w:val="clear" w:color="auto" w:fill="CFF0FC"/>
          </w:tcPr>
          <w:p>
            <w:pPr>
              <w:jc w:val="right"/>
              <w:ind w:right="193"/>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vMerge w:val="restart"/>
            <w:shd w:val="clear" w:color="auto" w:fill="CFF0FC"/>
          </w:tcPr>
          <w:p>
            <w:pPr>
              <w:spacing w:after="0"/>
              <w:rPr>
                <w:sz w:val="11"/>
                <w:szCs w:val="11"/>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842,272</w:t>
            </w:r>
          </w:p>
        </w:tc>
        <w:tc>
          <w:tcPr>
            <w:tcW w:w="200" w:type="dxa"/>
            <w:vAlign w:val="bottom"/>
            <w:shd w:val="clear" w:color="auto" w:fill="CFF0FC"/>
          </w:tcPr>
          <w:p>
            <w:pPr>
              <w:spacing w:after="0"/>
              <w:rPr>
                <w:sz w:val="11"/>
                <w:szCs w:val="11"/>
                <w:color w:val="auto"/>
              </w:rPr>
            </w:pPr>
          </w:p>
        </w:tc>
        <w:tc>
          <w:tcPr>
            <w:tcW w:w="180" w:type="dxa"/>
            <w:vAlign w:val="bottom"/>
            <w:vMerge w:val="restart"/>
            <w:shd w:val="clear" w:color="auto" w:fill="CFF0FC"/>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(209,067 )</w:t>
            </w:r>
          </w:p>
        </w:tc>
        <w:tc>
          <w:tcPr>
            <w:tcW w:w="100" w:type="dxa"/>
            <w:vAlign w:val="bottom"/>
            <w:shd w:val="clear" w:color="auto" w:fill="CFF0FC"/>
          </w:tcPr>
          <w:p>
            <w:pPr>
              <w:spacing w:after="0"/>
              <w:rPr>
                <w:sz w:val="11"/>
                <w:szCs w:val="11"/>
                <w:color w:val="auto"/>
              </w:rPr>
            </w:pPr>
          </w:p>
        </w:tc>
        <w:tc>
          <w:tcPr>
            <w:tcW w:w="1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633,213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vMerge w:val="continue"/>
            <w:shd w:val="clear" w:color="auto" w:fill="CFF0FC"/>
          </w:tcPr>
          <w:p>
            <w:pPr>
              <w:spacing w:after="0"/>
              <w:rPr>
                <w:sz w:val="16"/>
                <w:szCs w:val="16"/>
                <w:color w:val="auto"/>
              </w:rPr>
            </w:pPr>
          </w:p>
        </w:tc>
        <w:tc>
          <w:tcPr>
            <w:tcW w:w="240" w:type="dxa"/>
            <w:vAlign w:val="bottom"/>
            <w:gridSpan w:val="2"/>
            <w:vMerge w:val="continue"/>
            <w:shd w:val="clear" w:color="auto" w:fill="CFF0FC"/>
          </w:tcPr>
          <w:p>
            <w:pPr>
              <w:spacing w:after="0"/>
              <w:rPr>
                <w:sz w:val="16"/>
                <w:szCs w:val="16"/>
                <w:color w:val="auto"/>
              </w:rPr>
            </w:pPr>
          </w:p>
        </w:tc>
        <w:tc>
          <w:tcPr>
            <w:tcW w:w="120" w:type="dxa"/>
            <w:vAlign w:val="bottom"/>
            <w:vMerge w:val="continue"/>
            <w:shd w:val="clear" w:color="auto" w:fill="CFF0FC"/>
          </w:tcPr>
          <w:p>
            <w:pPr>
              <w:spacing w:after="0"/>
              <w:rPr>
                <w:sz w:val="16"/>
                <w:szCs w:val="16"/>
                <w:color w:val="auto"/>
              </w:rPr>
            </w:pPr>
          </w:p>
        </w:tc>
        <w:tc>
          <w:tcPr>
            <w:tcW w:w="360" w:type="dxa"/>
            <w:vAlign w:val="bottom"/>
            <w:vMerge w:val="continue"/>
            <w:shd w:val="clear" w:color="auto" w:fill="CFF0FC"/>
          </w:tcPr>
          <w:p>
            <w:pPr>
              <w:spacing w:after="0"/>
              <w:rPr>
                <w:sz w:val="16"/>
                <w:szCs w:val="16"/>
                <w:color w:val="auto"/>
              </w:rPr>
            </w:pPr>
          </w:p>
        </w:tc>
        <w:tc>
          <w:tcPr>
            <w:tcW w:w="240" w:type="dxa"/>
            <w:vAlign w:val="bottom"/>
            <w:tcBorders>
              <w:right w:val="single" w:sz="8" w:color="auto"/>
            </w:tcBorders>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660</w:t>
            </w:r>
          </w:p>
        </w:tc>
        <w:tc>
          <w:tcPr>
            <w:tcW w:w="220" w:type="dxa"/>
            <w:vAlign w:val="bottom"/>
            <w:shd w:val="clear" w:color="auto" w:fill="CFF0FC"/>
          </w:tcPr>
          <w:p>
            <w:pPr>
              <w:spacing w:after="0"/>
              <w:rPr>
                <w:sz w:val="16"/>
                <w:szCs w:val="16"/>
                <w:color w:val="auto"/>
              </w:rPr>
            </w:pPr>
          </w:p>
        </w:tc>
        <w:tc>
          <w:tcPr>
            <w:tcW w:w="400" w:type="dxa"/>
            <w:vAlign w:val="bottom"/>
            <w:vMerge w:val="continue"/>
            <w:shd w:val="clear" w:color="auto" w:fill="CFF0FC"/>
          </w:tcPr>
          <w:p>
            <w:pPr>
              <w:spacing w:after="0"/>
              <w:rPr>
                <w:sz w:val="16"/>
                <w:szCs w:val="16"/>
                <w:color w:val="auto"/>
              </w:rPr>
            </w:pPr>
          </w:p>
        </w:tc>
        <w:tc>
          <w:tcPr>
            <w:tcW w:w="22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20" w:type="dxa"/>
            <w:vAlign w:val="bottom"/>
            <w:vMerge w:val="continue"/>
            <w:shd w:val="clear" w:color="auto" w:fill="CFF0FC"/>
          </w:tcPr>
          <w:p>
            <w:pPr>
              <w:spacing w:after="0"/>
              <w:rPr>
                <w:sz w:val="16"/>
                <w:szCs w:val="16"/>
                <w:color w:val="auto"/>
              </w:rPr>
            </w:pPr>
          </w:p>
        </w:tc>
        <w:tc>
          <w:tcPr>
            <w:tcW w:w="220" w:type="dxa"/>
            <w:vAlign w:val="bottom"/>
            <w:gridSpan w:val="2"/>
            <w:vMerge w:val="continue"/>
            <w:shd w:val="clear" w:color="auto" w:fill="CFF0FC"/>
          </w:tcPr>
          <w:p>
            <w:pPr>
              <w:spacing w:after="0"/>
              <w:rPr>
                <w:sz w:val="16"/>
                <w:szCs w:val="16"/>
                <w:color w:val="auto"/>
              </w:rPr>
            </w:pPr>
          </w:p>
        </w:tc>
        <w:tc>
          <w:tcPr>
            <w:tcW w:w="340" w:type="dxa"/>
            <w:vAlign w:val="bottom"/>
            <w:vMerge w:val="continue"/>
            <w:shd w:val="clear" w:color="auto" w:fill="CFF0FC"/>
          </w:tcPr>
          <w:p>
            <w:pPr>
              <w:spacing w:after="0"/>
              <w:rPr>
                <w:sz w:val="16"/>
                <w:szCs w:val="16"/>
                <w:color w:val="auto"/>
              </w:rPr>
            </w:pPr>
          </w:p>
        </w:tc>
        <w:tc>
          <w:tcPr>
            <w:tcW w:w="220" w:type="dxa"/>
            <w:vAlign w:val="bottom"/>
            <w:vMerge w:val="continue"/>
            <w:shd w:val="clear" w:color="auto" w:fill="CFF0FC"/>
          </w:tcPr>
          <w:p>
            <w:pPr>
              <w:spacing w:after="0"/>
              <w:rPr>
                <w:sz w:val="16"/>
                <w:szCs w:val="16"/>
                <w:color w:val="auto"/>
              </w:rPr>
            </w:pPr>
          </w:p>
        </w:tc>
        <w:tc>
          <w:tcPr>
            <w:tcW w:w="220" w:type="dxa"/>
            <w:vAlign w:val="bottom"/>
            <w:gridSpan w:val="2"/>
            <w:vMerge w:val="continue"/>
            <w:shd w:val="clear" w:color="auto" w:fill="CFF0FC"/>
          </w:tcPr>
          <w:p>
            <w:pPr>
              <w:spacing w:after="0"/>
              <w:rPr>
                <w:sz w:val="16"/>
                <w:szCs w:val="16"/>
                <w:color w:val="auto"/>
              </w:rPr>
            </w:pPr>
          </w:p>
        </w:tc>
        <w:tc>
          <w:tcPr>
            <w:tcW w:w="100" w:type="dxa"/>
            <w:vAlign w:val="bottom"/>
            <w:vMerge w:val="continue"/>
            <w:shd w:val="clear" w:color="auto" w:fill="CFF0FC"/>
          </w:tcPr>
          <w:p>
            <w:pPr>
              <w:spacing w:after="0"/>
              <w:rPr>
                <w:sz w:val="16"/>
                <w:szCs w:val="16"/>
                <w:color w:val="auto"/>
              </w:rPr>
            </w:pPr>
          </w:p>
        </w:tc>
        <w:tc>
          <w:tcPr>
            <w:tcW w:w="600" w:type="dxa"/>
            <w:vAlign w:val="bottom"/>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80" w:type="dxa"/>
            <w:vAlign w:val="bottom"/>
            <w:vMerge w:val="continue"/>
            <w:shd w:val="clear" w:color="auto" w:fill="CFF0FC"/>
          </w:tcPr>
          <w:p>
            <w:pPr>
              <w:spacing w:after="0"/>
              <w:rPr>
                <w:sz w:val="16"/>
                <w:szCs w:val="16"/>
                <w:color w:val="auto"/>
              </w:rPr>
            </w:pPr>
          </w:p>
        </w:tc>
        <w:tc>
          <w:tcPr>
            <w:tcW w:w="74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vMerge w:val="continue"/>
            <w:shd w:val="clear" w:color="auto" w:fill="CFF0FC"/>
          </w:tcPr>
          <w:p>
            <w:pPr>
              <w:spacing w:after="0"/>
              <w:rPr>
                <w:sz w:val="16"/>
                <w:szCs w:val="16"/>
                <w:color w:val="auto"/>
              </w:rPr>
            </w:pPr>
          </w:p>
        </w:tc>
        <w:tc>
          <w:tcPr>
            <w:tcW w:w="68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vMerge w:val="continue"/>
            <w:shd w:val="clear" w:color="auto" w:fill="CFF0FC"/>
          </w:tcPr>
          <w:p>
            <w:pPr>
              <w:spacing w:after="0"/>
              <w:rPr>
                <w:sz w:val="16"/>
                <w:szCs w:val="16"/>
                <w:color w:val="auto"/>
              </w:rPr>
            </w:pPr>
          </w:p>
        </w:tc>
        <w:tc>
          <w:tcPr>
            <w:tcW w:w="68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Borders>
              <w:right w:val="single" w:sz="8" w:color="auto"/>
            </w:tcBorders>
            <w:gridSpan w:val="6"/>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Convertible Preferred</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4"/>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8"/>
        </w:trPr>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Borders>
              <w:right w:val="single" w:sz="8" w:color="auto"/>
            </w:tcBorders>
            <w:gridSpan w:val="6"/>
            <w:vMerge w:val="continue"/>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vMerge w:val="restart"/>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center"/>
              <w:ind w:right="200"/>
              <w:spacing w:after="0" w:line="139"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80" w:type="dxa"/>
            <w:vAlign w:val="bottom"/>
          </w:tcPr>
          <w:p>
            <w:pPr>
              <w:spacing w:after="0"/>
              <w:rPr>
                <w:sz w:val="12"/>
                <w:szCs w:val="12"/>
                <w:color w:val="auto"/>
              </w:rPr>
            </w:pPr>
          </w:p>
        </w:tc>
        <w:tc>
          <w:tcPr>
            <w:tcW w:w="960" w:type="dxa"/>
            <w:vAlign w:val="bottom"/>
            <w:gridSpan w:val="3"/>
          </w:tcPr>
          <w:p>
            <w:pPr>
              <w:jc w:val="center"/>
              <w:ind w:right="420"/>
              <w:spacing w:after="0" w:line="139" w:lineRule="exact"/>
              <w:rPr>
                <w:sz w:val="20"/>
                <w:szCs w:val="20"/>
                <w:color w:val="auto"/>
              </w:rPr>
            </w:pPr>
            <w:r>
              <w:rPr>
                <w:rFonts w:ascii="Times New Roman" w:cs="Times New Roman" w:eastAsia="Times New Roman" w:hAnsi="Times New Roman"/>
                <w:sz w:val="13"/>
                <w:szCs w:val="13"/>
                <w:b w:val="1"/>
                <w:bCs w:val="1"/>
                <w:color w:val="auto"/>
              </w:rPr>
              <w:t>Other</w:t>
            </w:r>
          </w:p>
        </w:tc>
        <w:tc>
          <w:tcPr>
            <w:tcW w:w="900" w:type="dxa"/>
            <w:vAlign w:val="bottom"/>
            <w:gridSpan w:val="4"/>
          </w:tcPr>
          <w:p>
            <w:pPr>
              <w:jc w:val="center"/>
              <w:ind w:right="220"/>
              <w:spacing w:after="0" w:line="139" w:lineRule="exact"/>
              <w:rPr>
                <w:sz w:val="20"/>
                <w:szCs w:val="20"/>
                <w:color w:val="auto"/>
              </w:rPr>
            </w:pPr>
            <w:r>
              <w:rPr>
                <w:rFonts w:ascii="Times New Roman" w:cs="Times New Roman" w:eastAsia="Times New Roman" w:hAnsi="Times New Roman"/>
                <w:sz w:val="13"/>
                <w:szCs w:val="13"/>
                <w:b w:val="1"/>
                <w:bCs w:val="1"/>
                <w:color w:val="auto"/>
              </w:rPr>
              <w:t>Accumulat</w:t>
            </w:r>
          </w:p>
        </w:tc>
        <w:tc>
          <w:tcPr>
            <w:tcW w:w="90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75"/>
        </w:trPr>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bottom w:val="single" w:sz="8" w:color="auto"/>
            </w:tcBorders>
            <w:gridSpan w:val="3"/>
          </w:tcPr>
          <w:p>
            <w:pPr>
              <w:jc w:val="center"/>
              <w:ind w:left="433"/>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bottom w:val="single" w:sz="8" w:color="auto"/>
            </w:tcBorders>
            <w:gridSpan w:val="3"/>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4"/>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140" w:type="dxa"/>
            <w:vAlign w:val="bottom"/>
            <w:gridSpan w:val="4"/>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20" w:type="dxa"/>
            <w:vAlign w:val="bottom"/>
          </w:tcPr>
          <w:p>
            <w:pPr>
              <w:spacing w:after="0"/>
              <w:rPr>
                <w:sz w:val="15"/>
                <w:szCs w:val="15"/>
                <w:color w:val="auto"/>
              </w:rPr>
            </w:pPr>
          </w:p>
        </w:tc>
        <w:tc>
          <w:tcPr>
            <w:tcW w:w="780" w:type="dxa"/>
            <w:vAlign w:val="bottom"/>
            <w:gridSpan w:val="3"/>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1"/>
              </w:rPr>
              <w:t>ed</w:t>
            </w:r>
          </w:p>
        </w:tc>
        <w:tc>
          <w:tcPr>
            <w:tcW w:w="120" w:type="dxa"/>
            <w:vAlign w:val="bottom"/>
          </w:tcPr>
          <w:p>
            <w:pPr>
              <w:spacing w:after="0"/>
              <w:rPr>
                <w:sz w:val="15"/>
                <w:szCs w:val="15"/>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0" w:type="dxa"/>
            <w:vAlign w:val="bottom"/>
          </w:tcPr>
          <w:p>
            <w:pPr>
              <w:spacing w:after="0"/>
              <w:rPr>
                <w:sz w:val="1"/>
                <w:szCs w:val="1"/>
                <w:color w:val="auto"/>
              </w:rPr>
            </w:pPr>
          </w:p>
        </w:tc>
      </w:tr>
      <w:tr>
        <w:trPr>
          <w:trHeight w:val="125"/>
        </w:trPr>
        <w:tc>
          <w:tcPr>
            <w:tcW w:w="2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gridSpan w:val="2"/>
            <w:vMerge w:val="restart"/>
          </w:tcPr>
          <w:p>
            <w:pPr>
              <w:spacing w:after="0"/>
              <w:rPr>
                <w:sz w:val="10"/>
                <w:szCs w:val="10"/>
                <w:color w:val="auto"/>
              </w:rPr>
            </w:pPr>
          </w:p>
        </w:tc>
        <w:tc>
          <w:tcPr>
            <w:tcW w:w="48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3"/>
                <w:szCs w:val="13"/>
                <w:b w:val="1"/>
                <w:bCs w:val="1"/>
                <w:color w:val="auto"/>
              </w:rPr>
              <w:t>Amoun</w:t>
            </w:r>
          </w:p>
        </w:tc>
        <w:tc>
          <w:tcPr>
            <w:tcW w:w="2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vMerge w:val="restart"/>
          </w:tcPr>
          <w:p>
            <w:pPr>
              <w:spacing w:after="0"/>
              <w:rPr>
                <w:sz w:val="10"/>
                <w:szCs w:val="10"/>
                <w:color w:val="auto"/>
              </w:rPr>
            </w:pPr>
          </w:p>
        </w:tc>
        <w:tc>
          <w:tcPr>
            <w:tcW w:w="620" w:type="dxa"/>
            <w:vAlign w:val="bottom"/>
            <w:gridSpan w:val="2"/>
            <w:vMerge w:val="restart"/>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gridSpan w:val="2"/>
            <w:vMerge w:val="restart"/>
          </w:tcPr>
          <w:p>
            <w:pPr>
              <w:spacing w:after="0"/>
              <w:rPr>
                <w:sz w:val="10"/>
                <w:szCs w:val="10"/>
                <w:color w:val="auto"/>
              </w:rPr>
            </w:pPr>
          </w:p>
        </w:tc>
        <w:tc>
          <w:tcPr>
            <w:tcW w:w="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gridSpan w:val="2"/>
            <w:vMerge w:val="restart"/>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00" w:type="dxa"/>
            <w:vAlign w:val="bottom"/>
            <w:vMerge w:val="restart"/>
          </w:tcPr>
          <w:p>
            <w:pPr>
              <w:spacing w:after="0"/>
              <w:rPr>
                <w:sz w:val="10"/>
                <w:szCs w:val="10"/>
                <w:color w:val="auto"/>
              </w:rPr>
            </w:pPr>
          </w:p>
        </w:tc>
        <w:tc>
          <w:tcPr>
            <w:tcW w:w="9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Income (Loss)</w:t>
            </w:r>
          </w:p>
        </w:tc>
        <w:tc>
          <w:tcPr>
            <w:tcW w:w="220" w:type="dxa"/>
            <w:vAlign w:val="bottom"/>
            <w:gridSpan w:val="2"/>
            <w:vMerge w:val="restart"/>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vMerge w:val="restart"/>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00" w:type="dxa"/>
            <w:vAlign w:val="bottom"/>
            <w:gridSpan w:val="2"/>
            <w:vMerge w:val="restart"/>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260"/>
              <w:spacing w:after="0" w:line="126" w:lineRule="exact"/>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78"/>
        </w:trPr>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t</w:t>
            </w:r>
          </w:p>
        </w:tc>
        <w:tc>
          <w:tcPr>
            <w:tcW w:w="2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620" w:type="dxa"/>
            <w:vAlign w:val="bottom"/>
            <w:tcBorders>
              <w:bottom w:val="single" w:sz="8" w:color="auto"/>
            </w:tcBorders>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560" w:type="dxa"/>
            <w:vAlign w:val="bottom"/>
            <w:tcBorders>
              <w:bottom w:val="single" w:sz="8" w:color="auto"/>
            </w:tcBorders>
            <w:gridSpan w:val="2"/>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920" w:type="dxa"/>
            <w:vAlign w:val="bottom"/>
            <w:tcBorders>
              <w:bottom w:val="single" w:sz="8" w:color="auto"/>
            </w:tcBorders>
            <w:gridSpan w:val="2"/>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380" w:type="dxa"/>
            <w:vAlign w:val="bottom"/>
            <w:gridSpan w:val="2"/>
            <w:shd w:val="clear" w:color="auto" w:fill="CFF0FC"/>
          </w:tcPr>
          <w:p>
            <w:pPr>
              <w:ind w:left="20"/>
              <w:spacing w:after="0" w:line="130" w:lineRule="exact"/>
              <w:rPr>
                <w:sz w:val="20"/>
                <w:szCs w:val="20"/>
                <w:color w:val="auto"/>
              </w:rPr>
            </w:pPr>
            <w:r>
              <w:rPr>
                <w:rFonts w:ascii="Times New Roman" w:cs="Times New Roman" w:eastAsia="Times New Roman" w:hAnsi="Times New Roman"/>
                <w:sz w:val="13"/>
                <w:szCs w:val="13"/>
                <w:b w:val="1"/>
                <w:bCs w:val="1"/>
                <w:color w:val="auto"/>
              </w:rPr>
              <w:t>Balances at December 31, 2021</w:t>
            </w:r>
          </w:p>
        </w:tc>
        <w:tc>
          <w:tcPr>
            <w:tcW w:w="860" w:type="dxa"/>
            <w:vAlign w:val="bottom"/>
            <w:gridSpan w:val="3"/>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right w:val="single" w:sz="8" w:color="auto"/>
            </w:tcBorders>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0" w:lineRule="exact"/>
              <w:rPr>
                <w:sz w:val="20"/>
                <w:szCs w:val="20"/>
                <w:color w:val="auto"/>
              </w:rPr>
            </w:pPr>
            <w:r>
              <w:rPr>
                <w:rFonts w:ascii="Times New Roman" w:cs="Times New Roman" w:eastAsia="Times New Roman" w:hAnsi="Times New Roman"/>
                <w:sz w:val="13"/>
                <w:szCs w:val="13"/>
                <w:color w:val="auto"/>
              </w:rPr>
              <w:t>110,782,</w:t>
            </w:r>
          </w:p>
        </w:tc>
        <w:tc>
          <w:tcPr>
            <w:tcW w:w="220" w:type="dxa"/>
            <w:vAlign w:val="bottom"/>
            <w:shd w:val="clear" w:color="auto" w:fill="CFF0FC"/>
          </w:tcPr>
          <w:p>
            <w:pPr>
              <w:spacing w:after="0"/>
              <w:rPr>
                <w:sz w:val="11"/>
                <w:szCs w:val="11"/>
                <w:color w:val="auto"/>
              </w:rPr>
            </w:pPr>
          </w:p>
        </w:tc>
        <w:tc>
          <w:tcPr>
            <w:tcW w:w="400" w:type="dxa"/>
            <w:vAlign w:val="bottom"/>
            <w:vMerge w:val="restart"/>
            <w:shd w:val="clear" w:color="auto" w:fill="CFF0FC"/>
          </w:tcPr>
          <w:p>
            <w:pPr>
              <w:jc w:val="right"/>
              <w:ind w:right="253"/>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468,751</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vMerge w:val="restart"/>
            <w:shd w:val="clear" w:color="auto" w:fill="CFF0FC"/>
          </w:tcPr>
          <w:p>
            <w:pPr>
              <w:jc w:val="right"/>
              <w:ind w:right="193"/>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gridSpan w:val="3"/>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850,125</w:t>
            </w:r>
          </w:p>
        </w:tc>
        <w:tc>
          <w:tcPr>
            <w:tcW w:w="200" w:type="dxa"/>
            <w:vAlign w:val="bottom"/>
            <w:shd w:val="clear" w:color="auto" w:fill="CFF0FC"/>
          </w:tcPr>
          <w:p>
            <w:pPr>
              <w:spacing w:after="0"/>
              <w:rPr>
                <w:sz w:val="11"/>
                <w:szCs w:val="11"/>
                <w:color w:val="auto"/>
              </w:rPr>
            </w:pPr>
          </w:p>
        </w:tc>
        <w:tc>
          <w:tcPr>
            <w:tcW w:w="180" w:type="dxa"/>
            <w:vAlign w:val="bottom"/>
            <w:vMerge w:val="restart"/>
            <w:shd w:val="clear" w:color="auto" w:fill="CFF0FC"/>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(8 )</w:t>
            </w:r>
          </w:p>
        </w:tc>
        <w:tc>
          <w:tcPr>
            <w:tcW w:w="100" w:type="dxa"/>
            <w:vAlign w:val="bottom"/>
            <w:shd w:val="clear" w:color="auto" w:fill="CFF0FC"/>
          </w:tcPr>
          <w:p>
            <w:pPr>
              <w:spacing w:after="0"/>
              <w:rPr>
                <w:sz w:val="11"/>
                <w:szCs w:val="11"/>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(292,109 )</w:t>
            </w:r>
          </w:p>
        </w:tc>
        <w:tc>
          <w:tcPr>
            <w:tcW w:w="100" w:type="dxa"/>
            <w:vAlign w:val="bottom"/>
            <w:shd w:val="clear" w:color="auto" w:fill="CFF0FC"/>
          </w:tcPr>
          <w:p>
            <w:pPr>
              <w:spacing w:after="0"/>
              <w:rPr>
                <w:sz w:val="11"/>
                <w:szCs w:val="11"/>
                <w:color w:val="auto"/>
              </w:rPr>
            </w:pPr>
          </w:p>
        </w:tc>
        <w:tc>
          <w:tcPr>
            <w:tcW w:w="1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558,019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gridSpan w:val="3"/>
            <w:vMerge w:val="continue"/>
            <w:shd w:val="clear" w:color="auto" w:fill="CFF0FC"/>
          </w:tcPr>
          <w:p>
            <w:pPr>
              <w:spacing w:after="0"/>
              <w:rPr>
                <w:sz w:val="15"/>
                <w:szCs w:val="15"/>
                <w:color w:val="auto"/>
              </w:rPr>
            </w:pPr>
          </w:p>
        </w:tc>
        <w:tc>
          <w:tcPr>
            <w:tcW w:w="120" w:type="dxa"/>
            <w:vAlign w:val="bottom"/>
            <w:vMerge w:val="continue"/>
            <w:shd w:val="clear" w:color="auto" w:fill="CFF0FC"/>
          </w:tcPr>
          <w:p>
            <w:pPr>
              <w:spacing w:after="0"/>
              <w:rPr>
                <w:sz w:val="15"/>
                <w:szCs w:val="15"/>
                <w:color w:val="auto"/>
              </w:rPr>
            </w:pPr>
          </w:p>
        </w:tc>
        <w:tc>
          <w:tcPr>
            <w:tcW w:w="600" w:type="dxa"/>
            <w:vAlign w:val="bottom"/>
            <w:tcBorders>
              <w:right w:val="single" w:sz="8" w:color="auto"/>
            </w:tcBorders>
            <w:gridSpan w:val="2"/>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909</w:t>
            </w:r>
          </w:p>
        </w:tc>
        <w:tc>
          <w:tcPr>
            <w:tcW w:w="220" w:type="dxa"/>
            <w:vAlign w:val="bottom"/>
            <w:shd w:val="clear" w:color="auto" w:fill="CFF0FC"/>
          </w:tcPr>
          <w:p>
            <w:pPr>
              <w:spacing w:after="0"/>
              <w:rPr>
                <w:sz w:val="15"/>
                <w:szCs w:val="15"/>
                <w:color w:val="auto"/>
              </w:rPr>
            </w:pPr>
          </w:p>
        </w:tc>
        <w:tc>
          <w:tcPr>
            <w:tcW w:w="400" w:type="dxa"/>
            <w:vAlign w:val="bottom"/>
            <w:vMerge w:val="continue"/>
            <w:shd w:val="clear" w:color="auto" w:fill="CFF0FC"/>
          </w:tcPr>
          <w:p>
            <w:pPr>
              <w:spacing w:after="0"/>
              <w:rPr>
                <w:sz w:val="15"/>
                <w:szCs w:val="15"/>
                <w:color w:val="auto"/>
              </w:rPr>
            </w:pPr>
          </w:p>
        </w:tc>
        <w:tc>
          <w:tcPr>
            <w:tcW w:w="220" w:type="dxa"/>
            <w:vAlign w:val="bottom"/>
            <w:vMerge w:val="continue"/>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20" w:type="dxa"/>
            <w:vAlign w:val="bottom"/>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40" w:type="dxa"/>
            <w:vAlign w:val="bottom"/>
            <w:vMerge w:val="continue"/>
            <w:shd w:val="clear" w:color="auto" w:fill="CFF0FC"/>
          </w:tcPr>
          <w:p>
            <w:pPr>
              <w:spacing w:after="0"/>
              <w:rPr>
                <w:sz w:val="15"/>
                <w:szCs w:val="15"/>
                <w:color w:val="auto"/>
              </w:rPr>
            </w:pPr>
          </w:p>
        </w:tc>
        <w:tc>
          <w:tcPr>
            <w:tcW w:w="440" w:type="dxa"/>
            <w:vAlign w:val="bottom"/>
            <w:gridSpan w:val="3"/>
            <w:vMerge w:val="continue"/>
            <w:shd w:val="clear" w:color="auto" w:fill="CFF0FC"/>
          </w:tcPr>
          <w:p>
            <w:pPr>
              <w:spacing w:after="0"/>
              <w:rPr>
                <w:sz w:val="15"/>
                <w:szCs w:val="15"/>
                <w:color w:val="auto"/>
              </w:rPr>
            </w:pPr>
          </w:p>
        </w:tc>
        <w:tc>
          <w:tcPr>
            <w:tcW w:w="100" w:type="dxa"/>
            <w:vAlign w:val="bottom"/>
            <w:vMerge w:val="continue"/>
            <w:shd w:val="clear" w:color="auto" w:fill="CFF0FC"/>
          </w:tcPr>
          <w:p>
            <w:pPr>
              <w:spacing w:after="0"/>
              <w:rPr>
                <w:sz w:val="15"/>
                <w:szCs w:val="15"/>
                <w:color w:val="auto"/>
              </w:rPr>
            </w:pPr>
          </w:p>
        </w:tc>
        <w:tc>
          <w:tcPr>
            <w:tcW w:w="600" w:type="dxa"/>
            <w:vAlign w:val="bottom"/>
            <w:vMerge w:val="continue"/>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vMerge w:val="continue"/>
            <w:shd w:val="clear" w:color="auto" w:fill="CFF0FC"/>
          </w:tcPr>
          <w:p>
            <w:pPr>
              <w:spacing w:after="0"/>
              <w:rPr>
                <w:sz w:val="15"/>
                <w:szCs w:val="15"/>
                <w:color w:val="auto"/>
              </w:rPr>
            </w:pPr>
          </w:p>
        </w:tc>
        <w:tc>
          <w:tcPr>
            <w:tcW w:w="860" w:type="dxa"/>
            <w:vAlign w:val="bottom"/>
            <w:gridSpan w:val="2"/>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vMerge w:val="continue"/>
            <w:shd w:val="clear" w:color="auto" w:fill="CFF0FC"/>
          </w:tcPr>
          <w:p>
            <w:pPr>
              <w:spacing w:after="0"/>
              <w:rPr>
                <w:sz w:val="15"/>
                <w:szCs w:val="15"/>
                <w:color w:val="auto"/>
              </w:rPr>
            </w:pPr>
          </w:p>
        </w:tc>
        <w:tc>
          <w:tcPr>
            <w:tcW w:w="680" w:type="dxa"/>
            <w:vAlign w:val="bottom"/>
            <w:gridSpan w:val="2"/>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vMerge w:val="continue"/>
            <w:shd w:val="clear" w:color="auto" w:fill="CFF0FC"/>
          </w:tcPr>
          <w:p>
            <w:pPr>
              <w:spacing w:after="0"/>
              <w:rPr>
                <w:sz w:val="15"/>
                <w:szCs w:val="15"/>
                <w:color w:val="auto"/>
              </w:rPr>
            </w:pPr>
          </w:p>
        </w:tc>
        <w:tc>
          <w:tcPr>
            <w:tcW w:w="68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380" w:type="dxa"/>
            <w:vAlign w:val="bottom"/>
            <w:gridSpan w:val="2"/>
          </w:tcPr>
          <w:p>
            <w:pPr>
              <w:ind w:left="20"/>
              <w:spacing w:after="0" w:line="136" w:lineRule="exact"/>
              <w:rPr>
                <w:sz w:val="20"/>
                <w:szCs w:val="20"/>
                <w:color w:val="auto"/>
              </w:rPr>
            </w:pPr>
            <w:r>
              <w:rPr>
                <w:rFonts w:ascii="Times New Roman" w:cs="Times New Roman" w:eastAsia="Times New Roman" w:hAnsi="Times New Roman"/>
                <w:sz w:val="13"/>
                <w:szCs w:val="13"/>
                <w:color w:val="auto"/>
              </w:rPr>
              <w:t>Vesting of restricted common stock from</w:t>
            </w:r>
          </w:p>
        </w:tc>
        <w:tc>
          <w:tcPr>
            <w:tcW w:w="86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0" w:type="dxa"/>
            <w:vAlign w:val="bottom"/>
            <w:tcBorders>
              <w:right w:val="single" w:sz="8" w:color="auto"/>
            </w:tcBorders>
            <w:gridSpan w:val="2"/>
            <w:vMerge w:val="restart"/>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1"/>
                <w:szCs w:val="11"/>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1"/>
                <w:szCs w:val="11"/>
                <w:color w:val="auto"/>
              </w:rPr>
            </w:pPr>
          </w:p>
        </w:tc>
        <w:tc>
          <w:tcPr>
            <w:tcW w:w="4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early-exercised options</w:t>
            </w:r>
          </w:p>
        </w:tc>
        <w:tc>
          <w:tcPr>
            <w:tcW w:w="8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Borders>
              <w:right w:val="single" w:sz="8" w:color="auto"/>
            </w:tcBorders>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3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8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600" w:type="dxa"/>
            <w:vAlign w:val="bottom"/>
            <w:tcBorders>
              <w:right w:val="single" w:sz="8" w:color="auto"/>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50,353</w:t>
            </w:r>
          </w:p>
        </w:tc>
        <w:tc>
          <w:tcPr>
            <w:tcW w:w="2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spacing w:after="0"/>
              <w:rPr>
                <w:sz w:val="15"/>
                <w:szCs w:val="15"/>
                <w:color w:val="auto"/>
              </w:rPr>
            </w:pPr>
          </w:p>
        </w:tc>
        <w:tc>
          <w:tcPr>
            <w:tcW w:w="4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7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380" w:type="dxa"/>
            <w:vAlign w:val="bottom"/>
            <w:gridSpan w:val="2"/>
          </w:tcPr>
          <w:p>
            <w:pPr>
              <w:ind w:left="20"/>
              <w:spacing w:after="0" w:line="123" w:lineRule="exact"/>
              <w:rPr>
                <w:sz w:val="20"/>
                <w:szCs w:val="20"/>
                <w:color w:val="auto"/>
              </w:rPr>
            </w:pPr>
            <w:r>
              <w:rPr>
                <w:rFonts w:ascii="Times New Roman" w:cs="Times New Roman" w:eastAsia="Times New Roman" w:hAnsi="Times New Roman"/>
                <w:sz w:val="13"/>
                <w:szCs w:val="13"/>
                <w:color w:val="auto"/>
              </w:rPr>
              <w:t>Repurchase of unvested restricted</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line="123" w:lineRule="exact"/>
              <w:rPr>
                <w:sz w:val="20"/>
                <w:szCs w:val="20"/>
                <w:color w:val="auto"/>
              </w:rPr>
            </w:pPr>
            <w:r>
              <w:rPr>
                <w:rFonts w:ascii="Times New Roman" w:cs="Times New Roman" w:eastAsia="Times New Roman" w:hAnsi="Times New Roman"/>
                <w:sz w:val="13"/>
                <w:szCs w:val="13"/>
                <w:color w:val="auto"/>
              </w:rPr>
              <w:t>(1,158,0</w:t>
            </w: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spacing w:after="0" w:line="123" w:lineRule="exact"/>
              <w:rPr>
                <w:sz w:val="20"/>
                <w:szCs w:val="20"/>
                <w:color w:val="auto"/>
              </w:rPr>
            </w:pPr>
            <w:r>
              <w:rPr>
                <w:rFonts w:ascii="Times New Roman" w:cs="Times New Roman" w:eastAsia="Times New Roman" w:hAnsi="Times New Roman"/>
                <w:sz w:val="13"/>
                <w:szCs w:val="13"/>
                <w:color w:val="auto"/>
              </w:rPr>
              <w:t>1,158,08</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common stock</w:t>
            </w: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60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89 )</w:t>
            </w:r>
          </w:p>
        </w:tc>
        <w:tc>
          <w:tcPr>
            <w:tcW w:w="40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6"/>
                <w:szCs w:val="16"/>
                <w:color w:val="auto"/>
              </w:rPr>
            </w:pP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2"/>
        </w:trPr>
        <w:tc>
          <w:tcPr>
            <w:tcW w:w="2380" w:type="dxa"/>
            <w:vAlign w:val="bottom"/>
            <w:gridSpan w:val="2"/>
            <w:shd w:val="clear" w:color="auto" w:fill="CFF0FC"/>
          </w:tcPr>
          <w:p>
            <w:pPr>
              <w:ind w:left="20"/>
              <w:spacing w:after="0" w:line="123" w:lineRule="exact"/>
              <w:rPr>
                <w:sz w:val="20"/>
                <w:szCs w:val="20"/>
                <w:color w:val="auto"/>
              </w:rPr>
            </w:pPr>
            <w:r>
              <w:rPr>
                <w:rFonts w:ascii="Times New Roman" w:cs="Times New Roman" w:eastAsia="Times New Roman" w:hAnsi="Times New Roman"/>
                <w:sz w:val="13"/>
                <w:szCs w:val="13"/>
                <w:color w:val="auto"/>
              </w:rPr>
              <w:t>Retirement of treasury stock</w:t>
            </w: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line="123" w:lineRule="exact"/>
              <w:rPr>
                <w:sz w:val="20"/>
                <w:szCs w:val="20"/>
                <w:color w:val="auto"/>
              </w:rPr>
            </w:pPr>
            <w:r>
              <w:rPr>
                <w:rFonts w:ascii="Times New Roman" w:cs="Times New Roman" w:eastAsia="Times New Roman" w:hAnsi="Times New Roman"/>
                <w:sz w:val="13"/>
                <w:szCs w:val="13"/>
                <w:color w:val="auto"/>
              </w:rPr>
              <w:t>(1,626,8</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600" w:type="dxa"/>
            <w:vAlign w:val="bottom"/>
            <w:tcBorders>
              <w:right w:val="single" w:sz="8" w:color="auto"/>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FF0FC"/>
          </w:tcPr>
          <w:p>
            <w:pPr>
              <w:spacing w:after="0"/>
              <w:rPr>
                <w:sz w:val="16"/>
                <w:szCs w:val="16"/>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40 )</w:t>
            </w: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4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6"/>
                <w:szCs w:val="16"/>
                <w:color w:val="auto"/>
              </w:rPr>
            </w:pPr>
          </w:p>
        </w:tc>
        <w:tc>
          <w:tcPr>
            <w:tcW w:w="9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7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0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5"/>
                <w:szCs w:val="15"/>
                <w:color w:val="auto"/>
              </w:rPr>
            </w:pPr>
          </w:p>
        </w:tc>
        <w:tc>
          <w:tcPr>
            <w:tcW w:w="4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1,983</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380" w:type="dxa"/>
            <w:vAlign w:val="bottom"/>
            <w:gridSpan w:val="2"/>
            <w:shd w:val="clear" w:color="auto" w:fill="CFF0FC"/>
          </w:tcPr>
          <w:p>
            <w:pPr>
              <w:ind w:left="20"/>
              <w:spacing w:after="0" w:line="136" w:lineRule="exact"/>
              <w:rPr>
                <w:sz w:val="20"/>
                <w:szCs w:val="20"/>
                <w:color w:val="auto"/>
              </w:rPr>
            </w:pPr>
            <w:r>
              <w:rPr>
                <w:rFonts w:ascii="Times New Roman" w:cs="Times New Roman" w:eastAsia="Times New Roman" w:hAnsi="Times New Roman"/>
                <w:sz w:val="13"/>
                <w:szCs w:val="13"/>
                <w:color w:val="auto"/>
              </w:rPr>
              <w:t>Unrealized gain on available-for-sale</w:t>
            </w:r>
          </w:p>
        </w:tc>
        <w:tc>
          <w:tcPr>
            <w:tcW w:w="860" w:type="dxa"/>
            <w:vAlign w:val="bottom"/>
            <w:gridSpan w:val="3"/>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600" w:type="dxa"/>
            <w:vAlign w:val="bottom"/>
            <w:tcBorders>
              <w:right w:val="single" w:sz="8" w:color="auto"/>
            </w:tcBorders>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FF0FC"/>
          </w:tcPr>
          <w:p>
            <w:pPr>
              <w:spacing w:after="0"/>
              <w:rPr>
                <w:sz w:val="11"/>
                <w:szCs w:val="11"/>
                <w:color w:val="auto"/>
              </w:rPr>
            </w:pPr>
          </w:p>
        </w:tc>
        <w:tc>
          <w:tcPr>
            <w:tcW w:w="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gridSpan w:val="3"/>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spacing w:after="0"/>
              <w:rPr>
                <w:sz w:val="11"/>
                <w:szCs w:val="11"/>
                <w:color w:val="auto"/>
              </w:rPr>
            </w:pPr>
          </w:p>
        </w:tc>
        <w:tc>
          <w:tcPr>
            <w:tcW w:w="440" w:type="dxa"/>
            <w:vAlign w:val="bottom"/>
            <w:gridSpan w:val="3"/>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1"/>
                <w:szCs w:val="11"/>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gridSpan w:val="3"/>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3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securities, net of tax</w:t>
            </w:r>
          </w:p>
        </w:tc>
        <w:tc>
          <w:tcPr>
            <w:tcW w:w="860" w:type="dxa"/>
            <w:vAlign w:val="bottom"/>
            <w:gridSpan w:val="3"/>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tcBorders>
              <w:right w:val="single" w:sz="8" w:color="auto"/>
            </w:tcBorders>
            <w:gridSpan w:val="2"/>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gridSpan w:val="2"/>
            <w:vMerge w:val="continue"/>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20" w:type="dxa"/>
            <w:vAlign w:val="bottom"/>
            <w:vMerge w:val="continue"/>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gridSpan w:val="3"/>
            <w:vMerge w:val="continue"/>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440" w:type="dxa"/>
            <w:vAlign w:val="bottom"/>
            <w:gridSpan w:val="3"/>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gridSpan w:val="2"/>
            <w:vMerge w:val="continue"/>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40" w:type="dxa"/>
            <w:vAlign w:val="bottom"/>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gridSpan w:val="3"/>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(100,666 )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(100,666 )</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1908175</wp:posOffset>
            </wp:positionH>
            <wp:positionV relativeFrom="paragraph">
              <wp:posOffset>-4842510</wp:posOffset>
            </wp:positionV>
            <wp:extent cx="76835" cy="2311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231140"/>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-4842510</wp:posOffset>
            </wp:positionV>
            <wp:extent cx="76835" cy="2311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231140"/>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-4842510</wp:posOffset>
            </wp:positionV>
            <wp:extent cx="77470" cy="2311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23114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-4842510</wp:posOffset>
            </wp:positionV>
            <wp:extent cx="77470" cy="2311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23114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-4842510</wp:posOffset>
            </wp:positionV>
            <wp:extent cx="77470" cy="2311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23114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-4842510</wp:posOffset>
            </wp:positionV>
            <wp:extent cx="68580" cy="2311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23114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-4842510</wp:posOffset>
            </wp:positionV>
            <wp:extent cx="68580" cy="2311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23114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-4842510</wp:posOffset>
            </wp:positionV>
            <wp:extent cx="68580" cy="2311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23114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-4842510</wp:posOffset>
            </wp:positionV>
            <wp:extent cx="68580" cy="2311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2311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-4842510</wp:posOffset>
            </wp:positionV>
            <wp:extent cx="68580" cy="2311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231140"/>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-3385820</wp:posOffset>
            </wp:positionV>
            <wp:extent cx="768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-3368040</wp:posOffset>
            </wp:positionV>
            <wp:extent cx="768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-3385820</wp:posOffset>
            </wp:positionV>
            <wp:extent cx="7683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-3368040</wp:posOffset>
            </wp:positionV>
            <wp:extent cx="7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-3385820</wp:posOffset>
            </wp:positionV>
            <wp:extent cx="774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-3368040</wp:posOffset>
            </wp:positionV>
            <wp:extent cx="774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-3385820</wp:posOffset>
            </wp:positionV>
            <wp:extent cx="774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-3368040</wp:posOffset>
            </wp:positionV>
            <wp:extent cx="774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-3385820</wp:posOffset>
            </wp:positionV>
            <wp:extent cx="774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-3368040</wp:posOffset>
            </wp:positionV>
            <wp:extent cx="77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-3385820</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-3368040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-3385820</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-3368040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-3385820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-3368040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-3385820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-3368040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-3385820</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-3368040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-1962150</wp:posOffset>
            </wp:positionV>
            <wp:extent cx="5229225" cy="6343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229225" cy="63436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
        </w:trPr>
        <w:tc>
          <w:tcPr>
            <w:tcW w:w="238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March 31, 2022</w:t>
            </w: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vMerge w:val="restart"/>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380" w:type="dxa"/>
            <w:vAlign w:val="bottom"/>
            <w:vMerge w:val="continue"/>
            <w:shd w:val="clear" w:color="auto" w:fill="CFF0FC"/>
          </w:tcPr>
          <w:p>
            <w:pPr>
              <w:spacing w:after="0"/>
              <w:rPr>
                <w:sz w:val="11"/>
                <w:szCs w:val="11"/>
                <w:color w:val="auto"/>
              </w:rPr>
            </w:pPr>
          </w:p>
        </w:tc>
        <w:tc>
          <w:tcPr>
            <w:tcW w:w="620" w:type="dxa"/>
            <w:vAlign w:val="bottom"/>
            <w:vMerge w:val="restart"/>
            <w:shd w:val="clear" w:color="auto" w:fill="CFF0FC"/>
          </w:tcPr>
          <w:p>
            <w:pPr>
              <w:ind w:left="48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vMerge w:val="restart"/>
            <w:shd w:val="clear" w:color="auto" w:fill="CFF0FC"/>
          </w:tcPr>
          <w:p>
            <w:pPr>
              <w:spacing w:after="0"/>
              <w:rPr>
                <w:sz w:val="11"/>
                <w:szCs w:val="11"/>
                <w:color w:val="auto"/>
              </w:rPr>
            </w:pPr>
          </w:p>
        </w:tc>
        <w:tc>
          <w:tcPr>
            <w:tcW w:w="200" w:type="dxa"/>
            <w:vAlign w:val="bottom"/>
            <w:vMerge w:val="restart"/>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vMerge w:val="restart"/>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right w:val="single" w:sz="8" w:color="auto"/>
            </w:tcBorders>
            <w:vMerge w:val="continue"/>
            <w:shd w:val="clear" w:color="auto" w:fill="CFF0FC"/>
          </w:tcPr>
          <w:p>
            <w:pPr>
              <w:spacing w:after="0"/>
              <w:rPr>
                <w:sz w:val="11"/>
                <w:szCs w:val="11"/>
                <w:color w:val="auto"/>
              </w:rPr>
            </w:pPr>
          </w:p>
        </w:tc>
        <w:tc>
          <w:tcPr>
            <w:tcW w:w="100" w:type="dxa"/>
            <w:vAlign w:val="bottom"/>
            <w:vMerge w:val="continue"/>
            <w:shd w:val="clear" w:color="auto" w:fill="CFF0FC"/>
          </w:tcPr>
          <w:p>
            <w:pPr>
              <w:spacing w:after="0"/>
              <w:rPr>
                <w:sz w:val="11"/>
                <w:szCs w:val="11"/>
                <w:color w:val="auto"/>
              </w:rPr>
            </w:pPr>
          </w:p>
        </w:tc>
        <w:tc>
          <w:tcPr>
            <w:tcW w:w="6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109,675,</w:t>
            </w:r>
          </w:p>
        </w:tc>
        <w:tc>
          <w:tcPr>
            <w:tcW w:w="220" w:type="dxa"/>
            <w:vAlign w:val="bottom"/>
            <w:vMerge w:val="continue"/>
            <w:shd w:val="clear" w:color="auto" w:fill="CFF0FC"/>
          </w:tcPr>
          <w:p>
            <w:pPr>
              <w:spacing w:after="0"/>
              <w:rPr>
                <w:sz w:val="11"/>
                <w:szCs w:val="11"/>
                <w:color w:val="auto"/>
              </w:rPr>
            </w:pPr>
          </w:p>
        </w:tc>
        <w:tc>
          <w:tcPr>
            <w:tcW w:w="280" w:type="dxa"/>
            <w:vAlign w:val="bottom"/>
            <w:vMerge w:val="restart"/>
            <w:shd w:val="clear" w:color="auto" w:fill="CFF0FC"/>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240" w:type="dxa"/>
            <w:vAlign w:val="bottom"/>
            <w:shd w:val="clear" w:color="auto" w:fill="CFF0FC"/>
          </w:tcPr>
          <w:p>
            <w:pPr>
              <w:spacing w:after="0"/>
              <w:rPr>
                <w:sz w:val="11"/>
                <w:szCs w:val="11"/>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restart"/>
            <w:shd w:val="clear" w:color="auto" w:fill="CFF0FC"/>
          </w:tcPr>
          <w:p>
            <w:pPr>
              <w:spacing w:after="0"/>
              <w:rPr>
                <w:sz w:val="11"/>
                <w:szCs w:val="11"/>
                <w:color w:val="auto"/>
              </w:rPr>
            </w:pPr>
          </w:p>
        </w:tc>
        <w:tc>
          <w:tcPr>
            <w:tcW w:w="260" w:type="dxa"/>
            <w:vAlign w:val="bottom"/>
            <w:vMerge w:val="restart"/>
            <w:shd w:val="clear" w:color="auto" w:fill="CFF0FC"/>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vMerge w:val="restart"/>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vMerge w:val="restart"/>
            <w:shd w:val="clear" w:color="auto" w:fill="CFF0FC"/>
          </w:tcPr>
          <w:p>
            <w:pPr>
              <w:spacing w:after="0"/>
              <w:rPr>
                <w:sz w:val="11"/>
                <w:szCs w:val="11"/>
                <w:color w:val="auto"/>
              </w:rPr>
            </w:pPr>
          </w:p>
        </w:tc>
        <w:tc>
          <w:tcPr>
            <w:tcW w:w="160" w:type="dxa"/>
            <w:vAlign w:val="bottom"/>
            <w:vMerge w:val="restart"/>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852,156</w:t>
            </w:r>
          </w:p>
        </w:tc>
        <w:tc>
          <w:tcPr>
            <w:tcW w:w="200" w:type="dxa"/>
            <w:vAlign w:val="bottom"/>
            <w:vMerge w:val="restart"/>
            <w:shd w:val="clear" w:color="auto" w:fill="CFF0FC"/>
          </w:tcPr>
          <w:p>
            <w:pPr>
              <w:spacing w:after="0"/>
              <w:rPr>
                <w:sz w:val="11"/>
                <w:szCs w:val="11"/>
                <w:color w:val="auto"/>
              </w:rPr>
            </w:pPr>
          </w:p>
        </w:tc>
        <w:tc>
          <w:tcPr>
            <w:tcW w:w="420" w:type="dxa"/>
            <w:vAlign w:val="bottom"/>
            <w:vMerge w:val="restart"/>
            <w:shd w:val="clear" w:color="auto" w:fill="CFF0FC"/>
          </w:tcPr>
          <w:p>
            <w:pPr>
              <w:jc w:val="right"/>
              <w:ind w:right="273"/>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vMerge w:val="restart"/>
            <w:shd w:val="clear" w:color="auto" w:fill="CFF0FC"/>
          </w:tcPr>
          <w:p>
            <w:pPr>
              <w:ind w:left="36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vMerge w:val="restart"/>
            <w:shd w:val="clear" w:color="auto" w:fill="CFF0FC"/>
          </w:tcPr>
          <w:p>
            <w:pPr>
              <w:spacing w:after="0"/>
              <w:rPr>
                <w:sz w:val="11"/>
                <w:szCs w:val="11"/>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(392,775 )</w:t>
            </w:r>
          </w:p>
        </w:tc>
        <w:tc>
          <w:tcPr>
            <w:tcW w:w="200" w:type="dxa"/>
            <w:vAlign w:val="bottom"/>
            <w:vMerge w:val="restart"/>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459,392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2380" w:type="dxa"/>
            <w:vAlign w:val="bottom"/>
            <w:shd w:val="clear" w:color="auto" w:fill="CFF0FC"/>
          </w:tcPr>
          <w:p>
            <w:pPr>
              <w:spacing w:after="0"/>
              <w:rPr>
                <w:sz w:val="18"/>
                <w:szCs w:val="18"/>
                <w:color w:val="auto"/>
              </w:rPr>
            </w:pPr>
          </w:p>
        </w:tc>
        <w:tc>
          <w:tcPr>
            <w:tcW w:w="620" w:type="dxa"/>
            <w:vAlign w:val="bottom"/>
            <w:vMerge w:val="continue"/>
            <w:shd w:val="clear" w:color="auto" w:fill="CFF0FC"/>
          </w:tcPr>
          <w:p>
            <w:pPr>
              <w:spacing w:after="0"/>
              <w:rPr>
                <w:sz w:val="18"/>
                <w:szCs w:val="18"/>
                <w:color w:val="auto"/>
              </w:rPr>
            </w:pPr>
          </w:p>
        </w:tc>
        <w:tc>
          <w:tcPr>
            <w:tcW w:w="240" w:type="dxa"/>
            <w:vAlign w:val="bottom"/>
            <w:vMerge w:val="continue"/>
            <w:shd w:val="clear" w:color="auto" w:fill="CFF0FC"/>
          </w:tcPr>
          <w:p>
            <w:pPr>
              <w:spacing w:after="0"/>
              <w:rPr>
                <w:sz w:val="18"/>
                <w:szCs w:val="18"/>
                <w:color w:val="auto"/>
              </w:rPr>
            </w:pPr>
          </w:p>
        </w:tc>
        <w:tc>
          <w:tcPr>
            <w:tcW w:w="200" w:type="dxa"/>
            <w:vAlign w:val="bottom"/>
            <w:vMerge w:val="continue"/>
            <w:shd w:val="clear" w:color="auto" w:fill="CFF0FC"/>
          </w:tcPr>
          <w:p>
            <w:pPr>
              <w:spacing w:after="0"/>
              <w:rPr>
                <w:sz w:val="18"/>
                <w:szCs w:val="18"/>
                <w:color w:val="auto"/>
              </w:rPr>
            </w:pPr>
          </w:p>
        </w:tc>
        <w:tc>
          <w:tcPr>
            <w:tcW w:w="280" w:type="dxa"/>
            <w:vAlign w:val="bottom"/>
            <w:vMerge w:val="continue"/>
            <w:shd w:val="clear" w:color="auto" w:fill="CFF0FC"/>
          </w:tcPr>
          <w:p>
            <w:pPr>
              <w:spacing w:after="0"/>
              <w:rPr>
                <w:sz w:val="18"/>
                <w:szCs w:val="18"/>
                <w:color w:val="auto"/>
              </w:rPr>
            </w:pPr>
          </w:p>
        </w:tc>
        <w:tc>
          <w:tcPr>
            <w:tcW w:w="24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173</w:t>
            </w:r>
          </w:p>
        </w:tc>
        <w:tc>
          <w:tcPr>
            <w:tcW w:w="220" w:type="dxa"/>
            <w:vAlign w:val="bottom"/>
            <w:shd w:val="clear" w:color="auto" w:fill="CFF0FC"/>
          </w:tcPr>
          <w:p>
            <w:pPr>
              <w:spacing w:after="0"/>
              <w:rPr>
                <w:sz w:val="18"/>
                <w:szCs w:val="18"/>
                <w:color w:val="auto"/>
              </w:rPr>
            </w:pPr>
          </w:p>
        </w:tc>
        <w:tc>
          <w:tcPr>
            <w:tcW w:w="280" w:type="dxa"/>
            <w:vAlign w:val="bottom"/>
            <w:vMerge w:val="continue"/>
            <w:shd w:val="clear" w:color="auto" w:fill="CFF0FC"/>
          </w:tcPr>
          <w:p>
            <w:pPr>
              <w:spacing w:after="0"/>
              <w:rPr>
                <w:sz w:val="18"/>
                <w:szCs w:val="18"/>
                <w:color w:val="auto"/>
              </w:rPr>
            </w:pPr>
          </w:p>
        </w:tc>
        <w:tc>
          <w:tcPr>
            <w:tcW w:w="34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20" w:type="dxa"/>
            <w:vAlign w:val="bottom"/>
            <w:vMerge w:val="continue"/>
            <w:shd w:val="clear" w:color="auto" w:fill="CFF0FC"/>
          </w:tcPr>
          <w:p>
            <w:pPr>
              <w:spacing w:after="0"/>
              <w:rPr>
                <w:sz w:val="18"/>
                <w:szCs w:val="18"/>
                <w:color w:val="auto"/>
              </w:rPr>
            </w:pPr>
          </w:p>
        </w:tc>
        <w:tc>
          <w:tcPr>
            <w:tcW w:w="220" w:type="dxa"/>
            <w:vAlign w:val="bottom"/>
            <w:vMerge w:val="continue"/>
            <w:shd w:val="clear" w:color="auto" w:fill="CFF0FC"/>
          </w:tcPr>
          <w:p>
            <w:pPr>
              <w:spacing w:after="0"/>
              <w:rPr>
                <w:sz w:val="18"/>
                <w:szCs w:val="18"/>
                <w:color w:val="auto"/>
              </w:rPr>
            </w:pPr>
          </w:p>
        </w:tc>
        <w:tc>
          <w:tcPr>
            <w:tcW w:w="260" w:type="dxa"/>
            <w:vAlign w:val="bottom"/>
            <w:vMerge w:val="continue"/>
            <w:shd w:val="clear" w:color="auto" w:fill="CFF0FC"/>
          </w:tcPr>
          <w:p>
            <w:pPr>
              <w:spacing w:after="0"/>
              <w:rPr>
                <w:sz w:val="18"/>
                <w:szCs w:val="18"/>
                <w:color w:val="auto"/>
              </w:rPr>
            </w:pPr>
          </w:p>
        </w:tc>
        <w:tc>
          <w:tcPr>
            <w:tcW w:w="300" w:type="dxa"/>
            <w:vAlign w:val="bottom"/>
            <w:vMerge w:val="continue"/>
            <w:shd w:val="clear" w:color="auto" w:fill="CFF0FC"/>
          </w:tcPr>
          <w:p>
            <w:pPr>
              <w:spacing w:after="0"/>
              <w:rPr>
                <w:sz w:val="18"/>
                <w:szCs w:val="18"/>
                <w:color w:val="auto"/>
              </w:rPr>
            </w:pPr>
          </w:p>
        </w:tc>
        <w:tc>
          <w:tcPr>
            <w:tcW w:w="220" w:type="dxa"/>
            <w:vAlign w:val="bottom"/>
            <w:vMerge w:val="continue"/>
            <w:shd w:val="clear" w:color="auto" w:fill="CFF0FC"/>
          </w:tcPr>
          <w:p>
            <w:pPr>
              <w:spacing w:after="0"/>
              <w:rPr>
                <w:sz w:val="18"/>
                <w:szCs w:val="18"/>
                <w:color w:val="auto"/>
              </w:rPr>
            </w:pPr>
          </w:p>
        </w:tc>
        <w:tc>
          <w:tcPr>
            <w:tcW w:w="160" w:type="dxa"/>
            <w:vAlign w:val="bottom"/>
            <w:vMerge w:val="continue"/>
            <w:shd w:val="clear" w:color="auto" w:fill="CFF0FC"/>
          </w:tcPr>
          <w:p>
            <w:pPr>
              <w:spacing w:after="0"/>
              <w:rPr>
                <w:sz w:val="18"/>
                <w:szCs w:val="18"/>
                <w:color w:val="auto"/>
              </w:rPr>
            </w:pPr>
          </w:p>
        </w:tc>
        <w:tc>
          <w:tcPr>
            <w:tcW w:w="540" w:type="dxa"/>
            <w:vAlign w:val="bottom"/>
            <w:vMerge w:val="continue"/>
            <w:shd w:val="clear" w:color="auto" w:fill="CFF0FC"/>
          </w:tcPr>
          <w:p>
            <w:pPr>
              <w:spacing w:after="0"/>
              <w:rPr>
                <w:sz w:val="18"/>
                <w:szCs w:val="18"/>
                <w:color w:val="auto"/>
              </w:rPr>
            </w:pPr>
          </w:p>
        </w:tc>
        <w:tc>
          <w:tcPr>
            <w:tcW w:w="200" w:type="dxa"/>
            <w:vAlign w:val="bottom"/>
            <w:vMerge w:val="continue"/>
            <w:shd w:val="clear" w:color="auto" w:fill="CFF0FC"/>
          </w:tcPr>
          <w:p>
            <w:pPr>
              <w:spacing w:after="0"/>
              <w:rPr>
                <w:sz w:val="18"/>
                <w:szCs w:val="18"/>
                <w:color w:val="auto"/>
              </w:rPr>
            </w:pPr>
          </w:p>
        </w:tc>
        <w:tc>
          <w:tcPr>
            <w:tcW w:w="420" w:type="dxa"/>
            <w:vAlign w:val="bottom"/>
            <w:vMerge w:val="continue"/>
            <w:shd w:val="clear" w:color="auto" w:fill="CFF0FC"/>
          </w:tcPr>
          <w:p>
            <w:pPr>
              <w:spacing w:after="0"/>
              <w:rPr>
                <w:sz w:val="18"/>
                <w:szCs w:val="18"/>
                <w:color w:val="auto"/>
              </w:rPr>
            </w:pPr>
          </w:p>
        </w:tc>
        <w:tc>
          <w:tcPr>
            <w:tcW w:w="500" w:type="dxa"/>
            <w:vAlign w:val="bottom"/>
            <w:vMerge w:val="continue"/>
            <w:shd w:val="clear" w:color="auto" w:fill="CFF0FC"/>
          </w:tcPr>
          <w:p>
            <w:pPr>
              <w:spacing w:after="0"/>
              <w:rPr>
                <w:sz w:val="18"/>
                <w:szCs w:val="18"/>
                <w:color w:val="auto"/>
              </w:rPr>
            </w:pPr>
          </w:p>
        </w:tc>
        <w:tc>
          <w:tcPr>
            <w:tcW w:w="220" w:type="dxa"/>
            <w:vAlign w:val="bottom"/>
            <w:vMerge w:val="continue"/>
            <w:shd w:val="clear" w:color="auto" w:fill="CFF0FC"/>
          </w:tcPr>
          <w:p>
            <w:pPr>
              <w:spacing w:after="0"/>
              <w:rPr>
                <w:sz w:val="18"/>
                <w:szCs w:val="18"/>
                <w:color w:val="auto"/>
              </w:rPr>
            </w:pPr>
          </w:p>
        </w:tc>
        <w:tc>
          <w:tcPr>
            <w:tcW w:w="140" w:type="dxa"/>
            <w:vAlign w:val="bottom"/>
            <w:vMerge w:val="continue"/>
            <w:shd w:val="clear" w:color="auto" w:fill="CFF0FC"/>
          </w:tcPr>
          <w:p>
            <w:pPr>
              <w:spacing w:after="0"/>
              <w:rPr>
                <w:sz w:val="18"/>
                <w:szCs w:val="18"/>
                <w:color w:val="auto"/>
              </w:rPr>
            </w:pPr>
          </w:p>
        </w:tc>
        <w:tc>
          <w:tcPr>
            <w:tcW w:w="760" w:type="dxa"/>
            <w:vAlign w:val="bottom"/>
            <w:gridSpan w:val="2"/>
            <w:vMerge w:val="continue"/>
            <w:shd w:val="clear" w:color="auto" w:fill="CFF0FC"/>
          </w:tcPr>
          <w:p>
            <w:pPr>
              <w:spacing w:after="0"/>
              <w:rPr>
                <w:sz w:val="18"/>
                <w:szCs w:val="18"/>
                <w:color w:val="auto"/>
              </w:rPr>
            </w:pPr>
          </w:p>
        </w:tc>
        <w:tc>
          <w:tcPr>
            <w:tcW w:w="200" w:type="dxa"/>
            <w:vAlign w:val="bottom"/>
            <w:vMerge w:val="continue"/>
            <w:shd w:val="clear" w:color="auto" w:fill="CFF0FC"/>
          </w:tcPr>
          <w:p>
            <w:pPr>
              <w:spacing w:after="0"/>
              <w:rPr>
                <w:sz w:val="18"/>
                <w:szCs w:val="18"/>
                <w:color w:val="auto"/>
              </w:rPr>
            </w:pPr>
          </w:p>
        </w:tc>
        <w:tc>
          <w:tcPr>
            <w:tcW w:w="60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3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62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top w:val="single" w:sz="8" w:color="CFF0FC"/>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top w:val="single" w:sz="8" w:color="CFF0FC"/>
              <w:right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98,000</w:t>
            </w:r>
          </w:p>
        </w:tc>
        <w:tc>
          <w:tcPr>
            <w:tcW w:w="220" w:type="dxa"/>
            <w:vAlign w:val="bottom"/>
            <w:tcBorders>
              <w:top w:val="single" w:sz="8" w:color="CFF0FC"/>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top w:val="single" w:sz="8" w:color="CFF0FC"/>
            </w:tcBorders>
          </w:tcPr>
          <w:p>
            <w:pPr>
              <w:spacing w:after="0"/>
              <w:rPr>
                <w:sz w:val="13"/>
                <w:szCs w:val="13"/>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CFF0FC"/>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200" w:type="dxa"/>
            <w:vAlign w:val="bottom"/>
            <w:tcBorders>
              <w:top w:val="single" w:sz="8" w:color="CFF0FC"/>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CFF0FC"/>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380" w:type="dxa"/>
            <w:vAlign w:val="bottom"/>
            <w:shd w:val="clear" w:color="auto" w:fill="CFF0FC"/>
          </w:tcPr>
          <w:p>
            <w:pPr>
              <w:ind w:left="20"/>
              <w:spacing w:after="0" w:line="136" w:lineRule="exact"/>
              <w:rPr>
                <w:sz w:val="20"/>
                <w:szCs w:val="20"/>
                <w:color w:val="auto"/>
              </w:rPr>
            </w:pPr>
            <w:r>
              <w:rPr>
                <w:rFonts w:ascii="Times New Roman" w:cs="Times New Roman" w:eastAsia="Times New Roman" w:hAnsi="Times New Roman"/>
                <w:sz w:val="13"/>
                <w:szCs w:val="13"/>
                <w:color w:val="auto"/>
              </w:rPr>
              <w:t>Repurchase of unvested restricted</w:t>
            </w:r>
          </w:p>
        </w:tc>
        <w:tc>
          <w:tcPr>
            <w:tcW w:w="620" w:type="dxa"/>
            <w:vAlign w:val="bottom"/>
            <w:vMerge w:val="restart"/>
            <w:shd w:val="clear" w:color="auto" w:fill="CFF0FC"/>
          </w:tcPr>
          <w:p>
            <w:pPr>
              <w:ind w:left="48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80" w:type="dxa"/>
            <w:vAlign w:val="bottom"/>
            <w:vMerge w:val="restart"/>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right w:val="single" w:sz="8" w:color="auto"/>
            </w:tcBorders>
            <w:shd w:val="clear" w:color="auto" w:fill="CFF0FC"/>
          </w:tcPr>
          <w:p>
            <w:pPr>
              <w:spacing w:after="0"/>
              <w:rPr>
                <w:sz w:val="11"/>
                <w:szCs w:val="11"/>
                <w:color w:val="auto"/>
              </w:rPr>
            </w:pPr>
          </w:p>
        </w:tc>
        <w:tc>
          <w:tcPr>
            <w:tcW w:w="960" w:type="dxa"/>
            <w:vAlign w:val="bottom"/>
            <w:gridSpan w:val="3"/>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(992,648 )</w:t>
            </w:r>
          </w:p>
        </w:tc>
        <w:tc>
          <w:tcPr>
            <w:tcW w:w="280" w:type="dxa"/>
            <w:vAlign w:val="bottom"/>
            <w:shd w:val="clear" w:color="auto" w:fill="CFF0FC"/>
          </w:tcPr>
          <w:p>
            <w:pPr>
              <w:spacing w:after="0"/>
              <w:rPr>
                <w:sz w:val="11"/>
                <w:szCs w:val="11"/>
                <w:color w:val="auto"/>
              </w:rPr>
            </w:pPr>
          </w:p>
        </w:tc>
        <w:tc>
          <w:tcPr>
            <w:tcW w:w="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992,648</w:t>
            </w:r>
          </w:p>
        </w:tc>
        <w:tc>
          <w:tcPr>
            <w:tcW w:w="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00" w:type="dxa"/>
            <w:vAlign w:val="bottom"/>
            <w:vMerge w:val="restart"/>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500" w:type="dxa"/>
            <w:vAlign w:val="bottom"/>
            <w:vMerge w:val="restart"/>
            <w:shd w:val="clear" w:color="auto" w:fill="CFF0FC"/>
          </w:tcPr>
          <w:p>
            <w:pPr>
              <w:ind w:left="36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7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common stock</w:t>
            </w:r>
          </w:p>
        </w:tc>
        <w:tc>
          <w:tcPr>
            <w:tcW w:w="620" w:type="dxa"/>
            <w:vAlign w:val="bottom"/>
            <w:vMerge w:val="continue"/>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80" w:type="dxa"/>
            <w:vAlign w:val="bottom"/>
            <w:vMerge w:val="continue"/>
            <w:shd w:val="clear" w:color="auto" w:fill="CFF0FC"/>
          </w:tcPr>
          <w:p>
            <w:pPr>
              <w:spacing w:after="0"/>
              <w:rPr>
                <w:sz w:val="15"/>
                <w:szCs w:val="15"/>
                <w:color w:val="auto"/>
              </w:rPr>
            </w:pPr>
          </w:p>
        </w:tc>
        <w:tc>
          <w:tcPr>
            <w:tcW w:w="240" w:type="dxa"/>
            <w:vAlign w:val="bottom"/>
            <w:tcBorders>
              <w:right w:val="single" w:sz="8" w:color="auto"/>
            </w:tcBorders>
            <w:shd w:val="clear" w:color="auto" w:fill="CFF0FC"/>
          </w:tcPr>
          <w:p>
            <w:pPr>
              <w:spacing w:after="0"/>
              <w:rPr>
                <w:sz w:val="15"/>
                <w:szCs w:val="15"/>
                <w:color w:val="auto"/>
              </w:rPr>
            </w:pPr>
          </w:p>
        </w:tc>
        <w:tc>
          <w:tcPr>
            <w:tcW w:w="960" w:type="dxa"/>
            <w:vAlign w:val="bottom"/>
            <w:gridSpan w:val="3"/>
            <w:vMerge w:val="continue"/>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40" w:type="dxa"/>
            <w:vAlign w:val="bottom"/>
            <w:vMerge w:val="continue"/>
            <w:shd w:val="clear" w:color="auto" w:fill="CFF0FC"/>
          </w:tcPr>
          <w:p>
            <w:pPr>
              <w:spacing w:after="0"/>
              <w:rPr>
                <w:sz w:val="15"/>
                <w:szCs w:val="15"/>
                <w:color w:val="auto"/>
              </w:rPr>
            </w:pPr>
          </w:p>
        </w:tc>
        <w:tc>
          <w:tcPr>
            <w:tcW w:w="860" w:type="dxa"/>
            <w:vAlign w:val="bottom"/>
            <w:gridSpan w:val="2"/>
            <w:vMerge w:val="continue"/>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00" w:type="dxa"/>
            <w:vAlign w:val="bottom"/>
            <w:vMerge w:val="continue"/>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40" w:type="dxa"/>
            <w:vAlign w:val="bottom"/>
            <w:vMerge w:val="continue"/>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500" w:type="dxa"/>
            <w:vAlign w:val="bottom"/>
            <w:vMerge w:val="continue"/>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gridSpan w:val="2"/>
            <w:vMerge w:val="continue"/>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00" w:type="dxa"/>
            <w:vAlign w:val="bottom"/>
            <w:gridSpan w:val="2"/>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620" w:type="dxa"/>
            <w:vAlign w:val="bottom"/>
          </w:tcPr>
          <w:p>
            <w:pPr>
              <w:ind w:left="48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300" w:type="dxa"/>
            <w:vAlign w:val="bottom"/>
          </w:tcPr>
          <w:p>
            <w:pPr>
              <w:ind w:left="16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6,361</w:t>
            </w: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ind w:left="36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6,361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6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5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(50,990 )</w:t>
            </w:r>
          </w:p>
        </w:tc>
        <w:tc>
          <w:tcPr>
            <w:tcW w:w="20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(50,990 )</w:t>
            </w:r>
          </w:p>
        </w:tc>
        <w:tc>
          <w:tcPr>
            <w:tcW w:w="0" w:type="dxa"/>
            <w:vAlign w:val="bottom"/>
          </w:tcPr>
          <w:p>
            <w:pPr>
              <w:spacing w:after="0"/>
              <w:rPr>
                <w:sz w:val="1"/>
                <w:szCs w:val="1"/>
                <w:color w:val="auto"/>
              </w:rPr>
            </w:pPr>
          </w:p>
        </w:tc>
      </w:tr>
      <w:tr>
        <w:trPr>
          <w:trHeight w:val="20"/>
        </w:trPr>
        <w:tc>
          <w:tcPr>
            <w:tcW w:w="238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380" w:type="dxa"/>
            <w:vAlign w:val="bottom"/>
          </w:tcPr>
          <w:p>
            <w:pPr>
              <w:ind w:left="20"/>
              <w:spacing w:after="0" w:line="130" w:lineRule="exact"/>
              <w:rPr>
                <w:sz w:val="20"/>
                <w:szCs w:val="20"/>
                <w:color w:val="auto"/>
              </w:rPr>
            </w:pPr>
            <w:r>
              <w:rPr>
                <w:rFonts w:ascii="Times New Roman" w:cs="Times New Roman" w:eastAsia="Times New Roman" w:hAnsi="Times New Roman"/>
                <w:sz w:val="13"/>
                <w:szCs w:val="13"/>
                <w:b w:val="1"/>
                <w:bCs w:val="1"/>
                <w:color w:val="auto"/>
              </w:rPr>
              <w:t>Balances at June 30, 2022</w:t>
            </w:r>
          </w:p>
        </w:tc>
        <w:tc>
          <w:tcPr>
            <w:tcW w:w="620" w:type="dxa"/>
            <w:vAlign w:val="bottom"/>
            <w:vMerge w:val="restart"/>
          </w:tcPr>
          <w:p>
            <w:pPr>
              <w:ind w:left="48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vMerge w:val="restart"/>
          </w:tcPr>
          <w:p>
            <w:pPr>
              <w:spacing w:after="0"/>
              <w:rPr>
                <w:sz w:val="11"/>
                <w:szCs w:val="11"/>
                <w:color w:val="auto"/>
              </w:rPr>
            </w:pPr>
          </w:p>
        </w:tc>
        <w:tc>
          <w:tcPr>
            <w:tcW w:w="200" w:type="dxa"/>
            <w:vAlign w:val="bottom"/>
            <w:vMerge w:val="restart"/>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108,780,</w:t>
            </w:r>
          </w:p>
        </w:tc>
        <w:tc>
          <w:tcPr>
            <w:tcW w:w="220" w:type="dxa"/>
            <w:vAlign w:val="bottom"/>
          </w:tcPr>
          <w:p>
            <w:pPr>
              <w:spacing w:after="0"/>
              <w:rPr>
                <w:sz w:val="11"/>
                <w:szCs w:val="11"/>
                <w:color w:val="auto"/>
              </w:rPr>
            </w:pPr>
          </w:p>
        </w:tc>
        <w:tc>
          <w:tcPr>
            <w:tcW w:w="280" w:type="dxa"/>
            <w:vAlign w:val="bottom"/>
            <w:vMerge w:val="restart"/>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240" w:type="dxa"/>
            <w:vAlign w:val="bottom"/>
            <w:vMerge w:val="restart"/>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992,648</w:t>
            </w:r>
          </w:p>
        </w:tc>
        <w:tc>
          <w:tcPr>
            <w:tcW w:w="220" w:type="dxa"/>
            <w:vAlign w:val="bottom"/>
          </w:tcPr>
          <w:p>
            <w:pPr>
              <w:spacing w:after="0"/>
              <w:rPr>
                <w:sz w:val="11"/>
                <w:szCs w:val="11"/>
                <w:color w:val="auto"/>
              </w:rPr>
            </w:pPr>
          </w:p>
        </w:tc>
        <w:tc>
          <w:tcPr>
            <w:tcW w:w="260" w:type="dxa"/>
            <w:vAlign w:val="bottom"/>
            <w:vMerge w:val="restart"/>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vMerge w:val="restart"/>
          </w:tcPr>
          <w:p>
            <w:pPr>
              <w:spacing w:after="0"/>
              <w:rPr>
                <w:sz w:val="11"/>
                <w:szCs w:val="11"/>
                <w:color w:val="auto"/>
              </w:rPr>
            </w:pPr>
          </w:p>
        </w:tc>
        <w:tc>
          <w:tcPr>
            <w:tcW w:w="160" w:type="dxa"/>
            <w:vAlign w:val="bottom"/>
            <w:vMerge w:val="restart"/>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858,593</w:t>
            </w:r>
          </w:p>
        </w:tc>
        <w:tc>
          <w:tcPr>
            <w:tcW w:w="200" w:type="dxa"/>
            <w:vAlign w:val="bottom"/>
            <w:vMerge w:val="restart"/>
          </w:tcPr>
          <w:p>
            <w:pPr>
              <w:spacing w:after="0"/>
              <w:rPr>
                <w:sz w:val="11"/>
                <w:szCs w:val="11"/>
                <w:color w:val="auto"/>
              </w:rPr>
            </w:pPr>
          </w:p>
        </w:tc>
        <w:tc>
          <w:tcPr>
            <w:tcW w:w="420" w:type="dxa"/>
            <w:vAlign w:val="bottom"/>
            <w:vMerge w:val="restart"/>
          </w:tcPr>
          <w:p>
            <w:pPr>
              <w:jc w:val="right"/>
              <w:ind w:right="273"/>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vMerge w:val="restart"/>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(443,765 )</w:t>
            </w:r>
          </w:p>
        </w:tc>
        <w:tc>
          <w:tcPr>
            <w:tcW w:w="200" w:type="dxa"/>
            <w:vAlign w:val="bottom"/>
            <w:vMerge w:val="restart"/>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414,839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3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525</w:t>
            </w:r>
          </w:p>
        </w:tc>
        <w:tc>
          <w:tcPr>
            <w:tcW w:w="22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6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125,000</w:t>
            </w:r>
          </w:p>
        </w:tc>
        <w:tc>
          <w:tcPr>
            <w:tcW w:w="2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20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5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380" w:type="dxa"/>
            <w:vAlign w:val="bottom"/>
          </w:tcPr>
          <w:p>
            <w:pPr>
              <w:ind w:left="20"/>
              <w:spacing w:after="0" w:line="123" w:lineRule="exact"/>
              <w:rPr>
                <w:sz w:val="20"/>
                <w:szCs w:val="20"/>
                <w:color w:val="auto"/>
              </w:rPr>
            </w:pPr>
            <w:r>
              <w:rPr>
                <w:rFonts w:ascii="Times New Roman" w:cs="Times New Roman" w:eastAsia="Times New Roman" w:hAnsi="Times New Roman"/>
                <w:sz w:val="13"/>
                <w:szCs w:val="13"/>
                <w:color w:val="auto"/>
              </w:rPr>
              <w:t>Retirement of treasury stock</w:t>
            </w: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60" w:type="dxa"/>
            <w:vAlign w:val="bottom"/>
            <w:gridSpan w:val="2"/>
          </w:tcPr>
          <w:p>
            <w:pPr>
              <w:jc w:val="right"/>
              <w:spacing w:after="0" w:line="123" w:lineRule="exact"/>
              <w:rPr>
                <w:sz w:val="20"/>
                <w:szCs w:val="20"/>
                <w:color w:val="auto"/>
              </w:rPr>
            </w:pPr>
            <w:r>
              <w:rPr>
                <w:rFonts w:ascii="Times New Roman" w:cs="Times New Roman" w:eastAsia="Times New Roman" w:hAnsi="Times New Roman"/>
                <w:sz w:val="13"/>
                <w:szCs w:val="13"/>
                <w:color w:val="auto"/>
              </w:rPr>
              <w:t>(992,64</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380" w:type="dxa"/>
            <w:vAlign w:val="bottom"/>
          </w:tcPr>
          <w:p>
            <w:pPr>
              <w:spacing w:after="0"/>
              <w:rPr>
                <w:sz w:val="16"/>
                <w:szCs w:val="16"/>
                <w:color w:val="auto"/>
              </w:rPr>
            </w:pPr>
          </w:p>
        </w:tc>
        <w:tc>
          <w:tcPr>
            <w:tcW w:w="620" w:type="dxa"/>
            <w:vAlign w:val="bottom"/>
          </w:tcPr>
          <w:p>
            <w:pPr>
              <w:ind w:left="48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8 )</w:t>
            </w:r>
          </w:p>
        </w:tc>
        <w:tc>
          <w:tcPr>
            <w:tcW w:w="260" w:type="dxa"/>
            <w:vAlign w:val="bottom"/>
          </w:tcPr>
          <w:p>
            <w:pPr>
              <w:spacing w:after="0"/>
              <w:rPr>
                <w:sz w:val="16"/>
                <w:szCs w:val="16"/>
                <w:color w:val="auto"/>
              </w:rPr>
            </w:pPr>
          </w:p>
        </w:tc>
        <w:tc>
          <w:tcPr>
            <w:tcW w:w="300" w:type="dxa"/>
            <w:vAlign w:val="bottom"/>
          </w:tcPr>
          <w:p>
            <w:pPr>
              <w:ind w:left="16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ind w:left="36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2380" w:type="dxa"/>
            <w:vAlign w:val="bottom"/>
            <w:shd w:val="clear" w:color="auto" w:fill="CFF0FC"/>
          </w:tcPr>
          <w:p>
            <w:pPr>
              <w:ind w:left="20"/>
              <w:spacing w:after="0" w:line="136" w:lineRule="exact"/>
              <w:rPr>
                <w:sz w:val="20"/>
                <w:szCs w:val="20"/>
                <w:color w:val="auto"/>
              </w:rPr>
            </w:pPr>
            <w:r>
              <w:rPr>
                <w:rFonts w:ascii="Times New Roman" w:cs="Times New Roman" w:eastAsia="Times New Roman" w:hAnsi="Times New Roman"/>
                <w:sz w:val="13"/>
                <w:szCs w:val="13"/>
                <w:color w:val="auto"/>
              </w:rPr>
              <w:t>Issuance of common stock under the</w:t>
            </w:r>
          </w:p>
        </w:tc>
        <w:tc>
          <w:tcPr>
            <w:tcW w:w="620" w:type="dxa"/>
            <w:vAlign w:val="bottom"/>
            <w:vMerge w:val="restart"/>
            <w:shd w:val="clear" w:color="auto" w:fill="CFF0FC"/>
          </w:tcPr>
          <w:p>
            <w:pPr>
              <w:ind w:left="48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80" w:type="dxa"/>
            <w:vAlign w:val="bottom"/>
            <w:vMerge w:val="restart"/>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right w:val="single" w:sz="8" w:color="auto"/>
            </w:tcBorders>
            <w:shd w:val="clear" w:color="auto" w:fill="CFF0FC"/>
          </w:tcPr>
          <w:p>
            <w:pPr>
              <w:spacing w:after="0"/>
              <w:rPr>
                <w:sz w:val="11"/>
                <w:szCs w:val="11"/>
                <w:color w:val="auto"/>
              </w:rPr>
            </w:pPr>
          </w:p>
        </w:tc>
        <w:tc>
          <w:tcPr>
            <w:tcW w:w="7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51,876</w:t>
            </w: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84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300" w:type="dxa"/>
            <w:vAlign w:val="bottom"/>
            <w:vMerge w:val="restart"/>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2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500" w:type="dxa"/>
            <w:vAlign w:val="bottom"/>
            <w:vMerge w:val="restart"/>
            <w:shd w:val="clear" w:color="auto" w:fill="CFF0FC"/>
          </w:tcPr>
          <w:p>
            <w:pPr>
              <w:ind w:left="36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employee stock purchase plan</w:t>
            </w:r>
          </w:p>
        </w:tc>
        <w:tc>
          <w:tcPr>
            <w:tcW w:w="620" w:type="dxa"/>
            <w:vAlign w:val="bottom"/>
            <w:vMerge w:val="continue"/>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80" w:type="dxa"/>
            <w:vAlign w:val="bottom"/>
            <w:vMerge w:val="continue"/>
            <w:shd w:val="clear" w:color="auto" w:fill="CFF0FC"/>
          </w:tcPr>
          <w:p>
            <w:pPr>
              <w:spacing w:after="0"/>
              <w:rPr>
                <w:sz w:val="15"/>
                <w:szCs w:val="15"/>
                <w:color w:val="auto"/>
              </w:rPr>
            </w:pPr>
          </w:p>
        </w:tc>
        <w:tc>
          <w:tcPr>
            <w:tcW w:w="240" w:type="dxa"/>
            <w:vAlign w:val="bottom"/>
            <w:tcBorders>
              <w:right w:val="single" w:sz="8" w:color="auto"/>
            </w:tcBorders>
            <w:shd w:val="clear" w:color="auto" w:fill="CFF0FC"/>
          </w:tcPr>
          <w:p>
            <w:pPr>
              <w:spacing w:after="0"/>
              <w:rPr>
                <w:sz w:val="15"/>
                <w:szCs w:val="15"/>
                <w:color w:val="auto"/>
              </w:rPr>
            </w:pPr>
          </w:p>
        </w:tc>
        <w:tc>
          <w:tcPr>
            <w:tcW w:w="740" w:type="dxa"/>
            <w:vAlign w:val="bottom"/>
            <w:gridSpan w:val="2"/>
            <w:vMerge w:val="continue"/>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40" w:type="dxa"/>
            <w:vAlign w:val="bottom"/>
            <w:vMerge w:val="continue"/>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gridSpan w:val="2"/>
            <w:vMerge w:val="continue"/>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00" w:type="dxa"/>
            <w:vAlign w:val="bottom"/>
            <w:vMerge w:val="continue"/>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40" w:type="dxa"/>
            <w:vAlign w:val="bottom"/>
            <w:vMerge w:val="continue"/>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500" w:type="dxa"/>
            <w:vAlign w:val="bottom"/>
            <w:vMerge w:val="continue"/>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gridSpan w:val="2"/>
            <w:vMerge w:val="continue"/>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0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620" w:type="dxa"/>
            <w:vAlign w:val="bottom"/>
          </w:tcPr>
          <w:p>
            <w:pPr>
              <w:ind w:left="48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300" w:type="dxa"/>
            <w:vAlign w:val="bottom"/>
          </w:tcPr>
          <w:p>
            <w:pPr>
              <w:ind w:left="16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7,399</w:t>
            </w: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ind w:left="36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7,399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380" w:type="dxa"/>
            <w:vAlign w:val="bottom"/>
            <w:shd w:val="clear" w:color="auto" w:fill="CFF0FC"/>
          </w:tcPr>
          <w:p>
            <w:pPr>
              <w:ind w:left="20"/>
              <w:spacing w:after="0" w:line="136" w:lineRule="exact"/>
              <w:rPr>
                <w:sz w:val="20"/>
                <w:szCs w:val="20"/>
                <w:color w:val="auto"/>
              </w:rPr>
            </w:pPr>
            <w:r>
              <w:rPr>
                <w:rFonts w:ascii="Times New Roman" w:cs="Times New Roman" w:eastAsia="Times New Roman" w:hAnsi="Times New Roman"/>
                <w:sz w:val="13"/>
                <w:szCs w:val="13"/>
                <w:color w:val="auto"/>
              </w:rPr>
              <w:t>Unrealized gain on available-for-sale</w:t>
            </w:r>
          </w:p>
        </w:tc>
        <w:tc>
          <w:tcPr>
            <w:tcW w:w="620" w:type="dxa"/>
            <w:vAlign w:val="bottom"/>
            <w:vMerge w:val="restart"/>
            <w:shd w:val="clear" w:color="auto" w:fill="CFF0FC"/>
          </w:tcPr>
          <w:p>
            <w:pPr>
              <w:ind w:left="48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80" w:type="dxa"/>
            <w:vAlign w:val="bottom"/>
            <w:vMerge w:val="restart"/>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1"/>
                <w:szCs w:val="11"/>
                <w:color w:val="auto"/>
              </w:rPr>
            </w:pPr>
          </w:p>
        </w:tc>
        <w:tc>
          <w:tcPr>
            <w:tcW w:w="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84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300" w:type="dxa"/>
            <w:vAlign w:val="bottom"/>
            <w:vMerge w:val="restart"/>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500" w:type="dxa"/>
            <w:vAlign w:val="bottom"/>
            <w:vMerge w:val="restart"/>
            <w:shd w:val="clear" w:color="auto" w:fill="CFF0FC"/>
          </w:tcPr>
          <w:p>
            <w:pPr>
              <w:ind w:left="360"/>
              <w:spacing w:after="0"/>
              <w:rPr>
                <w:sz w:val="20"/>
                <w:szCs w:val="20"/>
                <w:color w:val="auto"/>
              </w:rPr>
            </w:pPr>
            <w:r>
              <w:rPr>
                <w:rFonts w:ascii="Times New Roman" w:cs="Times New Roman" w:eastAsia="Times New Roman" w:hAnsi="Times New Roman"/>
                <w:sz w:val="13"/>
                <w:szCs w:val="13"/>
                <w:color w:val="auto"/>
                <w:w w:val="91"/>
              </w:rPr>
              <w:t>46</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securities, net of tax</w:t>
            </w:r>
          </w:p>
        </w:tc>
        <w:tc>
          <w:tcPr>
            <w:tcW w:w="620" w:type="dxa"/>
            <w:vAlign w:val="bottom"/>
            <w:vMerge w:val="continue"/>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80" w:type="dxa"/>
            <w:vAlign w:val="bottom"/>
            <w:vMerge w:val="continue"/>
            <w:shd w:val="clear" w:color="auto" w:fill="CFF0FC"/>
          </w:tcPr>
          <w:p>
            <w:pPr>
              <w:spacing w:after="0"/>
              <w:rPr>
                <w:sz w:val="15"/>
                <w:szCs w:val="15"/>
                <w:color w:val="auto"/>
              </w:rPr>
            </w:pPr>
          </w:p>
        </w:tc>
        <w:tc>
          <w:tcPr>
            <w:tcW w:w="24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gridSpan w:val="2"/>
            <w:vMerge w:val="continue"/>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40" w:type="dxa"/>
            <w:vAlign w:val="bottom"/>
            <w:vMerge w:val="continue"/>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gridSpan w:val="2"/>
            <w:vMerge w:val="continue"/>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00" w:type="dxa"/>
            <w:vAlign w:val="bottom"/>
            <w:vMerge w:val="continue"/>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40" w:type="dxa"/>
            <w:vAlign w:val="bottom"/>
            <w:vMerge w:val="continue"/>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500" w:type="dxa"/>
            <w:vAlign w:val="bottom"/>
            <w:vMerge w:val="continue"/>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gridSpan w:val="2"/>
            <w:vMerge w:val="continue"/>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0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620" w:type="dxa"/>
            <w:vAlign w:val="bottom"/>
          </w:tcPr>
          <w:p>
            <w:pPr>
              <w:ind w:left="48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ind w:left="16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ind w:left="36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(45,087 )</w:t>
            </w:r>
          </w:p>
        </w:tc>
        <w:tc>
          <w:tcPr>
            <w:tcW w:w="200" w:type="dxa"/>
            <w:vAlign w:val="bottom"/>
          </w:tcPr>
          <w:p>
            <w:pPr>
              <w:spacing w:after="0"/>
              <w:rPr>
                <w:sz w:val="15"/>
                <w:szCs w:val="15"/>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(45,087 )</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380" w:type="dxa"/>
            <w:vAlign w:val="bottom"/>
            <w:shd w:val="clear" w:color="auto" w:fill="CFF0FC"/>
          </w:tcPr>
          <w:p>
            <w:pPr>
              <w:ind w:left="20"/>
              <w:spacing w:after="0" w:line="131" w:lineRule="exact"/>
              <w:rPr>
                <w:sz w:val="20"/>
                <w:szCs w:val="20"/>
                <w:color w:val="auto"/>
              </w:rPr>
            </w:pPr>
            <w:r>
              <w:rPr>
                <w:rFonts w:ascii="Times New Roman" w:cs="Times New Roman" w:eastAsia="Times New Roman" w:hAnsi="Times New Roman"/>
                <w:sz w:val="13"/>
                <w:szCs w:val="13"/>
                <w:b w:val="1"/>
                <w:bCs w:val="1"/>
                <w:color w:val="auto"/>
              </w:rPr>
              <w:t>Balances at September 30, 2022</w:t>
            </w:r>
          </w:p>
        </w:tc>
        <w:tc>
          <w:tcPr>
            <w:tcW w:w="620" w:type="dxa"/>
            <w:vAlign w:val="bottom"/>
            <w:vMerge w:val="restart"/>
            <w:shd w:val="clear" w:color="auto" w:fill="CFF0FC"/>
          </w:tcPr>
          <w:p>
            <w:pPr>
              <w:ind w:left="48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vMerge w:val="restart"/>
            <w:shd w:val="clear" w:color="auto" w:fill="CFF0FC"/>
          </w:tcPr>
          <w:p>
            <w:pPr>
              <w:spacing w:after="0"/>
              <w:rPr>
                <w:sz w:val="11"/>
                <w:szCs w:val="11"/>
                <w:color w:val="auto"/>
              </w:rPr>
            </w:pPr>
          </w:p>
        </w:tc>
        <w:tc>
          <w:tcPr>
            <w:tcW w:w="200" w:type="dxa"/>
            <w:vAlign w:val="bottom"/>
            <w:vMerge w:val="restart"/>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vMerge w:val="restart"/>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108,957,</w:t>
            </w:r>
          </w:p>
        </w:tc>
        <w:tc>
          <w:tcPr>
            <w:tcW w:w="220" w:type="dxa"/>
            <w:vAlign w:val="bottom"/>
            <w:shd w:val="clear" w:color="auto" w:fill="CFF0FC"/>
          </w:tcPr>
          <w:p>
            <w:pPr>
              <w:spacing w:after="0"/>
              <w:rPr>
                <w:sz w:val="11"/>
                <w:szCs w:val="11"/>
                <w:color w:val="auto"/>
              </w:rPr>
            </w:pPr>
          </w:p>
        </w:tc>
        <w:tc>
          <w:tcPr>
            <w:tcW w:w="280" w:type="dxa"/>
            <w:vAlign w:val="bottom"/>
            <w:vMerge w:val="restart"/>
            <w:shd w:val="clear" w:color="auto" w:fill="CFF0FC"/>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240" w:type="dxa"/>
            <w:vAlign w:val="bottom"/>
            <w:shd w:val="clear" w:color="auto" w:fill="CFF0FC"/>
          </w:tcPr>
          <w:p>
            <w:pPr>
              <w:spacing w:after="0"/>
              <w:rPr>
                <w:sz w:val="11"/>
                <w:szCs w:val="11"/>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restart"/>
            <w:shd w:val="clear" w:color="auto" w:fill="CFF0FC"/>
          </w:tcPr>
          <w:p>
            <w:pPr>
              <w:spacing w:after="0"/>
              <w:rPr>
                <w:sz w:val="11"/>
                <w:szCs w:val="11"/>
                <w:color w:val="auto"/>
              </w:rPr>
            </w:pPr>
          </w:p>
        </w:tc>
        <w:tc>
          <w:tcPr>
            <w:tcW w:w="260" w:type="dxa"/>
            <w:vAlign w:val="bottom"/>
            <w:vMerge w:val="restart"/>
            <w:shd w:val="clear" w:color="auto" w:fill="CFF0FC"/>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vMerge w:val="restart"/>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vMerge w:val="restart"/>
            <w:shd w:val="clear" w:color="auto" w:fill="CFF0FC"/>
          </w:tcPr>
          <w:p>
            <w:pPr>
              <w:spacing w:after="0"/>
              <w:rPr>
                <w:sz w:val="11"/>
                <w:szCs w:val="11"/>
                <w:color w:val="auto"/>
              </w:rPr>
            </w:pPr>
          </w:p>
        </w:tc>
        <w:tc>
          <w:tcPr>
            <w:tcW w:w="160" w:type="dxa"/>
            <w:vAlign w:val="bottom"/>
            <w:vMerge w:val="restart"/>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866,238</w:t>
            </w:r>
          </w:p>
        </w:tc>
        <w:tc>
          <w:tcPr>
            <w:tcW w:w="200" w:type="dxa"/>
            <w:vAlign w:val="bottom"/>
            <w:vMerge w:val="restart"/>
            <w:shd w:val="clear" w:color="auto" w:fill="CFF0FC"/>
          </w:tcPr>
          <w:p>
            <w:pPr>
              <w:spacing w:after="0"/>
              <w:rPr>
                <w:sz w:val="11"/>
                <w:szCs w:val="11"/>
                <w:color w:val="auto"/>
              </w:rPr>
            </w:pPr>
          </w:p>
        </w:tc>
        <w:tc>
          <w:tcPr>
            <w:tcW w:w="420" w:type="dxa"/>
            <w:vAlign w:val="bottom"/>
            <w:vMerge w:val="restart"/>
            <w:shd w:val="clear" w:color="auto" w:fill="CFF0FC"/>
          </w:tcPr>
          <w:p>
            <w:pPr>
              <w:jc w:val="right"/>
              <w:ind w:right="273"/>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vMerge w:val="restart"/>
            <w:shd w:val="clear" w:color="auto" w:fill="CFF0FC"/>
          </w:tcPr>
          <w:p>
            <w:pPr>
              <w:ind w:left="360"/>
              <w:spacing w:after="0"/>
              <w:rPr>
                <w:sz w:val="20"/>
                <w:szCs w:val="20"/>
                <w:color w:val="auto"/>
              </w:rPr>
            </w:pPr>
            <w:r>
              <w:rPr>
                <w:rFonts w:ascii="Times New Roman" w:cs="Times New Roman" w:eastAsia="Times New Roman" w:hAnsi="Times New Roman"/>
                <w:sz w:val="13"/>
                <w:szCs w:val="13"/>
                <w:color w:val="auto"/>
                <w:w w:val="91"/>
              </w:rPr>
              <w:t>46</w:t>
            </w:r>
          </w:p>
        </w:tc>
        <w:tc>
          <w:tcPr>
            <w:tcW w:w="220" w:type="dxa"/>
            <w:vAlign w:val="bottom"/>
            <w:vMerge w:val="restart"/>
            <w:shd w:val="clear" w:color="auto" w:fill="CFF0FC"/>
          </w:tcPr>
          <w:p>
            <w:pPr>
              <w:spacing w:after="0"/>
              <w:rPr>
                <w:sz w:val="11"/>
                <w:szCs w:val="11"/>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(488,852 )</w:t>
            </w:r>
          </w:p>
        </w:tc>
        <w:tc>
          <w:tcPr>
            <w:tcW w:w="200" w:type="dxa"/>
            <w:vAlign w:val="bottom"/>
            <w:vMerge w:val="restart"/>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377,443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380" w:type="dxa"/>
            <w:vAlign w:val="bottom"/>
            <w:shd w:val="clear" w:color="auto" w:fill="CFF0FC"/>
          </w:tcPr>
          <w:p>
            <w:pPr>
              <w:spacing w:after="0"/>
              <w:rPr>
                <w:sz w:val="16"/>
                <w:szCs w:val="16"/>
                <w:color w:val="auto"/>
              </w:rPr>
            </w:pPr>
          </w:p>
        </w:tc>
        <w:tc>
          <w:tcPr>
            <w:tcW w:w="620" w:type="dxa"/>
            <w:vAlign w:val="bottom"/>
            <w:vMerge w:val="continue"/>
            <w:shd w:val="clear" w:color="auto" w:fill="CFF0FC"/>
          </w:tcPr>
          <w:p>
            <w:pPr>
              <w:spacing w:after="0"/>
              <w:rPr>
                <w:sz w:val="16"/>
                <w:szCs w:val="16"/>
                <w:color w:val="auto"/>
              </w:rPr>
            </w:pPr>
          </w:p>
        </w:tc>
        <w:tc>
          <w:tcPr>
            <w:tcW w:w="240" w:type="dxa"/>
            <w:vAlign w:val="bottom"/>
            <w:vMerge w:val="continue"/>
            <w:shd w:val="clear" w:color="auto" w:fill="CFF0FC"/>
          </w:tcPr>
          <w:p>
            <w:pPr>
              <w:spacing w:after="0"/>
              <w:rPr>
                <w:sz w:val="16"/>
                <w:szCs w:val="16"/>
                <w:color w:val="auto"/>
              </w:rPr>
            </w:pPr>
          </w:p>
        </w:tc>
        <w:tc>
          <w:tcPr>
            <w:tcW w:w="200" w:type="dxa"/>
            <w:vAlign w:val="bottom"/>
            <w:vMerge w:val="continue"/>
            <w:shd w:val="clear" w:color="auto" w:fill="CFF0FC"/>
          </w:tcPr>
          <w:p>
            <w:pPr>
              <w:spacing w:after="0"/>
              <w:rPr>
                <w:sz w:val="16"/>
                <w:szCs w:val="16"/>
                <w:color w:val="auto"/>
              </w:rPr>
            </w:pPr>
          </w:p>
        </w:tc>
        <w:tc>
          <w:tcPr>
            <w:tcW w:w="280" w:type="dxa"/>
            <w:vAlign w:val="bottom"/>
            <w:vMerge w:val="continue"/>
            <w:shd w:val="clear" w:color="auto" w:fill="CFF0FC"/>
          </w:tcPr>
          <w:p>
            <w:pPr>
              <w:spacing w:after="0"/>
              <w:rPr>
                <w:sz w:val="16"/>
                <w:szCs w:val="16"/>
                <w:color w:val="auto"/>
              </w:rPr>
            </w:pPr>
          </w:p>
        </w:tc>
        <w:tc>
          <w:tcPr>
            <w:tcW w:w="240" w:type="dxa"/>
            <w:vAlign w:val="bottom"/>
            <w:tcBorders>
              <w:right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401</w:t>
            </w:r>
          </w:p>
        </w:tc>
        <w:tc>
          <w:tcPr>
            <w:tcW w:w="220" w:type="dxa"/>
            <w:vAlign w:val="bottom"/>
            <w:shd w:val="clear" w:color="auto" w:fill="CFF0FC"/>
          </w:tcPr>
          <w:p>
            <w:pPr>
              <w:spacing w:after="0"/>
              <w:rPr>
                <w:sz w:val="16"/>
                <w:szCs w:val="16"/>
                <w:color w:val="auto"/>
              </w:rPr>
            </w:pPr>
          </w:p>
        </w:tc>
        <w:tc>
          <w:tcPr>
            <w:tcW w:w="280" w:type="dxa"/>
            <w:vAlign w:val="bottom"/>
            <w:vMerge w:val="continue"/>
            <w:shd w:val="clear" w:color="auto" w:fill="CFF0FC"/>
          </w:tcPr>
          <w:p>
            <w:pPr>
              <w:spacing w:after="0"/>
              <w:rPr>
                <w:sz w:val="16"/>
                <w:szCs w:val="16"/>
                <w:color w:val="auto"/>
              </w:rPr>
            </w:pPr>
          </w:p>
        </w:tc>
        <w:tc>
          <w:tcPr>
            <w:tcW w:w="34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20" w:type="dxa"/>
            <w:vAlign w:val="bottom"/>
            <w:vMerge w:val="continue"/>
            <w:shd w:val="clear" w:color="auto" w:fill="CFF0FC"/>
          </w:tcPr>
          <w:p>
            <w:pPr>
              <w:spacing w:after="0"/>
              <w:rPr>
                <w:sz w:val="16"/>
                <w:szCs w:val="16"/>
                <w:color w:val="auto"/>
              </w:rPr>
            </w:pPr>
          </w:p>
        </w:tc>
        <w:tc>
          <w:tcPr>
            <w:tcW w:w="220" w:type="dxa"/>
            <w:vAlign w:val="bottom"/>
            <w:vMerge w:val="continue"/>
            <w:shd w:val="clear" w:color="auto" w:fill="CFF0FC"/>
          </w:tcPr>
          <w:p>
            <w:pPr>
              <w:spacing w:after="0"/>
              <w:rPr>
                <w:sz w:val="16"/>
                <w:szCs w:val="16"/>
                <w:color w:val="auto"/>
              </w:rPr>
            </w:pPr>
          </w:p>
        </w:tc>
        <w:tc>
          <w:tcPr>
            <w:tcW w:w="260" w:type="dxa"/>
            <w:vAlign w:val="bottom"/>
            <w:vMerge w:val="continue"/>
            <w:shd w:val="clear" w:color="auto" w:fill="CFF0FC"/>
          </w:tcPr>
          <w:p>
            <w:pPr>
              <w:spacing w:after="0"/>
              <w:rPr>
                <w:sz w:val="16"/>
                <w:szCs w:val="16"/>
                <w:color w:val="auto"/>
              </w:rPr>
            </w:pPr>
          </w:p>
        </w:tc>
        <w:tc>
          <w:tcPr>
            <w:tcW w:w="300" w:type="dxa"/>
            <w:vAlign w:val="bottom"/>
            <w:vMerge w:val="continue"/>
            <w:shd w:val="clear" w:color="auto" w:fill="CFF0FC"/>
          </w:tcPr>
          <w:p>
            <w:pPr>
              <w:spacing w:after="0"/>
              <w:rPr>
                <w:sz w:val="16"/>
                <w:szCs w:val="16"/>
                <w:color w:val="auto"/>
              </w:rPr>
            </w:pPr>
          </w:p>
        </w:tc>
        <w:tc>
          <w:tcPr>
            <w:tcW w:w="220" w:type="dxa"/>
            <w:vAlign w:val="bottom"/>
            <w:vMerge w:val="continue"/>
            <w:shd w:val="clear" w:color="auto" w:fill="CFF0FC"/>
          </w:tcPr>
          <w:p>
            <w:pPr>
              <w:spacing w:after="0"/>
              <w:rPr>
                <w:sz w:val="16"/>
                <w:szCs w:val="16"/>
                <w:color w:val="auto"/>
              </w:rPr>
            </w:pPr>
          </w:p>
        </w:tc>
        <w:tc>
          <w:tcPr>
            <w:tcW w:w="160" w:type="dxa"/>
            <w:vAlign w:val="bottom"/>
            <w:vMerge w:val="continue"/>
            <w:shd w:val="clear" w:color="auto" w:fill="CFF0FC"/>
          </w:tcPr>
          <w:p>
            <w:pPr>
              <w:spacing w:after="0"/>
              <w:rPr>
                <w:sz w:val="16"/>
                <w:szCs w:val="16"/>
                <w:color w:val="auto"/>
              </w:rPr>
            </w:pPr>
          </w:p>
        </w:tc>
        <w:tc>
          <w:tcPr>
            <w:tcW w:w="540" w:type="dxa"/>
            <w:vAlign w:val="bottom"/>
            <w:vMerge w:val="continue"/>
            <w:shd w:val="clear" w:color="auto" w:fill="CFF0FC"/>
          </w:tcPr>
          <w:p>
            <w:pPr>
              <w:spacing w:after="0"/>
              <w:rPr>
                <w:sz w:val="16"/>
                <w:szCs w:val="16"/>
                <w:color w:val="auto"/>
              </w:rPr>
            </w:pPr>
          </w:p>
        </w:tc>
        <w:tc>
          <w:tcPr>
            <w:tcW w:w="200" w:type="dxa"/>
            <w:vAlign w:val="bottom"/>
            <w:vMerge w:val="continue"/>
            <w:shd w:val="clear" w:color="auto" w:fill="CFF0FC"/>
          </w:tcPr>
          <w:p>
            <w:pPr>
              <w:spacing w:after="0"/>
              <w:rPr>
                <w:sz w:val="16"/>
                <w:szCs w:val="16"/>
                <w:color w:val="auto"/>
              </w:rPr>
            </w:pPr>
          </w:p>
        </w:tc>
        <w:tc>
          <w:tcPr>
            <w:tcW w:w="420" w:type="dxa"/>
            <w:vAlign w:val="bottom"/>
            <w:vMerge w:val="continue"/>
            <w:shd w:val="clear" w:color="auto" w:fill="CFF0FC"/>
          </w:tcPr>
          <w:p>
            <w:pPr>
              <w:spacing w:after="0"/>
              <w:rPr>
                <w:sz w:val="16"/>
                <w:szCs w:val="16"/>
                <w:color w:val="auto"/>
              </w:rPr>
            </w:pPr>
          </w:p>
        </w:tc>
        <w:tc>
          <w:tcPr>
            <w:tcW w:w="500" w:type="dxa"/>
            <w:vAlign w:val="bottom"/>
            <w:vMerge w:val="continue"/>
            <w:shd w:val="clear" w:color="auto" w:fill="CFF0FC"/>
          </w:tcPr>
          <w:p>
            <w:pPr>
              <w:spacing w:after="0"/>
              <w:rPr>
                <w:sz w:val="16"/>
                <w:szCs w:val="16"/>
                <w:color w:val="auto"/>
              </w:rPr>
            </w:pPr>
          </w:p>
        </w:tc>
        <w:tc>
          <w:tcPr>
            <w:tcW w:w="220" w:type="dxa"/>
            <w:vAlign w:val="bottom"/>
            <w:vMerge w:val="continue"/>
            <w:shd w:val="clear" w:color="auto" w:fill="CFF0FC"/>
          </w:tcPr>
          <w:p>
            <w:pPr>
              <w:spacing w:after="0"/>
              <w:rPr>
                <w:sz w:val="16"/>
                <w:szCs w:val="16"/>
                <w:color w:val="auto"/>
              </w:rPr>
            </w:pPr>
          </w:p>
        </w:tc>
        <w:tc>
          <w:tcPr>
            <w:tcW w:w="140" w:type="dxa"/>
            <w:vAlign w:val="bottom"/>
            <w:vMerge w:val="continue"/>
            <w:shd w:val="clear" w:color="auto" w:fill="CFF0FC"/>
          </w:tcPr>
          <w:p>
            <w:pPr>
              <w:spacing w:after="0"/>
              <w:rPr>
                <w:sz w:val="16"/>
                <w:szCs w:val="16"/>
                <w:color w:val="auto"/>
              </w:rPr>
            </w:pPr>
          </w:p>
        </w:tc>
        <w:tc>
          <w:tcPr>
            <w:tcW w:w="760" w:type="dxa"/>
            <w:vAlign w:val="bottom"/>
            <w:gridSpan w:val="2"/>
            <w:vMerge w:val="continue"/>
            <w:shd w:val="clear" w:color="auto" w:fill="CFF0FC"/>
          </w:tcPr>
          <w:p>
            <w:pPr>
              <w:spacing w:after="0"/>
              <w:rPr>
                <w:sz w:val="16"/>
                <w:szCs w:val="16"/>
                <w:color w:val="auto"/>
              </w:rPr>
            </w:pPr>
          </w:p>
        </w:tc>
        <w:tc>
          <w:tcPr>
            <w:tcW w:w="200" w:type="dxa"/>
            <w:vAlign w:val="bottom"/>
            <w:vMerge w:val="continue"/>
            <w:shd w:val="clear" w:color="auto" w:fill="CFF0FC"/>
          </w:tcPr>
          <w:p>
            <w:pPr>
              <w:spacing w:after="0"/>
              <w:rPr>
                <w:sz w:val="16"/>
                <w:szCs w:val="16"/>
                <w:color w:val="auto"/>
              </w:rPr>
            </w:pPr>
          </w:p>
        </w:tc>
        <w:tc>
          <w:tcPr>
            <w:tcW w:w="60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38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2111375</wp:posOffset>
            </wp:positionH>
            <wp:positionV relativeFrom="page">
              <wp:posOffset>217170</wp:posOffset>
            </wp:positionV>
            <wp:extent cx="768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page">
              <wp:posOffset>2565400</wp:posOffset>
            </wp:positionH>
            <wp:positionV relativeFrom="page">
              <wp:posOffset>217170</wp:posOffset>
            </wp:positionV>
            <wp:extent cx="768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page">
              <wp:posOffset>3182620</wp:posOffset>
            </wp:positionH>
            <wp:positionV relativeFrom="page">
              <wp:posOffset>217170</wp:posOffset>
            </wp:positionV>
            <wp:extent cx="774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page">
              <wp:posOffset>3723005</wp:posOffset>
            </wp:positionH>
            <wp:positionV relativeFrom="page">
              <wp:posOffset>217170</wp:posOffset>
            </wp:positionV>
            <wp:extent cx="774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page">
              <wp:posOffset>4262755</wp:posOffset>
            </wp:positionH>
            <wp:positionV relativeFrom="page">
              <wp:posOffset>217170</wp:posOffset>
            </wp:positionV>
            <wp:extent cx="774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page">
              <wp:posOffset>4768850</wp:posOffset>
            </wp:positionH>
            <wp:positionV relativeFrom="page">
              <wp:posOffset>217170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page">
              <wp:posOffset>5342890</wp:posOffset>
            </wp:positionH>
            <wp:positionV relativeFrom="page">
              <wp:posOffset>217170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page">
              <wp:posOffset>6062980</wp:posOffset>
            </wp:positionH>
            <wp:positionV relativeFrom="page">
              <wp:posOffset>217170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page">
              <wp:posOffset>6637655</wp:posOffset>
            </wp:positionH>
            <wp:positionV relativeFrom="page">
              <wp:posOffset>217170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page">
              <wp:posOffset>7272020</wp:posOffset>
            </wp:positionH>
            <wp:positionV relativeFrom="page">
              <wp:posOffset>217170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-1945005</wp:posOffset>
            </wp:positionV>
            <wp:extent cx="5229225"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229225" cy="137160"/>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-1388110</wp:posOffset>
            </wp:positionV>
            <wp:extent cx="76835" cy="2317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231775"/>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-1388110</wp:posOffset>
            </wp:positionV>
            <wp:extent cx="76835" cy="2317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231775"/>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-1388110</wp:posOffset>
            </wp:positionV>
            <wp:extent cx="77470" cy="2317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23177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-1388110</wp:posOffset>
            </wp:positionV>
            <wp:extent cx="77470" cy="2317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23177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-1388110</wp:posOffset>
            </wp:positionV>
            <wp:extent cx="77470" cy="2317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23177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-1388110</wp:posOffset>
            </wp:positionV>
            <wp:extent cx="68580" cy="2317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23177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-1388110</wp:posOffset>
            </wp:positionV>
            <wp:extent cx="68580" cy="2317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23177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-1388110</wp:posOffset>
            </wp:positionV>
            <wp:extent cx="68580" cy="2317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23177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-1388110</wp:posOffset>
            </wp:positionV>
            <wp:extent cx="68580" cy="2317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23177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-1388110</wp:posOffset>
            </wp:positionV>
            <wp:extent cx="68580" cy="2317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23177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-24765</wp:posOffset>
            </wp:positionV>
            <wp:extent cx="768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-7620</wp:posOffset>
            </wp:positionV>
            <wp:extent cx="768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-24765</wp:posOffset>
            </wp:positionV>
            <wp:extent cx="768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-7620</wp:posOffset>
            </wp:positionV>
            <wp:extent cx="768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-24765</wp:posOffset>
            </wp:positionV>
            <wp:extent cx="774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-7620</wp:posOffset>
            </wp:positionV>
            <wp:extent cx="774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-24765</wp:posOffset>
            </wp:positionV>
            <wp:extent cx="774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-7620</wp:posOffset>
            </wp:positionV>
            <wp:extent cx="774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-24765</wp:posOffset>
            </wp:positionV>
            <wp:extent cx="774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-7620</wp:posOffset>
            </wp:positionV>
            <wp:extent cx="774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-24765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-7620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-24765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-7620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-24765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-7620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-24765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-7620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10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Nine Months</w:t>
            </w:r>
          </w:p>
        </w:tc>
      </w:tr>
      <w:tr>
        <w:trPr>
          <w:trHeight w:val="160"/>
        </w:trPr>
        <w:tc>
          <w:tcPr>
            <w:tcW w:w="8360" w:type="dxa"/>
            <w:vAlign w:val="bottom"/>
          </w:tcPr>
          <w:p>
            <w:pPr>
              <w:spacing w:after="0"/>
              <w:rPr>
                <w:sz w:val="13"/>
                <w:szCs w:val="13"/>
                <w:color w:val="auto"/>
              </w:rPr>
            </w:pPr>
          </w:p>
        </w:tc>
        <w:tc>
          <w:tcPr>
            <w:tcW w:w="140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3"/>
                <w:szCs w:val="13"/>
                <w:color w:val="auto"/>
              </w:rPr>
            </w:pPr>
          </w:p>
        </w:tc>
        <w:tc>
          <w:tcPr>
            <w:tcW w:w="1360" w:type="dxa"/>
            <w:vAlign w:val="bottom"/>
            <w:gridSpan w:val="3"/>
          </w:tcPr>
          <w:p>
            <w:pPr>
              <w:jc w:val="right"/>
              <w:ind w:right="121"/>
              <w:spacing w:after="0" w:line="160" w:lineRule="exact"/>
              <w:rPr>
                <w:sz w:val="20"/>
                <w:szCs w:val="20"/>
                <w:color w:val="auto"/>
              </w:rPr>
            </w:pPr>
            <w:r>
              <w:rPr>
                <w:rFonts w:ascii="Times New Roman" w:cs="Times New Roman" w:eastAsia="Times New Roman" w:hAnsi="Times New Roman"/>
                <w:sz w:val="14"/>
                <w:szCs w:val="14"/>
                <w:b w:val="1"/>
                <w:bCs w:val="1"/>
                <w:color w:val="auto"/>
              </w:rPr>
              <w:t>Ended September</w:t>
            </w:r>
          </w:p>
        </w:tc>
      </w:tr>
      <w:tr>
        <w:trPr>
          <w:trHeight w:val="178"/>
        </w:trPr>
        <w:tc>
          <w:tcPr>
            <w:tcW w:w="8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30,</w:t>
            </w:r>
          </w:p>
        </w:tc>
        <w:tc>
          <w:tcPr>
            <w:tcW w:w="100" w:type="dxa"/>
            <w:vAlign w:val="bottom"/>
          </w:tcPr>
          <w:p>
            <w:pPr>
              <w:spacing w:after="0"/>
              <w:rPr>
                <w:sz w:val="15"/>
                <w:szCs w:val="15"/>
                <w:color w:val="auto"/>
              </w:rPr>
            </w:pPr>
          </w:p>
        </w:tc>
      </w:tr>
      <w:tr>
        <w:trPr>
          <w:trHeight w:val="187"/>
        </w:trPr>
        <w:tc>
          <w:tcPr>
            <w:tcW w:w="8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10"/>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(196,743 )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(143,748 )</w:t>
            </w:r>
          </w:p>
        </w:tc>
      </w:tr>
      <w:tr>
        <w:trPr>
          <w:trHeight w:val="216"/>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9,908</w:t>
            </w:r>
          </w:p>
        </w:tc>
        <w:tc>
          <w:tcPr>
            <w:tcW w:w="100" w:type="dxa"/>
            <w:vAlign w:val="bottom"/>
          </w:tcPr>
          <w:p>
            <w:pPr>
              <w:spacing w:after="0"/>
              <w:rPr>
                <w:sz w:val="18"/>
                <w:szCs w:val="18"/>
                <w:color w:val="auto"/>
              </w:rPr>
            </w:pPr>
          </w:p>
        </w:tc>
      </w:tr>
      <w:tr>
        <w:trPr>
          <w:trHeight w:val="216"/>
        </w:trPr>
        <w:tc>
          <w:tcPr>
            <w:tcW w:w="8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payments</w:t>
            </w:r>
          </w:p>
        </w:tc>
        <w:tc>
          <w:tcPr>
            <w:tcW w:w="1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FF0FC"/>
          </w:tcPr>
          <w:p>
            <w:pPr>
              <w:spacing w:after="0"/>
              <w:rPr>
                <w:sz w:val="18"/>
                <w:szCs w:val="18"/>
                <w:color w:val="auto"/>
              </w:rPr>
            </w:pPr>
          </w:p>
        </w:tc>
      </w:tr>
      <w:tr>
        <w:trPr>
          <w:trHeight w:val="216"/>
        </w:trPr>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amortization of premiums and accretion of discounts on marketable securities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tcPr>
          <w:p>
            <w:pPr>
              <w:spacing w:after="0"/>
              <w:rPr>
                <w:sz w:val="18"/>
                <w:szCs w:val="18"/>
                <w:color w:val="auto"/>
              </w:rPr>
            </w:pPr>
          </w:p>
        </w:tc>
      </w:tr>
      <w:tr>
        <w:trPr>
          <w:trHeight w:val="216"/>
        </w:trPr>
        <w:tc>
          <w:tcPr>
            <w:tcW w:w="8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expense</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(11,342 )</w:t>
            </w:r>
          </w:p>
        </w:tc>
      </w:tr>
      <w:tr>
        <w:trPr>
          <w:trHeight w:val="216"/>
        </w:trPr>
        <w:tc>
          <w:tcPr>
            <w:tcW w:w="83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(6,016 )</w:t>
            </w:r>
          </w:p>
        </w:tc>
      </w:tr>
      <w:tr>
        <w:trPr>
          <w:trHeight w:val="216"/>
        </w:trPr>
        <w:tc>
          <w:tcPr>
            <w:tcW w:w="8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8,909</w:t>
            </w:r>
          </w:p>
        </w:tc>
        <w:tc>
          <w:tcPr>
            <w:tcW w:w="100" w:type="dxa"/>
            <w:vAlign w:val="bottom"/>
          </w:tcPr>
          <w:p>
            <w:pPr>
              <w:spacing w:after="0"/>
              <w:rPr>
                <w:sz w:val="18"/>
                <w:szCs w:val="18"/>
                <w:color w:val="auto"/>
              </w:rPr>
            </w:pPr>
          </w:p>
        </w:tc>
      </w:tr>
      <w:tr>
        <w:trPr>
          <w:trHeight w:val="216"/>
        </w:trPr>
        <w:tc>
          <w:tcPr>
            <w:tcW w:w="83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(27,554 )</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30,122</w:t>
            </w:r>
          </w:p>
        </w:tc>
        <w:tc>
          <w:tcPr>
            <w:tcW w:w="100" w:type="dxa"/>
            <w:vAlign w:val="bottom"/>
            <w:shd w:val="clear" w:color="auto" w:fill="CFF0FC"/>
          </w:tcPr>
          <w:p>
            <w:pPr>
              <w:spacing w:after="0"/>
              <w:rPr>
                <w:sz w:val="18"/>
                <w:szCs w:val="18"/>
                <w:color w:val="auto"/>
              </w:rPr>
            </w:pPr>
          </w:p>
        </w:tc>
      </w:tr>
      <w:tr>
        <w:trPr>
          <w:trHeight w:val="216"/>
        </w:trPr>
        <w:tc>
          <w:tcPr>
            <w:tcW w:w="8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(222 )</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36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(172,583</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(111,524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1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(140,360 )</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(188,627 )</w:t>
            </w:r>
          </w:p>
        </w:tc>
      </w:tr>
      <w:tr>
        <w:trPr>
          <w:trHeight w:val="216"/>
        </w:trPr>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(494 )</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3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83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(91,854 )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(188,627 )</w:t>
            </w:r>
          </w:p>
        </w:tc>
      </w:tr>
      <w:tr>
        <w:trPr>
          <w:trHeight w:val="210"/>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6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convertible preferred stock, net of issuance costs paid</w:t>
            </w:r>
          </w:p>
        </w:tc>
        <w:tc>
          <w:tcPr>
            <w:tcW w:w="16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335,163</w:t>
            </w:r>
          </w:p>
        </w:tc>
        <w:tc>
          <w:tcPr>
            <w:tcW w:w="100" w:type="dxa"/>
            <w:vAlign w:val="bottom"/>
          </w:tcPr>
          <w:p>
            <w:pPr>
              <w:spacing w:after="0"/>
              <w:rPr>
                <w:sz w:val="18"/>
                <w:szCs w:val="18"/>
                <w:color w:val="auto"/>
              </w:rPr>
            </w:pPr>
          </w:p>
        </w:tc>
      </w:tr>
      <w:tr>
        <w:trPr>
          <w:trHeight w:val="216"/>
        </w:trPr>
        <w:tc>
          <w:tcPr>
            <w:tcW w:w="8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stock, net of commissions and underwriting discounts</w:t>
            </w:r>
          </w:p>
        </w:tc>
        <w:tc>
          <w:tcPr>
            <w:tcW w:w="1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330,905</w:t>
            </w:r>
          </w:p>
        </w:tc>
        <w:tc>
          <w:tcPr>
            <w:tcW w:w="100" w:type="dxa"/>
            <w:vAlign w:val="bottom"/>
            <w:shd w:val="clear" w:color="auto" w:fill="CFF0FC"/>
          </w:tcPr>
          <w:p>
            <w:pPr>
              <w:spacing w:after="0"/>
              <w:rPr>
                <w:sz w:val="18"/>
                <w:szCs w:val="18"/>
                <w:color w:val="auto"/>
              </w:rPr>
            </w:pPr>
          </w:p>
        </w:tc>
      </w:tr>
      <w:tr>
        <w:trPr>
          <w:trHeight w:val="216"/>
        </w:trPr>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Payments of initial public offering costs</w:t>
            </w:r>
          </w:p>
        </w:tc>
        <w:tc>
          <w:tcPr>
            <w:tcW w:w="16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(2,636 )</w:t>
            </w:r>
          </w:p>
        </w:tc>
      </w:tr>
      <w:tr>
        <w:trPr>
          <w:trHeight w:val="216"/>
        </w:trPr>
        <w:tc>
          <w:tcPr>
            <w:tcW w:w="8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exercises of stock options</w:t>
            </w: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stock under the employee stock purchase plan</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Payments of repurchases of unvested restricted common stock</w:t>
            </w:r>
          </w:p>
        </w:tc>
        <w:tc>
          <w:tcPr>
            <w:tcW w:w="1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360" w:type="dxa"/>
            <w:vAlign w:val="bottom"/>
            <w:tcBorders>
              <w:top w:val="single" w:sz="8" w:color="CFF0FC"/>
            </w:tcBorders>
          </w:tcPr>
          <w:p>
            <w:pPr>
              <w:ind w:left="5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663,432</w:t>
            </w:r>
          </w:p>
        </w:tc>
        <w:tc>
          <w:tcPr>
            <w:tcW w:w="100" w:type="dxa"/>
            <w:vAlign w:val="bottom"/>
            <w:tcBorders>
              <w:top w:val="single" w:sz="8" w:color="CFF0FC"/>
            </w:tcBorders>
          </w:tcPr>
          <w:p>
            <w:pPr>
              <w:spacing w:after="0"/>
              <w:rPr>
                <w:sz w:val="18"/>
                <w:szCs w:val="18"/>
                <w:color w:val="auto"/>
              </w:rPr>
            </w:pPr>
          </w:p>
        </w:tc>
      </w:tr>
      <w:tr>
        <w:trPr>
          <w:trHeight w:val="210"/>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(decrease) increase in cash and cash equivalents</w:t>
            </w: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(264,072</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363,281</w:t>
            </w:r>
          </w:p>
        </w:tc>
        <w:tc>
          <w:tcPr>
            <w:tcW w:w="100" w:type="dxa"/>
            <w:vAlign w:val="bottom"/>
            <w:shd w:val="clear" w:color="auto" w:fill="CFF0FC"/>
          </w:tcPr>
          <w:p>
            <w:pPr>
              <w:spacing w:after="0"/>
              <w:rPr>
                <w:sz w:val="18"/>
                <w:szCs w:val="18"/>
                <w:color w:val="auto"/>
              </w:rPr>
            </w:pPr>
          </w:p>
        </w:tc>
      </w:tr>
      <w:tr>
        <w:trPr>
          <w:trHeight w:val="216"/>
        </w:trPr>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542,224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114,988</w:t>
            </w:r>
          </w:p>
        </w:tc>
        <w:tc>
          <w:tcPr>
            <w:tcW w:w="100" w:type="dxa"/>
            <w:vAlign w:val="bottom"/>
          </w:tcPr>
          <w:p>
            <w:pPr>
              <w:spacing w:after="0"/>
              <w:rPr>
                <w:sz w:val="18"/>
                <w:szCs w:val="18"/>
                <w:color w:val="auto"/>
              </w:rPr>
            </w:pPr>
          </w:p>
        </w:tc>
      </w:tr>
      <w:tr>
        <w:trPr>
          <w:trHeight w:val="250"/>
        </w:trPr>
        <w:tc>
          <w:tcPr>
            <w:tcW w:w="83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278,152</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478,269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83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 recognized upon adoption of ASC 842</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12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offering and issuance costs included in accrued expenses</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tcPr>
          <w:p>
            <w:pPr>
              <w:spacing w:after="0"/>
              <w:rPr>
                <w:sz w:val="18"/>
                <w:szCs w:val="18"/>
                <w:color w:val="auto"/>
              </w:rPr>
            </w:pPr>
          </w:p>
        </w:tc>
      </w:tr>
      <w:tr>
        <w:trPr>
          <w:trHeight w:val="216"/>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 in accounts payable and accrued expenses</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2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6116955</wp:posOffset>
            </wp:positionH>
            <wp:positionV relativeFrom="paragraph">
              <wp:posOffset>-2819400</wp:posOffset>
            </wp:positionV>
            <wp:extent cx="76835" cy="1454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-2819400</wp:posOffset>
            </wp:positionV>
            <wp:extent cx="68580" cy="1454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-2262505</wp:posOffset>
            </wp:positionV>
            <wp:extent cx="76835" cy="1543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-2262505</wp:posOffset>
            </wp:positionV>
            <wp:extent cx="68580" cy="1543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-1148080</wp:posOffset>
            </wp:positionV>
            <wp:extent cx="76835" cy="1543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1543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-573405</wp:posOffset>
            </wp:positionV>
            <wp:extent cx="1019810" cy="1625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019810" cy="162560"/>
                    </a:xfrm>
                    <a:prstGeom prst="rect">
                      <a:avLst/>
                    </a:prstGeom>
                    <a:noFill/>
                  </pic:spPr>
                </pic:pic>
              </a:graphicData>
            </a:graphic>
          </wp:anchor>
        </w:drawing>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9" w:name="page10"/>
    <w:bookmarkEnd w:id="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 and Basis of Presentation</w:t>
      </w:r>
    </w:p>
    <w:p>
      <w:pPr>
        <w:spacing w:after="0" w:line="121"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Invivyd, Inc., (formerly Adagio Therapeutics, Inc.) together with its consolidated subsidiaries (the “Company”), is a biopharmaceutical company on a mission to protect humanity from serious viral respiratory diseases.​The Company is developing antibodies to transcend the limits of naturally occurring immunity and provide superior protection from viral diseases, beginning with coronavirus disease 2019 ("COVID-19"). ​The Company's technology works at the intersection of evolutionary virology, predictive modeling, and antibody engineering, and is designed to identify high-quality, long-lasting antibodies with a high barrier to viral escape.​With its integrated discovery platform approach, the Company is generating a robust pipeline of product candidates for use in both prevention and treatment of disease.</w:t>
      </w:r>
    </w:p>
    <w:p>
      <w:pPr>
        <w:spacing w:after="0" w:line="72"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 xml:space="preserve">NVD200 is a combination product of two monoclonal antibodies which demonstrated potent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neutralizing activity against prior and current SARS-CoV-2 variants of concern, including Omicron sublineages, as well as the more antigenically divergent SARS-CoV-1. This antibody combination has been selected for neutralization potency, breadth of coverage, and non-dominant epitope recognition. The antibodies in the combination target non-overlapping epitopes that are rarely targeted by endogenous neutralizing antibodies, which limits immune pressure on these sites and increases the probability of sustained utility in an evolving viral landscape. The Company intends to initiate clinical trials of NVD200 in the first quarter of 2023.</w:t>
      </w:r>
    </w:p>
    <w:p>
      <w:pPr>
        <w:spacing w:after="0" w:line="67"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 xml:space="preserve">One of the antibodies in NVD200 is a re-engineered version of adintrevimab, the Company's investigational monoclonal antibody. Adintrevimab has demonstrated clinically meaningful results in global Phase 2/3 clinical trials against multiple variants of concern for the prevention and treatment of COVID-19. The Company initiated its first clinical trial for adintrevimab in February 2021; however, due to the emergence and global spread of the Omicron variant, against which adintrevimab has reduced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neutralization potency compared to prior variants, enrollment was paused in adintrevimab's Phase 2/3 trials in January 2022. The Company reported preliminary safety and efficacy data (pre-Omicron) from both its EVADE (evaluating adintrevimab for the prevention of COVID-19) and STAMP (evaluating adintrevimab for the treatment of COVID-19) trials in March 2022 and is in the process of closing both trials.</w:t>
      </w:r>
    </w:p>
    <w:p>
      <w:pPr>
        <w:spacing w:after="0" w:line="71"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 xml:space="preserve">Adintrevimab, which has demonstrated broadly neutralizing activity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against SARS-CoV-2 variants of concern (“VOCs”) including Alpha, Beta, Delta, Gamma and Omicron BA.1, has markedly reduced neutralization activity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against the currently circulating Omicron sublineages. Based on feedback from the FDA regarding adintrevimab’s lack of neutralizing activity against the BA.2 variant, the Company paused the submission of an Emergency Use Authorization (“EUA”) request.</w:t>
      </w:r>
    </w:p>
    <w:p>
      <w:pPr>
        <w:spacing w:after="0" w:line="6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Beyond COVID-19, the Company is leveraging its integrated discovery platform that has enabled expedited advancement of adintrevimab into clinical trials to develop therapeutic or preventative options for other infectious diseases, such as additional coronaviruses and influenza.</w:t>
      </w:r>
    </w:p>
    <w:p>
      <w:pPr>
        <w:spacing w:after="0" w:line="40"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The Company was incorporated in the State of Delaware in June 2020. The Company operates as a virtual company and maintains a corporate headquarters for general and administrative purposes only. In June 2022, and subsequently amended in September 2022, the Company entered into a noncancelable agreement for dedicated laboratory and office space in Newton, MA for research and development purposes. The Company performs research and development activities internally and engages third parties, including Adimab, LLC (“Adimab”), to perform ongoing research and development and other services on its behalf.</w:t>
      </w:r>
    </w:p>
    <w:p>
      <w:pPr>
        <w:spacing w:after="0" w:line="87"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The Company is subject to a number of risks and uncertainties common to early-stage companies in the biopharmaceutical industry, including, but not limited to, completing clinical trials, the ability to raise additional capital to fund operations, obtaining regulatory approval for product candidates, market acceptance of products, competition from substitute products, protection of proprietary intellectual property, compliance with government regulations, the impact of COVID-19, dependence on key personnel, the ability to attract and retain qualified employees, and reliance on third-party organizations for the discovery, manufacturing, clinical and commercial success of its product candidates.</w:t>
      </w:r>
    </w:p>
    <w:p>
      <w:pPr>
        <w:spacing w:after="0" w:line="73"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In July 2021, the Company effected a five-for-one stock split of its issued and outstanding shares of common stock and a proportional adjustment to the existing conversion ratios of each series of the Company’s preferred stock (see Note 9). Accordingly, all share and per share amounts for all periods presented in the accompanying condensed consolidated financial statements and notes thereto have been adjusted retroactively, where applicable, to reflect this stock split and adjustment of the preferred stock conversion ratios.</w:t>
      </w:r>
    </w:p>
    <w:p>
      <w:pPr>
        <w:spacing w:after="0" w:line="69"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In August 2021, the Company completed its initial public offering (“IPO”) pursuant to which it issued and sold 20,930,000 shares of its common stock, including 2,730,000 shares pursuant to the full exercise of the underwriters’ option to purchase additional shares. The aggregate net proceeds received by the Company from the IPO were approximately $327.5 million, after deducting underwriting discounts and commissions and offering expenses payable by the Company. Upon the closing of the IPO, all shares of the Company’s convertible preferred stock then outstanding converted into 84,722,420 shares of common stock (see Note 10).</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0" w:name="page11"/>
    <w:bookmarkEnd w:id="10"/>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The Company has not generated any revenue since inception. The Company’s product candidates could require significant additional research and development efforts, including extensive clinical testing and regulatory approval prior to commercialization. These efforts require significant amounts of additional capital, adequate personnel and infrastructure and compliance-reporting capabilities. Even if the Company’s development efforts are successful, it is uncertain when, if ever, the Company will generate revenue from product sales, including government supply contracts.</w:t>
      </w:r>
    </w:p>
    <w:p>
      <w:pPr>
        <w:spacing w:after="0" w:line="83"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on the basis of continuity of operations, realization of assets, and the satisfaction of liabilities and commitments in the ordinary course of business. The Company has primarily funded its operations with proceeds from sales of convertible preferred stock and proceeds from the Company’s IPO. The Company has incurred losses and negative cash flows from operations since its inception, including a net loss of $196.7 million for the nine months ended September 30, 2022. As of September 30, 2022, the Company had an accumulated deficit of $488.9 million. The Company expects to continue to generate operating losses for the foreseeable future. The Company expects that its existing cash, cash equivalents and marketable securities will be sufficient to fund its operating expenses and capital expenditure requirements for at least 12 months from the issuance date of the interim condensed consolidated financial statements.</w:t>
      </w:r>
    </w:p>
    <w:p>
      <w:pPr>
        <w:spacing w:after="0" w:line="92"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The Company expects to seek additional funding through equity offerings, government or private-party grants, debt financings or other capital sources, including collaborations with other companies or other strategic transactions. The Company may not be able to obtain financing on acceptable terms, or at all, and the Company may not be able to enter into collaborations or other arrangements. The terms of any financing may adversely affect the holdings or rights of the Company’s stockholders.</w:t>
      </w:r>
    </w:p>
    <w:p>
      <w:pPr>
        <w:spacing w:after="0" w:line="69"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If the Company is unable to obtain sufficient capital, the Company could be forced to delay, reduce or eliminate some or all of its research and development programs, product portfolio expansion, or future commercialization efforts, which could adversely affect its business prospects, or the Company may be unable to continue operations. Although management continues to pursue these plans, there is no assurance that the Company will be successful in obtaining sufficient funding on terms acceptable to the Company to fund continuing operations, if at all.</w:t>
      </w:r>
    </w:p>
    <w:p>
      <w:pPr>
        <w:spacing w:after="0" w:line="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Impact of the COVID-19 Coronavirus</w:t>
      </w:r>
    </w:p>
    <w:p>
      <w:pPr>
        <w:spacing w:after="0" w:line="121"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In March 2020, the World Health Organization declared the outbreak of COVID-19 a global pandemic. The evolving and constantly changing impact of the pandemic and the disease will directly affect the potential commercial prospects of NVD200, adintrevimab, and other product candidates for the prevention and treatment of COVID-19. The severity of the COVID-19 pandemic, the evolution of the disease and the continued emergence of variants of concern (such as the widespread Omicron variant and its sublineages), the availability, administration and acceptance of vaccines, monoclonal antibodies, antiviral agents and other therapeutic modalities, vaccine mandates by employers and/or local or national governments, and the potential development of “herd immunity” by the global population will affect the design and enrollment of the Company's clinical trials, the potential regulatory authorization or approval of the Company's product candidates and the commercialization of the Company's product candidates, if approved.</w:t>
      </w:r>
    </w:p>
    <w:p>
      <w:pPr>
        <w:spacing w:after="0" w:line="92"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In addition, the Company's business and operations may be more broadly adversely affected by the COVID-19 pandemic. The COVID-19 outbreak and government measures taken in response have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has fallen. The global COVID-19 pandemic continues to evolve rapidly, and the Company will continue to monitor it closely. The ultimate extent of the impact of the COVID-19 pandemic on the Company's business, financial condition, operations and product development timelines and plans remains highly uncertain and will depend on future developments, including the duration and spread of outbreaks and the continued emergence of variants, its impact on the Company's clinical trial design and enrollment, trial sites, contract research organizations (“CROs”), contract development and manufacturing organizations (“CDMOs”), and other third parties with which the Company does business, as well as its impact on regulatory authorities and the Company's key scientific and management personnel. To date, the Company has experienced some delays and disruptions in its development activities as a result of the COVID-19 pandemic. Some of the Company's CROs, CDMOs and other service providers also continue to be impacted. The Company will continue to monitor developments as it addresses the disruptions, delays and uncertainties relating to the COVID-19 pandemic. These developments and the impact of the COVID-19 pandemic on the financial markets and the overall economy are highly uncertain and cannot be predicted. If the financial markets and/or the overall economy are impacted for an extended period, the Company's results and operations may be materially adversely affected and may affect the Company's ability to raise capital.</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0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Company’s condensed consolidated financial statements have been prepared in conformity with accounting principles generally accepted in the United States of America (“GAAP”). Any reference in these notes to applicable guidance is meant to refer to the authoritative GAAP as found in the Accounting Standards Codification (“ASC”) and Accounting Standards Update (“ASU”) of the Financial Accounting Standards Board (“FASB”).</w:t>
      </w:r>
    </w:p>
    <w:p>
      <w:pPr>
        <w:spacing w:after="0" w:line="6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Invivyd, Inc. and its wholly owned subsidiaries, Invivyd Security Corporation, Invivyd Switzerland GmbH, and Invivyd Netherlands B.V. All intercompany accounts and</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1" w:name="page12"/>
    <w:bookmarkEnd w:id="11"/>
    <w:p>
      <w:pPr>
        <w:jc w:val="both"/>
        <w:spacing w:after="0" w:line="282" w:lineRule="auto"/>
        <w:rPr>
          <w:sz w:val="20"/>
          <w:szCs w:val="20"/>
          <w:color w:val="auto"/>
        </w:rPr>
      </w:pPr>
      <w:r>
        <w:rPr>
          <w:rFonts w:ascii="Times New Roman" w:cs="Times New Roman" w:eastAsia="Times New Roman" w:hAnsi="Times New Roman"/>
          <w:sz w:val="18"/>
          <w:szCs w:val="18"/>
          <w:color w:val="auto"/>
        </w:rPr>
        <w:t>transactions have been eliminated in consolidation. The Company views its operations and manages its business in one operating segment, which is the business of discovering, developing and commercializing differentiated products for the prevention and treatment of infectious diseases.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08"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As of September 30, 2022, the Company’s significant accounting policies and estimates, which are detailed in the Company’s Annual Report on Form 10-K for the year ended December 31, 2021, as filed with the U.S. Securities and Exchange Commission (“SEC”) on March 31, 2022 (as subsequently amended by Amendment No. 1 to the Company’s Annual Report on Form 10-K, filed with the SEC on April 29, 2022, the “2021 Form 10-K”) have not changed except as discussed below.</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06"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 xml:space="preserve">Effective January 1, 2022, the Company adopted ASU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(“ASC 842”) using the required modified retrospective approach and utilizing the effective date as its date of initial application. As a result, prior periods are presented in accordance with the previous guidance in ASC 840,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840”).</w:t>
      </w:r>
    </w:p>
    <w:p>
      <w:pPr>
        <w:spacing w:after="0" w:line="82"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The Company evaluates whether an arrangement is or contains a lease at the inception date. If determined to be or contain a lease, the Company determines the classification of the lease at the commencement date, which represents the date at which the lessor makes the underlying asset available for use by the Company. When determining the expected accounting lease term, the Company includes the noncancellable lease term, together with periods covered by (i) an option to extend the lease if the Company is reasonably certain to exercise such option, (ii) an option to terminate the lease if the Company is reasonably certain not to exercise such option and (iii) an option to extend or not terminate the lease where the exercise of such option is controlled by the lessor. The Company has elected the short-term lease exemption, which allows the Company to not recognize lease liabilities and right-of-use assets arising from lease arrangements with original lease terms of twelve months or less. The Company elected the practical expedient to not separate lease and non-lease components for its leases</w:t>
      </w:r>
      <w:r>
        <w:rPr>
          <w:rFonts w:ascii="Times New Roman" w:cs="Times New Roman" w:eastAsia="Times New Roman" w:hAnsi="Times New Roman"/>
          <w:sz w:val="18"/>
          <w:szCs w:val="18"/>
          <w:color w:val="323E4F"/>
        </w:rPr>
        <w:t>.</w:t>
      </w:r>
    </w:p>
    <w:p>
      <w:pPr>
        <w:spacing w:after="0" w:line="78"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Right-of-use assets represent the Company’s right to use an underlying asset over the lease term and lease liabilities represent the Company’s obligation to make lease payments under the arrangement. The Company measures its lease liabilities as the present value of the lease payments, discounted using an incremental borrowing rate, as interest rates implicit in lease arrangements are generally not readily determinable. The Company measures its right-of-use assets as the present value of its lease payments at the commencement date. The incremental borrowing rate represents the interest rate at which the Company could borrow an amount equal to the lease payments on a fully collateralized basis, over a similar term, in a similar economic environment. The Company recognizes rent expense for operating leases on a straight-line basis. The Company recognizes variable lease expenses as incurred.</w:t>
      </w:r>
    </w:p>
    <w:p>
      <w:pPr>
        <w:spacing w:after="0" w:line="73"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The Company remeasures right-of-use assets and lease liabilities when a lease is modified, and the modification is not accounted for as a separate contract. A modification is accounted for as a separate contract if the modification grants the Company an additional right of use not included in the original lease arrangement and the increase in lease payments is commensurate with the additional right of use. The Company assesses its right-of-use assets for impairment in a manner consistent with its assessment for long-lived assets held and used in operations.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108"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The accompanying condensed consolidated balance sheet as of September 30, 2022, the condensed consolidated statements of operations and comprehensive loss for the three and nine months ended September 30, 2022 and 2021, the condensed consolidated statements of cash flows for the nine months ended September 30, 2022 and 2021 and the condensed consolidated statements of convertible preferred stock and stockholders’ equity (deficit) for the three and nine months ended September 30, 2022 and 2021 are unaudited.</w:t>
      </w:r>
    </w:p>
    <w:p>
      <w:pPr>
        <w:spacing w:after="0" w:line="69"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as of September 30, 2022 and for the three and nine months ended September 30, 2022 and 2021 have been prepared by the Company pursuant to the rules and regulations of the SEC for interim financial statements. The accompanying consolidated balance sheet as of December 31, 2021 was derived from audited financial statements, but does not include all disclosures required by GAAP. Certain information and footnote disclosures normally included in the financial statements prepared in accordance with GAAP have been condensed or omitted pursuant to such rules and regulations. These interim condensed consolidated financial statements should be read in conjunction with the Company’s audited annual consolidated financial statements, and the notes thereto, as of and for the year ended December 31, 2021, which are included in the Company’s 2021 Form 10-K.</w:t>
      </w:r>
    </w:p>
    <w:p>
      <w:pPr>
        <w:spacing w:after="0" w:line="73"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In the opinion of management, all adjustments, consisting only of normal recurring adjustments necessary for a fair statement of the Company’s condensed consolidated financial position as of September 30, 2022 and December 31, 2021, the condensed consolidated results of operations for the three and nine months ended September 30, 2022 and September 30, 2021, the condensed consolidated cash flows for the nine months ended September 30, 2022 and September 30, 2021 and changes in stockholders’ equity (deficit) for the three and nine months ended September 30, 2022 and September 30, 2021 have been made. The Company’s condensed consolidated results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2" w:name="page13"/>
    <w:bookmarkEnd w:id="12"/>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of operations for the three and nine months ended September 30, 2022 are not necessarily indicative of the results of operations that may be expected for the year ending December 31, 2022.</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94" w:lineRule="exact"/>
        <w:rPr>
          <w:sz w:val="20"/>
          <w:szCs w:val="20"/>
          <w:color w:val="auto"/>
        </w:rPr>
      </w:pPr>
    </w:p>
    <w:p>
      <w:pPr>
        <w:jc w:val="both"/>
        <w:ind w:firstLine="509"/>
        <w:spacing w:after="0" w:line="227" w:lineRule="auto"/>
        <w:rPr>
          <w:sz w:val="20"/>
          <w:szCs w:val="20"/>
          <w:color w:val="auto"/>
        </w:rPr>
      </w:pPr>
      <w:r>
        <w:rPr>
          <w:rFonts w:ascii="Times New Roman" w:cs="Times New Roman" w:eastAsia="Times New Roman" w:hAnsi="Times New Roman"/>
          <w:sz w:val="18"/>
          <w:szCs w:val="18"/>
          <w:color w:val="auto"/>
        </w:rPr>
        <w:t>The preparation of the Company’s condensed consolidated financial statements in conformity with U.S. GAAP requires management to make estimates and assumptions that affect the reported amounts of assets and liabilities, the disclosure of contingent assets and liabilities at the date of the condensed consolidated financial statements, and the reported amounts of expenses during the reporting periods. Significant estimates and assumptions reflected in these condensed consolidated financial statements include, but are not limited to, research and development expenses and related prepaid or accrued costs. Prior to the IPO, significant estimates and assumptions also included the valuation of common stock and resulting stock-based compensation expense. The Company bases its estimates on historical experience, known trends and other market-specific or relevant factors it believes to be reasonable under the circumstances. On an ongoing basis, management evaluates its estimates as there are changes in circumstances, facts and experience. Changes in estimates are recorded in the period in which they become known. Actual results may differ materially from those estimates or assumptions.</w:t>
      </w:r>
    </w:p>
    <w:p>
      <w:pPr>
        <w:spacing w:after="0" w:line="67" w:lineRule="exact"/>
        <w:rPr>
          <w:sz w:val="20"/>
          <w:szCs w:val="20"/>
          <w:color w:val="auto"/>
        </w:rPr>
      </w:pPr>
    </w:p>
    <w:p>
      <w:pPr>
        <w:jc w:val="both"/>
        <w:ind w:firstLine="509"/>
        <w:spacing w:after="0" w:line="232" w:lineRule="auto"/>
        <w:rPr>
          <w:sz w:val="20"/>
          <w:szCs w:val="20"/>
          <w:color w:val="auto"/>
        </w:rPr>
      </w:pPr>
      <w:r>
        <w:rPr>
          <w:rFonts w:ascii="Times New Roman" w:cs="Times New Roman" w:eastAsia="Times New Roman" w:hAnsi="Times New Roman"/>
          <w:sz w:val="18"/>
          <w:szCs w:val="18"/>
          <w:color w:val="auto"/>
        </w:rPr>
        <w:t>The Company is monitoring the potential impact of the COVID-19 pandemic on its business and condensed consolidated financial statements. The Company is not aware of any specific event or circumstance that would require any update to its estimates or judgments reflected in these condensed consolidated financial statements or a revision of the carrying value of its assets or liabilities as of the issuance date of these condensed consolidated financial statements. These estimates may change as new events occur and additional information is obtained.</w:t>
      </w:r>
    </w:p>
    <w:p>
      <w:pPr>
        <w:spacing w:after="0" w:line="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and Adopted Accounting Pronouncements</w:t>
      </w:r>
    </w:p>
    <w:p>
      <w:pPr>
        <w:spacing w:after="0" w:line="94" w:lineRule="exact"/>
        <w:rPr>
          <w:sz w:val="20"/>
          <w:szCs w:val="20"/>
          <w:color w:val="auto"/>
        </w:rPr>
      </w:pPr>
    </w:p>
    <w:p>
      <w:pPr>
        <w:jc w:val="both"/>
        <w:ind w:firstLine="509"/>
        <w:spacing w:after="0" w:line="230" w:lineRule="auto"/>
        <w:rPr>
          <w:sz w:val="20"/>
          <w:szCs w:val="20"/>
          <w:color w:val="auto"/>
        </w:rPr>
      </w:pPr>
      <w:r>
        <w:rPr>
          <w:rFonts w:ascii="Times New Roman" w:cs="Times New Roman" w:eastAsia="Times New Roman" w:hAnsi="Times New Roman"/>
          <w:sz w:val="18"/>
          <w:szCs w:val="18"/>
          <w:color w:val="auto"/>
        </w:rPr>
        <w:t>The Company qualifies as an “emerging growth company” as defined in the Jumpstart Our Business Startups Act of 2012 and has elected not to “opt out” of the extended transition related to complying with new or revised accounting standards, which means that when a standard is issued or revised and it has different application dates for public and nonpublic companies, the Company will adopt the new or revised standard at the time nonpublic companies adopt the new or revised standard and will do so until such time that the Company either (i) irrevocably elects to “opt out” of such extended transition period or (ii) no longer qualifies as an emerging growth company. The Company may choose to early adopt any new or revised accounting standards whenever such early adoption is permitted for nonpublic companies.</w:t>
      </w:r>
    </w:p>
    <w:p>
      <w:pPr>
        <w:spacing w:after="0" w:line="79"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In February 2016, the FASB issued ASC 842, as subsequently amended. ASC 842 sets forth the principles for the recognition, measurement, presentation and disclosure of leases for both parties to a contract (i.e., lessees and lessors). ASC 842 replaces the existing guidance in ASC 840. ASC 842 requires lessees to apply a dual approach, classifying leases as either finance or operating leases based on the principle of whether or not the lease is effectively a financed purchase by the lessee. A lessee is also required to record (i) a right-of-use asset and a lease liability on its balance sheets for all leases with a term of greater than 12 months regardless of their classification and (ii) lease expense on its statement of operations for operating leases and amortization and interest expense on its statement of operations for financing leases. Leases with a term of 12 months or less may be accounted for similar to existing guidance for operating leases under ASC 840. The Company adopted the new standard and used the modified retrospective approach with January 1, 2022 as the initial date of application. The Company elected the available package of practical expedients which allowed the Company to not reassess previous accounting conclusions around whether arrangements are or contain leases, the classification of leases, and the treatment of initial direct costs. As a result of the adoption of ASC 842, the Company recorded (i) an operating lease liability, current of $0.3 million, (ii) an operating lease liability, non-current of $1.4 million and (iii) an operating lease right-of-use asset of $1.7 million, net of the unamortized balance of deferred rent liability as of the transition date. There was no impact from the adoption of ASC 842 to the Company’s results of operations and cash flows from operations. A summary of the impact of the adoption is as follows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Impact of Adoption</w:t>
            </w:r>
          </w:p>
        </w:tc>
        <w:tc>
          <w:tcPr>
            <w:tcW w:w="120" w:type="dxa"/>
            <w:vAlign w:val="bottom"/>
          </w:tcPr>
          <w:p>
            <w:pPr>
              <w:spacing w:after="0"/>
              <w:rPr>
                <w:sz w:val="16"/>
                <w:szCs w:val="16"/>
                <w:color w:val="auto"/>
              </w:rPr>
            </w:pPr>
          </w:p>
        </w:tc>
        <w:tc>
          <w:tcPr>
            <w:tcW w:w="114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January 1, 2022</w:t>
            </w:r>
          </w:p>
        </w:tc>
        <w:tc>
          <w:tcPr>
            <w:tcW w:w="100" w:type="dxa"/>
            <w:vAlign w:val="bottom"/>
          </w:tcPr>
          <w:p>
            <w:pPr>
              <w:spacing w:after="0"/>
              <w:rPr>
                <w:sz w:val="16"/>
                <w:szCs w:val="16"/>
                <w:color w:val="auto"/>
              </w:rPr>
            </w:pPr>
          </w:p>
        </w:tc>
      </w:tr>
      <w:tr>
        <w:trPr>
          <w:trHeight w:val="210"/>
        </w:trPr>
        <w:tc>
          <w:tcPr>
            <w:tcW w:w="4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2540" w:type="dxa"/>
            <w:vAlign w:val="bottom"/>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jc w:val="right"/>
              <w:ind w:right="1279"/>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jc w:val="right"/>
              <w:ind w:right="31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100" w:type="dxa"/>
            <w:vAlign w:val="bottom"/>
            <w:shd w:val="clear" w:color="auto" w:fill="CFF0FC"/>
          </w:tcPr>
          <w:p>
            <w:pPr>
              <w:spacing w:after="0"/>
              <w:rPr>
                <w:sz w:val="18"/>
                <w:szCs w:val="18"/>
                <w:color w:val="auto"/>
              </w:rPr>
            </w:pPr>
          </w:p>
        </w:tc>
      </w:tr>
      <w:tr>
        <w:trPr>
          <w:trHeight w:val="216"/>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2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18"/>
                <w:szCs w:val="18"/>
                <w:color w:val="auto"/>
              </w:rPr>
            </w:pPr>
          </w:p>
        </w:tc>
      </w:tr>
      <w:tr>
        <w:trPr>
          <w:trHeight w:val="216"/>
        </w:trPr>
        <w:tc>
          <w:tcPr>
            <w:tcW w:w="4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liability</w:t>
            </w:r>
          </w:p>
        </w:tc>
        <w:tc>
          <w:tcPr>
            <w:tcW w:w="25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34"/>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25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00" w:type="dxa"/>
            <w:vAlign w:val="bottom"/>
          </w:tcPr>
          <w:p>
            <w:pPr>
              <w:spacing w:after="0"/>
              <w:rPr>
                <w:sz w:val="20"/>
                <w:szCs w:val="20"/>
                <w:color w:val="auto"/>
              </w:rPr>
            </w:pPr>
          </w:p>
        </w:tc>
      </w:tr>
      <w:tr>
        <w:trPr>
          <w:trHeight w:val="616"/>
        </w:trPr>
        <w:tc>
          <w:tcPr>
            <w:tcW w:w="4120" w:type="dxa"/>
            <w:vAlign w:val="bottom"/>
          </w:tcPr>
          <w:p>
            <w:pPr>
              <w:spacing w:after="0"/>
              <w:rPr>
                <w:sz w:val="24"/>
                <w:szCs w:val="24"/>
                <w:color w:val="auto"/>
              </w:rPr>
            </w:pPr>
          </w:p>
        </w:tc>
        <w:tc>
          <w:tcPr>
            <w:tcW w:w="254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9</w:t>
            </w: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4120" w:type="dxa"/>
            <w:vAlign w:val="bottom"/>
            <w:tcBorders>
              <w:bottom w:val="single" w:sz="8" w:color="9A9A9A"/>
            </w:tcBorders>
          </w:tcPr>
          <w:p>
            <w:pPr>
              <w:spacing w:after="0"/>
              <w:rPr>
                <w:sz w:val="7"/>
                <w:szCs w:val="7"/>
                <w:color w:val="auto"/>
              </w:rPr>
            </w:pPr>
          </w:p>
        </w:tc>
        <w:tc>
          <w:tcPr>
            <w:tcW w:w="254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3" w:name="page14"/>
    <w:bookmarkEnd w:id="13"/>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(“ASU 2016-13”), and also issued subsequent amendments to the initial guidance: ASU 2018-19, ASU 2019-04 and ASU 2019-05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(collectively, “Topic 326”). The main objective of this update and amendments is to provide information about the expected credit losses on financial instruments and other commitments to extend credit held by a reporting entity at each reporting date and utilize a methodology that requires consideration of a broader range of reasonable and supportable information to inform credit loss estimates. Expected credit losses relating to financial assets measured on an amortized cost basis and available-for-sale debt securities are required to be recorded through an allowance for credit losses. The update limits the recognition of the amount of credit losses for available-for-sale debt securities to the amount by which the carrying value exceeds fair value. The measurement will be based on relevant information, including historical experience, current conditions and reasonable and supportable forecasts that affect the collectability of the reported amount and requires disclosure requirements related to credit risks. For public entities that qualify as a filer with the Securities and Exchange Commission, excluding entities eligible to be smaller reporting companies, ASU 2016-13 is effective for annual periods beginning after December 15, 2019, including interim periods within those fiscal years and early adoption is permitted. In November 2019, the FASB deferred the effective date for nonpublic entities to annual reporting periods beginning after December 15, 2022, including interim periods within those fiscal years. ASU 2016-13 is applied by means of a cumulative-effect adjustment to the opening retained earnings as of the beginning of the first reporting period in which the guidance is effective. The Company is currently evaluating the potential impact that the adoption of this standard may have on its consolidated financial statements and related disclosures.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Marketable Securities</w:t>
      </w:r>
    </w:p>
    <w:p>
      <w:pPr>
        <w:spacing w:after="0" w:line="119"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color w:val="auto"/>
        </w:rPr>
        <w:t xml:space="preserve">Marketable securities held by the Company are classified as available-for-sale debt securities pursuant to ASC 320, </w:t>
      </w:r>
      <w:r>
        <w:rPr>
          <w:rFonts w:ascii="Times New Roman" w:cs="Times New Roman" w:eastAsia="Times New Roman" w:hAnsi="Times New Roman"/>
          <w:sz w:val="18"/>
          <w:szCs w:val="18"/>
          <w:i w:val="1"/>
          <w:iCs w:val="1"/>
          <w:color w:val="auto"/>
        </w:rPr>
        <w:t>Investments – Debt and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color w:val="auto"/>
        </w:rPr>
        <w:t>, and carried at fair value in the accompanying condensed consolidated balance sheet on a settlement date basis.</w:t>
      </w:r>
    </w:p>
    <w:p>
      <w:pPr>
        <w:spacing w:after="0" w:line="5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summarize the gross unrealized gains and losses of the Company’s marketable securities as of September 30, 2022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60" w:type="dxa"/>
            <w:vAlign w:val="bottom"/>
          </w:tcPr>
          <w:p>
            <w:pPr>
              <w:spacing w:after="0"/>
              <w:rPr>
                <w:sz w:val="16"/>
                <w:szCs w:val="16"/>
                <w:color w:val="auto"/>
              </w:rPr>
            </w:pPr>
          </w:p>
        </w:tc>
        <w:tc>
          <w:tcPr>
            <w:tcW w:w="94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r>
      <w:tr>
        <w:trPr>
          <w:trHeight w:val="209"/>
        </w:trPr>
        <w:tc>
          <w:tcPr>
            <w:tcW w:w="5480" w:type="dxa"/>
            <w:vAlign w:val="bottom"/>
            <w:tcBorders>
              <w:top w:val="single" w:sz="8" w:color="auto"/>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Treasury securities</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6,844</w:t>
            </w: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gridSpan w:val="2"/>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6,844</w:t>
            </w:r>
          </w:p>
        </w:tc>
        <w:tc>
          <w:tcPr>
            <w:tcW w:w="100" w:type="dxa"/>
            <w:vAlign w:val="bottom"/>
            <w:shd w:val="clear" w:color="auto" w:fill="CFF0FC"/>
          </w:tcPr>
          <w:p>
            <w:pPr>
              <w:spacing w:after="0"/>
              <w:rPr>
                <w:sz w:val="18"/>
                <w:szCs w:val="18"/>
                <w:color w:val="auto"/>
              </w:rPr>
            </w:pPr>
          </w:p>
        </w:tc>
      </w:tr>
      <w:tr>
        <w:trPr>
          <w:trHeight w:val="216"/>
        </w:trPr>
        <w:tc>
          <w:tcPr>
            <w:tcW w:w="54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Federal agency securities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133,627</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w w:val="88"/>
              </w:rPr>
              <w:t>56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(10 )</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133,673</w:t>
            </w:r>
          </w:p>
        </w:tc>
        <w:tc>
          <w:tcPr>
            <w:tcW w:w="100" w:type="dxa"/>
            <w:vAlign w:val="bottom"/>
          </w:tcPr>
          <w:p>
            <w:pPr>
              <w:spacing w:after="0"/>
              <w:rPr>
                <w:sz w:val="18"/>
                <w:szCs w:val="18"/>
                <w:color w:val="auto"/>
              </w:rPr>
            </w:pPr>
          </w:p>
        </w:tc>
      </w:tr>
      <w:tr>
        <w:trPr>
          <w:trHeight w:val="250"/>
        </w:trPr>
        <w:tc>
          <w:tcPr>
            <w:tcW w:w="548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financial assets</w:t>
            </w:r>
          </w:p>
        </w:tc>
        <w:tc>
          <w:tcPr>
            <w:tcW w:w="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140,471</w:t>
            </w:r>
          </w:p>
        </w:tc>
        <w:tc>
          <w:tcPr>
            <w:tcW w:w="22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gridSpan w:val="2"/>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w w:val="88"/>
              </w:rPr>
              <w:t>56</w:t>
            </w:r>
          </w:p>
        </w:tc>
        <w:tc>
          <w:tcPr>
            <w:tcW w:w="1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140,517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548"/>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60" w:type="dxa"/>
            <w:vAlign w:val="bottom"/>
          </w:tcPr>
          <w:p>
            <w:pPr>
              <w:spacing w:after="0"/>
              <w:rPr>
                <w:sz w:val="24"/>
                <w:szCs w:val="24"/>
                <w:color w:val="auto"/>
              </w:rPr>
            </w:pPr>
          </w:p>
        </w:tc>
        <w:tc>
          <w:tcPr>
            <w:tcW w:w="94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24"/>
                <w:szCs w:val="24"/>
                <w:color w:val="auto"/>
              </w:rPr>
            </w:pPr>
          </w:p>
        </w:tc>
      </w:tr>
      <w:tr>
        <w:trPr>
          <w:trHeight w:val="249"/>
        </w:trPr>
        <w:tc>
          <w:tcPr>
            <w:tcW w:w="5400" w:type="dxa"/>
            <w:vAlign w:val="bottom"/>
            <w:tcBorders>
              <w:top w:val="single" w:sz="8" w:color="auto"/>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Treasury securities</w:t>
            </w:r>
          </w:p>
        </w:tc>
        <w:tc>
          <w:tcPr>
            <w:tcW w:w="8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top w:val="single" w:sz="8" w:color="auto"/>
              <w:bottom w:val="single" w:sz="8" w:color="auto"/>
            </w:tcBorders>
            <w:gridSpan w:val="2"/>
            <w:shd w:val="clear" w:color="auto" w:fill="CFF0FC"/>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49,202</w:t>
            </w:r>
          </w:p>
        </w:tc>
        <w:tc>
          <w:tcPr>
            <w:tcW w:w="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top w:val="single" w:sz="8" w:color="auto"/>
              <w:bottom w:val="single" w:sz="8" w:color="auto"/>
            </w:tcBorders>
            <w:gridSpan w:val="2"/>
            <w:shd w:val="clear" w:color="auto" w:fill="CFF0FC"/>
          </w:tcPr>
          <w:p>
            <w:pPr>
              <w:jc w:val="right"/>
              <w:ind w:right="45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49,194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-556260</wp:posOffset>
            </wp:positionV>
            <wp:extent cx="768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-539115</wp:posOffset>
            </wp:positionV>
            <wp:extent cx="768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-556260</wp:posOffset>
            </wp:positionV>
            <wp:extent cx="774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-539115</wp:posOffset>
            </wp:positionV>
            <wp:extent cx="774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-556260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-539115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-556260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-539115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-24765</wp:posOffset>
            </wp:positionV>
            <wp:extent cx="7747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-7620</wp:posOffset>
            </wp:positionV>
            <wp:extent cx="7747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-24765</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-7620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-24765</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-7620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No available-for-sale marketable securities held as of September 30, 2022 or December 31, 2021 had remaining maturities greater than twelve months.</w:t>
      </w:r>
    </w:p>
    <w:p>
      <w:pPr>
        <w:spacing w:after="0" w:line="36" w:lineRule="exact"/>
        <w:rPr>
          <w:sz w:val="20"/>
          <w:szCs w:val="20"/>
          <w:color w:val="auto"/>
        </w:rPr>
      </w:pPr>
    </w:p>
    <w:p>
      <w:pPr>
        <w:ind w:left="520" w:right="8800" w:hanging="512"/>
        <w:spacing w:after="0" w:line="383" w:lineRule="auto"/>
        <w:tabs>
          <w:tab w:leader="none" w:pos="191"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Fair Value Measurements </w:t>
      </w:r>
      <w:r>
        <w:rPr>
          <w:rFonts w:ascii="Times New Roman" w:cs="Times New Roman" w:eastAsia="Times New Roman" w:hAnsi="Times New Roman"/>
          <w:sz w:val="17"/>
          <w:szCs w:val="17"/>
          <w:b w:val="1"/>
          <w:bCs w:val="1"/>
          <w:i w:val="1"/>
          <w:iCs w:val="1"/>
          <w:color w:val="auto"/>
        </w:rPr>
        <w:t>Fair Value Measurements</w:t>
      </w:r>
    </w:p>
    <w:p>
      <w:pPr>
        <w:spacing w:after="0" w:line="1"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Certain assets of the Company are carried at fair value under U.S. GAAP.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56" w:lineRule="exact"/>
        <w:rPr>
          <w:sz w:val="20"/>
          <w:szCs w:val="20"/>
          <w:color w:val="auto"/>
        </w:rPr>
      </w:pPr>
    </w:p>
    <w:p>
      <w:pPr>
        <w:ind w:left="1040" w:hanging="560"/>
        <w:spacing w:after="0"/>
        <w:tabs>
          <w:tab w:leader="none" w:pos="10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98" w:lineRule="exact"/>
        <w:rPr>
          <w:rFonts w:ascii="Times New Roman" w:cs="Times New Roman" w:eastAsia="Times New Roman" w:hAnsi="Times New Roman"/>
          <w:sz w:val="18"/>
          <w:szCs w:val="18"/>
          <w:color w:val="auto"/>
        </w:rPr>
      </w:pPr>
    </w:p>
    <w:p>
      <w:pPr>
        <w:jc w:val="both"/>
        <w:ind w:left="1040" w:right="20" w:hanging="560"/>
        <w:spacing w:after="0" w:line="236" w:lineRule="auto"/>
        <w:tabs>
          <w:tab w:leader="none" w:pos="10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85" w:lineRule="exact"/>
        <w:rPr>
          <w:rFonts w:ascii="Times New Roman" w:cs="Times New Roman" w:eastAsia="Times New Roman" w:hAnsi="Times New Roman"/>
          <w:sz w:val="18"/>
          <w:szCs w:val="18"/>
          <w:color w:val="auto"/>
        </w:rPr>
      </w:pPr>
    </w:p>
    <w:p>
      <w:pPr>
        <w:ind w:left="1040" w:right="20" w:hanging="573"/>
        <w:spacing w:after="0" w:line="250"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determining the fair value of the assets or liabilities, including pricing models, discounted cash flow methodologies and similar techniques.</w:t>
      </w:r>
    </w:p>
    <w:p>
      <w:pPr>
        <w:spacing w:after="0" w:line="10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Company’s cash equivalents are carried at fair value, determined according to the fair value hierarchy described above. The carrying values of the Company’s accounts payable and accrued expenses approximate their fair values due to the short-term nature of these liabilities.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3" w:right="339" w:bottom="1440" w:gutter="0" w:footer="0" w:header="0"/>
        </w:sectPr>
      </w:pPr>
    </w:p>
    <w:bookmarkStart w:id="14" w:name="page15"/>
    <w:bookmarkEnd w:id="14"/>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Company’s fair value hierarchy for its assets and liabilities that are measured at fair value on a recurring basis (in thousands):</w:t>
      </w:r>
    </w:p>
    <w:tbl>
      <w:tblPr>
        <w:tblLayout w:type="fixed"/>
        <w:tblInd w:w="0" w:type="dxa"/>
        <w:tblCellMar>
          <w:top w:w="0" w:type="dxa"/>
          <w:left w:w="0" w:type="dxa"/>
          <w:bottom w:w="0" w:type="dxa"/>
          <w:right w:w="0" w:type="dxa"/>
        </w:tblCellMar>
      </w:tblPr>
      <w:tr>
        <w:trPr>
          <w:trHeight w:val="155"/>
        </w:trPr>
        <w:tc>
          <w:tcPr>
            <w:tcW w:w="4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60" w:type="dxa"/>
            <w:vAlign w:val="bottom"/>
            <w:gridSpan w:val="3"/>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4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3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4"/>
                <w:szCs w:val="14"/>
                <w:color w:val="auto"/>
              </w:rPr>
            </w:pPr>
          </w:p>
        </w:tc>
        <w:tc>
          <w:tcPr>
            <w:tcW w:w="120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209"/>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4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equivalents:</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Money market funds</w:t>
            </w:r>
          </w:p>
        </w:tc>
        <w:tc>
          <w:tcPr>
            <w:tcW w:w="38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242,354</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102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242,354</w:t>
            </w:r>
          </w:p>
        </w:tc>
        <w:tc>
          <w:tcPr>
            <w:tcW w:w="100" w:type="dxa"/>
            <w:vAlign w:val="bottom"/>
            <w:shd w:val="clear" w:color="auto" w:fill="CFF0FC"/>
          </w:tcPr>
          <w:p>
            <w:pPr>
              <w:spacing w:after="0"/>
              <w:rPr>
                <w:sz w:val="18"/>
                <w:szCs w:val="18"/>
                <w:color w:val="auto"/>
              </w:rPr>
            </w:pPr>
          </w:p>
        </w:tc>
      </w:tr>
      <w:tr>
        <w:trPr>
          <w:trHeight w:val="216"/>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Federal agency securities</w:t>
            </w:r>
          </w:p>
        </w:tc>
        <w:tc>
          <w:tcPr>
            <w:tcW w:w="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34,786</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34,786</w:t>
            </w:r>
          </w:p>
        </w:tc>
        <w:tc>
          <w:tcPr>
            <w:tcW w:w="100" w:type="dxa"/>
            <w:vAlign w:val="bottom"/>
          </w:tcPr>
          <w:p>
            <w:pPr>
              <w:spacing w:after="0"/>
              <w:rPr>
                <w:sz w:val="18"/>
                <w:szCs w:val="18"/>
                <w:color w:val="auto"/>
              </w:rPr>
            </w:pPr>
          </w:p>
        </w:tc>
      </w:tr>
      <w:tr>
        <w:trPr>
          <w:trHeight w:val="216"/>
        </w:trPr>
        <w:tc>
          <w:tcPr>
            <w:tcW w:w="4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U.S. Treasury securities</w:t>
            </w:r>
          </w:p>
        </w:tc>
        <w:tc>
          <w:tcPr>
            <w:tcW w:w="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6,844</w:t>
            </w:r>
          </w:p>
        </w:tc>
        <w:tc>
          <w:tcPr>
            <w:tcW w:w="100" w:type="dxa"/>
            <w:vAlign w:val="bottom"/>
          </w:tcPr>
          <w:p>
            <w:pPr>
              <w:spacing w:after="0"/>
              <w:rPr>
                <w:sz w:val="18"/>
                <w:szCs w:val="18"/>
                <w:color w:val="auto"/>
              </w:rPr>
            </w:pPr>
          </w:p>
        </w:tc>
      </w:tr>
      <w:tr>
        <w:trPr>
          <w:trHeight w:val="216"/>
        </w:trPr>
        <w:tc>
          <w:tcPr>
            <w:tcW w:w="40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Federal agency securities</w:t>
            </w:r>
          </w:p>
        </w:tc>
        <w:tc>
          <w:tcPr>
            <w:tcW w:w="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gridSpan w:val="2"/>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133,673</w:t>
            </w:r>
          </w:p>
        </w:tc>
        <w:tc>
          <w:tcPr>
            <w:tcW w:w="22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133,673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249,198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168,459</w:t>
            </w:r>
          </w:p>
        </w:tc>
        <w:tc>
          <w:tcPr>
            <w:tcW w:w="220" w:type="dxa"/>
            <w:vAlign w:val="bottom"/>
          </w:tcPr>
          <w:p>
            <w:pPr>
              <w:spacing w:after="0"/>
              <w:rPr>
                <w:sz w:val="18"/>
                <w:szCs w:val="18"/>
                <w:color w:val="auto"/>
              </w:rPr>
            </w:pPr>
          </w:p>
        </w:tc>
        <w:tc>
          <w:tcPr>
            <w:tcW w:w="1200" w:type="dxa"/>
            <w:vAlign w:val="bottom"/>
            <w:tcBorders>
              <w:bottom w:val="single" w:sz="8" w:color="auto"/>
            </w:tcBorders>
          </w:tcPr>
          <w:p>
            <w:pPr>
              <w:jc w:val="right"/>
              <w:ind w:right="1022"/>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417,657</w:t>
            </w:r>
          </w:p>
        </w:tc>
        <w:tc>
          <w:tcPr>
            <w:tcW w:w="100" w:type="dxa"/>
            <w:vAlign w:val="bottom"/>
          </w:tcPr>
          <w:p>
            <w:pPr>
              <w:spacing w:after="0"/>
              <w:rPr>
                <w:sz w:val="18"/>
                <w:szCs w:val="18"/>
                <w:color w:val="auto"/>
              </w:rPr>
            </w:pPr>
          </w:p>
        </w:tc>
      </w:tr>
      <w:tr>
        <w:trPr>
          <w:trHeight w:val="20"/>
        </w:trPr>
        <w:tc>
          <w:tcPr>
            <w:tcW w:w="4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4"/>
        </w:trPr>
        <w:tc>
          <w:tcPr>
            <w:tcW w:w="4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60" w:type="dxa"/>
            <w:vAlign w:val="bottom"/>
            <w:gridSpan w:val="3"/>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40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3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4"/>
                <w:szCs w:val="14"/>
                <w:color w:val="auto"/>
              </w:rPr>
            </w:pPr>
          </w:p>
        </w:tc>
        <w:tc>
          <w:tcPr>
            <w:tcW w:w="120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209"/>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4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equivalents:</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Money market funds</w:t>
            </w:r>
          </w:p>
        </w:tc>
        <w:tc>
          <w:tcPr>
            <w:tcW w:w="38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541,220</w:t>
            </w:r>
          </w:p>
        </w:tc>
        <w:tc>
          <w:tcPr>
            <w:tcW w:w="22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102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541,220</w:t>
            </w:r>
          </w:p>
        </w:tc>
        <w:tc>
          <w:tcPr>
            <w:tcW w:w="100" w:type="dxa"/>
            <w:vAlign w:val="bottom"/>
            <w:shd w:val="clear" w:color="auto" w:fill="CFF0FC"/>
          </w:tcPr>
          <w:p>
            <w:pPr>
              <w:spacing w:after="0"/>
              <w:rPr>
                <w:sz w:val="18"/>
                <w:szCs w:val="18"/>
                <w:color w:val="auto"/>
              </w:rPr>
            </w:pPr>
          </w:p>
        </w:tc>
      </w:tr>
      <w:tr>
        <w:trPr>
          <w:trHeight w:val="216"/>
        </w:trPr>
        <w:tc>
          <w:tcPr>
            <w:tcW w:w="4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U.S. Treasury securities</w:t>
            </w:r>
          </w:p>
        </w:tc>
        <w:tc>
          <w:tcPr>
            <w:tcW w:w="380" w:type="dxa"/>
            <w:vAlign w:val="bottom"/>
            <w:tcBorders>
              <w:bottom w:val="single" w:sz="8" w:color="auto"/>
            </w:tcBorders>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49,194</w:t>
            </w:r>
          </w:p>
        </w:tc>
        <w:tc>
          <w:tcPr>
            <w:tcW w:w="2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49,194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000" w:type="dxa"/>
            <w:vAlign w:val="bottom"/>
          </w:tcPr>
          <w:p>
            <w:pPr>
              <w:spacing w:after="0"/>
              <w:rPr>
                <w:sz w:val="18"/>
                <w:szCs w:val="18"/>
                <w:color w:val="auto"/>
              </w:rPr>
            </w:pPr>
          </w:p>
        </w:tc>
        <w:tc>
          <w:tcPr>
            <w:tcW w:w="3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590,414</w:t>
            </w:r>
          </w:p>
        </w:tc>
        <w:tc>
          <w:tcPr>
            <w:tcW w:w="220" w:type="dxa"/>
            <w:vAlign w:val="bottom"/>
          </w:tcPr>
          <w:p>
            <w:pPr>
              <w:spacing w:after="0"/>
              <w:rPr>
                <w:sz w:val="18"/>
                <w:szCs w:val="18"/>
                <w:color w:val="auto"/>
              </w:rPr>
            </w:pP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2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590,414</w:t>
            </w:r>
          </w:p>
        </w:tc>
        <w:tc>
          <w:tcPr>
            <w:tcW w:w="100" w:type="dxa"/>
            <w:vAlign w:val="bottom"/>
          </w:tcPr>
          <w:p>
            <w:pPr>
              <w:spacing w:after="0"/>
              <w:rPr>
                <w:sz w:val="18"/>
                <w:szCs w:val="18"/>
                <w:color w:val="auto"/>
              </w:rPr>
            </w:pPr>
          </w:p>
        </w:tc>
      </w:tr>
      <w:tr>
        <w:trPr>
          <w:trHeight w:val="20"/>
        </w:trPr>
        <w:tc>
          <w:tcPr>
            <w:tcW w:w="40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-1499870</wp:posOffset>
            </wp:positionV>
            <wp:extent cx="76835" cy="1714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-1499870</wp:posOffset>
            </wp:positionV>
            <wp:extent cx="68580" cy="1714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-1499870</wp:posOffset>
            </wp:positionV>
            <wp:extent cx="68580" cy="1714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-1499870</wp:posOffset>
            </wp:positionV>
            <wp:extent cx="68580" cy="1714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-170815</wp:posOffset>
            </wp:positionV>
            <wp:extent cx="76835" cy="1714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-170815</wp:posOffset>
            </wp:positionV>
            <wp:extent cx="68580" cy="1714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-170815</wp:posOffset>
            </wp:positionV>
            <wp:extent cx="68580" cy="1714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9"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money market funds and U.S. Treasury securities were valued by the Company based on quoted market prices, which represent a Level 1 measurement within the fair value hierarchy.</w:t>
      </w:r>
    </w:p>
    <w:p>
      <w:pPr>
        <w:spacing w:after="0" w:line="68"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As of September 30, 2022, the Company’s marketable securities consisted of federal agency securities, which were valued based on Level 2 inputs. In determining the fair value of its federal agency securities, the Company relied on quoted prices for similar securities in active markets or other inputs that are observable or can be corroborated by observable market data.</w:t>
      </w:r>
    </w:p>
    <w:p>
      <w:pPr>
        <w:spacing w:after="0" w:line="6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Since Federal agency securities typically do not trade as U.S. government agency securities and no exchange exists to price such investments, they are recognized as Level 2 assets.</w:t>
      </w:r>
    </w:p>
    <w:p>
      <w:pPr>
        <w:spacing w:after="0" w:line="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changes to the valuation methods during the three and nine months ended September 30, 2022 or 2021.</w:t>
      </w:r>
    </w:p>
    <w:p>
      <w:pPr>
        <w:spacing w:after="0" w:line="10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evaluates transfers between levels at the end of each reporting period. There were no transfers into or out of Level 1, Level 2 or Level 3 fair value measurements during the three and nine months ended September 30, 2022 or 2021.</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Prepaid Expenses and Other Current Assets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r>
      <w:tr>
        <w:trPr>
          <w:trHeight w:val="187"/>
        </w:trPr>
        <w:tc>
          <w:tcPr>
            <w:tcW w:w="52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6"/>
                <w:szCs w:val="16"/>
                <w:color w:val="auto"/>
              </w:rPr>
            </w:pPr>
          </w:p>
        </w:tc>
      </w:tr>
      <w:tr>
        <w:trPr>
          <w:trHeight w:val="210"/>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external research, development and manufacturing costs</w:t>
            </w:r>
          </w:p>
        </w:tc>
        <w:tc>
          <w:tcPr>
            <w:tcW w:w="248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28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20,582</w:t>
            </w:r>
          </w:p>
        </w:tc>
        <w:tc>
          <w:tcPr>
            <w:tcW w:w="100" w:type="dxa"/>
            <w:vAlign w:val="bottom"/>
            <w:shd w:val="clear" w:color="auto" w:fill="CFF0FC"/>
          </w:tcPr>
          <w:p>
            <w:pPr>
              <w:spacing w:after="0"/>
              <w:rPr>
                <w:sz w:val="18"/>
                <w:szCs w:val="18"/>
                <w:color w:val="auto"/>
              </w:rPr>
            </w:pPr>
          </w:p>
        </w:tc>
      </w:tr>
      <w:tr>
        <w:trPr>
          <w:trHeight w:val="216"/>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2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3,190</w:t>
            </w:r>
          </w:p>
        </w:tc>
        <w:tc>
          <w:tcPr>
            <w:tcW w:w="100" w:type="dxa"/>
            <w:vAlign w:val="bottom"/>
          </w:tcPr>
          <w:p>
            <w:pPr>
              <w:spacing w:after="0"/>
              <w:rPr>
                <w:sz w:val="18"/>
                <w:szCs w:val="18"/>
                <w:color w:val="auto"/>
              </w:rPr>
            </w:pPr>
          </w:p>
        </w:tc>
      </w:tr>
      <w:tr>
        <w:trPr>
          <w:trHeight w:val="216"/>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compensation and other</w:t>
            </w:r>
          </w:p>
        </w:tc>
        <w:tc>
          <w:tcPr>
            <w:tcW w:w="24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00" w:type="dxa"/>
            <w:vAlign w:val="bottom"/>
            <w:shd w:val="clear" w:color="auto" w:fill="CFF0FC"/>
          </w:tcPr>
          <w:p>
            <w:pPr>
              <w:spacing w:after="0"/>
              <w:rPr>
                <w:sz w:val="18"/>
                <w:szCs w:val="18"/>
                <w:color w:val="auto"/>
              </w:rPr>
            </w:pPr>
          </w:p>
        </w:tc>
      </w:tr>
      <w:tr>
        <w:trPr>
          <w:trHeight w:val="216"/>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receivable</w:t>
            </w:r>
          </w:p>
        </w:tc>
        <w:tc>
          <w:tcPr>
            <w:tcW w:w="248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8"/>
                <w:szCs w:val="18"/>
                <w:color w:val="auto"/>
              </w:rPr>
            </w:pPr>
          </w:p>
        </w:tc>
      </w:tr>
      <w:tr>
        <w:trPr>
          <w:trHeight w:val="249"/>
        </w:trPr>
        <w:tc>
          <w:tcPr>
            <w:tcW w:w="5200" w:type="dxa"/>
            <w:vAlign w:val="bottom"/>
            <w:tcBorders>
              <w:bottom w:val="single" w:sz="8" w:color="CFF0FC"/>
            </w:tcBorders>
            <w:shd w:val="clear" w:color="auto" w:fill="CFF0FC"/>
          </w:tcPr>
          <w:p>
            <w:pPr>
              <w:spacing w:after="0"/>
              <w:rPr>
                <w:sz w:val="21"/>
                <w:szCs w:val="21"/>
                <w:color w:val="auto"/>
              </w:rPr>
            </w:pPr>
          </w:p>
        </w:tc>
        <w:tc>
          <w:tcPr>
            <w:tcW w:w="24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2,927</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25,293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399"/>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Accrued Expenses</w:t>
            </w:r>
          </w:p>
        </w:tc>
        <w:tc>
          <w:tcPr>
            <w:tcW w:w="2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52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Accrued expenses consisted of the following (in thousands):</w:t>
            </w:r>
          </w:p>
        </w:tc>
        <w:tc>
          <w:tcPr>
            <w:tcW w:w="2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52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6"/>
                <w:szCs w:val="16"/>
                <w:color w:val="auto"/>
              </w:rPr>
            </w:pPr>
          </w:p>
        </w:tc>
      </w:tr>
      <w:tr>
        <w:trPr>
          <w:trHeight w:val="187"/>
        </w:trPr>
        <w:tc>
          <w:tcPr>
            <w:tcW w:w="52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6"/>
                <w:szCs w:val="16"/>
                <w:color w:val="auto"/>
              </w:rPr>
            </w:pPr>
          </w:p>
        </w:tc>
      </w:tr>
      <w:tr>
        <w:trPr>
          <w:trHeight w:val="209"/>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external research, development and manufacturing costs</w:t>
            </w:r>
          </w:p>
        </w:tc>
        <w:tc>
          <w:tcPr>
            <w:tcW w:w="2540" w:type="dxa"/>
            <w:vAlign w:val="bottom"/>
            <w:gridSpan w:val="2"/>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20,517</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48,590</w:t>
            </w:r>
          </w:p>
        </w:tc>
        <w:tc>
          <w:tcPr>
            <w:tcW w:w="100" w:type="dxa"/>
            <w:vAlign w:val="bottom"/>
            <w:shd w:val="clear" w:color="auto" w:fill="CFF0FC"/>
          </w:tcPr>
          <w:p>
            <w:pPr>
              <w:spacing w:after="0"/>
              <w:rPr>
                <w:sz w:val="18"/>
                <w:szCs w:val="18"/>
                <w:color w:val="auto"/>
              </w:rPr>
            </w:pPr>
          </w:p>
        </w:tc>
      </w:tr>
      <w:tr>
        <w:trPr>
          <w:trHeight w:val="216"/>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employee compensation</w:t>
            </w:r>
          </w:p>
        </w:tc>
        <w:tc>
          <w:tcPr>
            <w:tcW w:w="2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4,945</w:t>
            </w:r>
          </w:p>
        </w:tc>
        <w:tc>
          <w:tcPr>
            <w:tcW w:w="100" w:type="dxa"/>
            <w:vAlign w:val="bottom"/>
          </w:tcPr>
          <w:p>
            <w:pPr>
              <w:spacing w:after="0"/>
              <w:rPr>
                <w:sz w:val="18"/>
                <w:szCs w:val="18"/>
                <w:color w:val="auto"/>
              </w:rPr>
            </w:pPr>
          </w:p>
        </w:tc>
      </w:tr>
      <w:tr>
        <w:trPr>
          <w:trHeight w:val="216"/>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professional and consultant fees</w:t>
            </w:r>
          </w:p>
        </w:tc>
        <w:tc>
          <w:tcPr>
            <w:tcW w:w="24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100" w:type="dxa"/>
            <w:vAlign w:val="bottom"/>
            <w:shd w:val="clear" w:color="auto" w:fill="CFF0FC"/>
          </w:tcPr>
          <w:p>
            <w:pPr>
              <w:spacing w:after="0"/>
              <w:rPr>
                <w:sz w:val="18"/>
                <w:szCs w:val="18"/>
                <w:color w:val="auto"/>
              </w:rPr>
            </w:pPr>
          </w:p>
        </w:tc>
      </w:tr>
      <w:tr>
        <w:trPr>
          <w:trHeight w:val="216"/>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tcPr>
          <w:p>
            <w:pPr>
              <w:spacing w:after="0"/>
              <w:rPr>
                <w:sz w:val="18"/>
                <w:szCs w:val="18"/>
                <w:color w:val="auto"/>
              </w:rPr>
            </w:pPr>
          </w:p>
        </w:tc>
      </w:tr>
      <w:tr>
        <w:trPr>
          <w:trHeight w:val="249"/>
        </w:trPr>
        <w:tc>
          <w:tcPr>
            <w:tcW w:w="5200" w:type="dxa"/>
            <w:vAlign w:val="bottom"/>
            <w:tcBorders>
              <w:bottom w:val="single" w:sz="8" w:color="CFF0FC"/>
            </w:tcBorders>
            <w:shd w:val="clear" w:color="auto" w:fill="CFF0FC"/>
          </w:tcPr>
          <w:p>
            <w:pPr>
              <w:spacing w:after="0"/>
              <w:rPr>
                <w:sz w:val="21"/>
                <w:szCs w:val="21"/>
                <w:color w:val="auto"/>
              </w:rPr>
            </w:pPr>
          </w:p>
        </w:tc>
        <w:tc>
          <w:tcPr>
            <w:tcW w:w="2540" w:type="dxa"/>
            <w:vAlign w:val="bottom"/>
            <w:tcBorders>
              <w:bottom w:val="single" w:sz="8" w:color="CFF0FC"/>
            </w:tcBorders>
            <w:gridSpan w:val="2"/>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28,974</w:t>
            </w:r>
          </w:p>
        </w:tc>
        <w:tc>
          <w:tcPr>
            <w:tcW w:w="2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56,277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629"/>
        </w:trPr>
        <w:tc>
          <w:tcPr>
            <w:tcW w:w="5200" w:type="dxa"/>
            <w:vAlign w:val="bottom"/>
          </w:tcPr>
          <w:p>
            <w:pPr>
              <w:spacing w:after="0"/>
              <w:rPr>
                <w:sz w:val="24"/>
                <w:szCs w:val="24"/>
                <w:color w:val="auto"/>
              </w:rPr>
            </w:pPr>
          </w:p>
        </w:tc>
        <w:tc>
          <w:tcPr>
            <w:tcW w:w="2480" w:type="dxa"/>
            <w:vAlign w:val="bottom"/>
          </w:tcPr>
          <w:p>
            <w:pPr>
              <w:jc w:val="right"/>
              <w:ind w:right="1870"/>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5200" w:type="dxa"/>
            <w:vAlign w:val="bottom"/>
            <w:tcBorders>
              <w:bottom w:val="single" w:sz="8" w:color="9A9A9A"/>
            </w:tcBorders>
          </w:tcPr>
          <w:p>
            <w:pPr>
              <w:spacing w:after="0"/>
              <w:rPr>
                <w:sz w:val="8"/>
                <w:szCs w:val="8"/>
                <w:color w:val="auto"/>
              </w:rPr>
            </w:pPr>
          </w:p>
        </w:tc>
        <w:tc>
          <w:tcPr>
            <w:tcW w:w="24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-1953895</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-1936750</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-1953895</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-1936750</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-513715</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-496570</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7. License and Collaboration Agreements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Adimab Assignment Agreement</w:t>
      </w:r>
    </w:p>
    <w:p>
      <w:pPr>
        <w:spacing w:after="0" w:line="108"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In July 2020, the Company entered into an Assignment and License Agreement with Adimab (the “Adimab Assignment Agreement”). Under the terms of the agreement, Adimab assigned to the Company all rights, title and interest in and to certain of its coronavirus-specific antibodies (each, a “CoV Antibody” and together, the “CoV Antibodies”), including modified or derivative forms thereof, and related intellectual property (“Adimab CoV Assets”). In addition, Adimab granted to the Company a non-exclusive, worldwide, royalty-bearing, sublicensable license to certain of its platform patents and technology for the development, manufacture and commercialization of the CoV Antibodies and pharmaceutical products containing or comprising one or more CoV Antibodies (each, a “Product”) for all indications and uses, with the exception of certain diagnostic uses and use as a research reagent (the “Field”). The Company is entitled to sublicense the assigned rights and licensed intellectual property solely with respect to any CoV Antibody or Product, subject to specified conditions of the agreement. The Company is obligated to use commercially reasonable efforts to achieve specified development and regulatory milestones for Products in certain major markets and to commercialize a product in any country in which the Company obtains marketing approval.</w:t>
      </w:r>
    </w:p>
    <w:p>
      <w:pPr>
        <w:spacing w:after="0" w:line="78"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Pursuant to the terms of the Adimab Assignment Agreement, the parties will establish one or more work plans that set forth the activities to be performed under the agreement (each, a “Work Plan”), and each party is responsible for performing the obligations to which it is assigned under such Work Plans. Upon execution of the Adimab Assignment Agreement, the Company and Adimab agreed on an initial Work Plan that outlined the services that will be performed commencing at inception of the arrangement. The Company is obligated to pay Adimab quarterly for its services performed under each Work Plan at a specified full-time equivalent rate. Otherwise, the Company is solely responsible for the development, manufacture and commercialization of the CoV Antibodies and associated Products at its own cost and expense. The Company is solely responsible for preparing and submitting all investigational new drug applications, new drug applications, biologics license applications and other regulatory filings for the CoV Antibodies and Products in the Field, and for obtaining and maintaining all marketing approvals for Products in the Field, at its sole expense. Additionally, the Company has the sole right to prosecute, maintain, enforce and defend patents covering the CoV Antibodies and Products, all at its own expense.</w:t>
      </w:r>
    </w:p>
    <w:p>
      <w:pPr>
        <w:spacing w:after="0" w:line="77"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Amounts paid with respect to services performed by Adimab on the Company’s behalf under the Adimab Assignment Agreement are recognized as research and development expense as such amounts are incurred. For the three and nine months ended September 30, 2022, the Company recognized $0.1 million and $0.6 million, respectively, of research and development expense in connection with services provided by Adimab. For the three and nine months ended September 30, 2021, the Company recognized $0.5 million and $0.9 million, respectively, of expense in connection with services provided by Adimab. Please refer to Note 15 for additional information.</w:t>
      </w:r>
    </w:p>
    <w:p>
      <w:pPr>
        <w:spacing w:after="0" w:line="73"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 xml:space="preserve">In July 2020, in consideration for the rights assigned and license conveyed under the Adimab Assignment Agreement, the Company issued 5,000,000 shares of its Series A convertible preferred stock (the “Series A Preferred Stock”), then having a fair value of $40.0 million, to Adimab. Concurrently, Adimab relinquished 21,250,000 shares of the Company’s common stock to the Company, then having a fair value of $85,000. Additionally, the Company is obligated to pay Adimab up to $16.5 million upon the achievement of specified development and regulatory milestones for the first Product under the agreement that achieves such specified milestones and up to $8.1 million upon the achievement of specified development and regulatory milestones for the second Product under the agreement that achieves such specified milestones. The maximum aggregate amount of milestone payments payable under the agreement for any and all Products is $24.6 million; however, milestone payments do not accrue for certain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devices consisting of or containing CoV Antibodies.</w:t>
      </w:r>
    </w:p>
    <w:p>
      <w:pPr>
        <w:spacing w:after="0" w:line="71"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In February 2021, the Company achieved the first specified milestone under the agreement upon dosing of the first patient in a Phase 1 global clinical trial evaluating adintrevimab, which obligated the Company to make a $1.0 million milestone payment to Adimab. In April 2021, the Company achieved the second specified milestone under the agreement upon dosing of the first patient in a Phase 2 global clinical trial evaluating adintrevimab for the prevention of COVID-19, which obligated the Company to make a $2.5 million milestone payment to Adimab. In August 2021, the Company achieved the third specified milestone under the agreement upon dosing of the first patient in a Phase 3 global clinical trial evaluating adintrevimab for the prevention of COVID-19, which obligated the Company to make a $4.0 million milestone payment to Adimab. The Company recognized each expense when achievement of each of the first, second and third milestones became probable of achievement in February, April and August 2021, respectively. The next potential milestone under the Adimab Assignment Agreement is a low six-digit dollar milestone related to dosing of the first subject in a Phase 1 trial evaluating NVD200, which was not considered probable as of September 30, 2022.</w:t>
      </w:r>
    </w:p>
    <w:p>
      <w:pPr>
        <w:spacing w:after="0" w:line="93"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During the three and nine months ended September 30, 2022, the Company did not recognize any in-process research and development (“IPR&amp;D”) expense in connection with contingent consideration payable under the Adimab Assignment Agreement. During the three and nine months ended September 30, 2021, the Company recognized $4.0 million and $7.5 million, respectively, as IPR&amp;D expense in connection with contingent consideration payable under the Adimab Assignment Agreement.</w:t>
      </w:r>
    </w:p>
    <w:p>
      <w:pPr>
        <w:spacing w:after="0" w:line="6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is obligated to pay Adimab royalties of a mid-single-digit percentage based on net sales of any Products, once commercialized. The royalty rate is subject to reductions specified under the agreement. Royalties are due on a Product-by-Product and country-by-country basis beginning upon the first commercial sale of each Product and ending on the later of (i) 12 years after the first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6" w:name="page17"/>
    <w:bookmarkEnd w:id="16"/>
    <w:p>
      <w:pPr>
        <w:jc w:val="both"/>
        <w:spacing w:after="0" w:line="250" w:lineRule="auto"/>
        <w:rPr>
          <w:sz w:val="20"/>
          <w:szCs w:val="20"/>
          <w:color w:val="auto"/>
        </w:rPr>
      </w:pPr>
      <w:r>
        <w:rPr>
          <w:rFonts w:ascii="Times New Roman" w:cs="Times New Roman" w:eastAsia="Times New Roman" w:hAnsi="Times New Roman"/>
          <w:sz w:val="18"/>
          <w:szCs w:val="18"/>
          <w:color w:val="auto"/>
        </w:rPr>
        <w:t>commercial sale of such Product in such country and (ii) the expiration of the last valid claim of a patent covering such Product in such country (“Royalty Term”). In addition, the Company is obligated to pay Adimab royalties of a specified percentage in the range of 45% to 55% of any compulsory sublicense consideration received by the Company in lieu of certain royalty payments. Except for the first milestone payment of $1.0 million, the second milestone payment of $2.5 million and the third milestone payment of $4.0 million, which were paid by the Company to Adimab in March, May and September 2021, respectively, no other milestone, royalty or other contingent payments had become due to Adimab through September 30, 2022.</w:t>
      </w:r>
    </w:p>
    <w:p>
      <w:pPr>
        <w:spacing w:after="0" w:line="69"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Unless earlier terminated, the Adimab Assignment Agreement remains in effect until the expiration of the last-to-expire Royalty Term for any and all Products. The Company may terminate the agreement at any time for any or no reason upon advance written notice to Adimab, or in the event of a material breach by Adimab that is not cured with specific periods. Adimab may only terminate the agreement for an uncured material breach by the Company for its due diligence obligation or a payment obligation. Upon any termination of the agreement prior to its expiration, all licenses and rights granted pursuant to the arrangement will automatically terminate and revert to the granting party and all other rights and obligations of the parties will terminate.</w:t>
      </w:r>
    </w:p>
    <w:p>
      <w:pPr>
        <w:spacing w:after="0" w:line="87"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The Company concluded that the Adimab Assignment Agreement represented an asset acquisition of IPR&amp;D assets with no alternative future use. The arrangement did not qualify as a business combination because substantially all of the fair value of the assets acquired was concentrated in a single asset. Therefore, the aggregate acquisition cost of $39.9 million was recognized as acquired IPR&amp;D expense in July 2020. The $39.9 million of costs to acquire the IPR&amp;D assets was determined as a result of the Company’s allocation of the $40.0 million aggregate fair value of the 5,000,000 shares of the Series A Preferred Stock that the Company issued to Adimab on the acquisition date in exchange for (i) the IPR&amp;D assets acquired from Adimab and (ii) 21,250,000 shares of the Company’s common stock that it repurchased from Adimab on that same date. The Company allocated the $40.0 million fair value of the 5,000,000 shares of Series A Preferred Stock to the IPR&amp;D assets and to the repurchased common stock based on their relative fair values on the acquisition date. As of that date and before allocation, the Company determined that the fair value of the repurchased common stock was $85,000, based on the results of a third-party valuation, and that the fair value of the IPR&amp;D assets was $40.0 million. The Company determined the fair value of the 5,000,000 shares of Series A Preferred Stock based on the $8.00 price per share paid for the stock by new investors in the Company’s Series A Preferred Stock financing, which closed on the same date as the date on which the Company acquired the CoV Antibodies and Adimab CoV Assets under the Adimab Assignment Agreement.</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Adimab Collaboration Agreement</w:t>
      </w:r>
    </w:p>
    <w:p>
      <w:pPr>
        <w:spacing w:after="0" w:line="108"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In May 2021, the Company entered into a Collaboration Agreement with Adimab (the “Adimab Collaboration Agreement”) for the discovery and optimization of proprietary antibodies as potential therapeutic product candidates. Under the Adimab Collaboration Agreement, the Company and Adimab will collaborate on research programs for a specified number of targets selected by the Company within a specified time period. Under the Adimab Collaboration Agreement, Adimab granted the Company a worldwide, non-exclusive license to certain of its platform patents and technology and antibody patents to perform the Company’s responsibilities during the ongoing research period and for a specified evaluation period thereafter (the “Evaluation Term”). In addition, the Company granted Adimab a license to certain of the Company’s patents and intellectual property solely to perform Adimab’s responsibilities under the research plans. Under the Adimab Collaboration Agreement, the Company has an exclusive option, on a program-by-program basis, to obtain licenses and assignments to commercialize selected products containing or comprising antibodies directed against the applicable target, which option may be exercised upon the payment of a specified option fee for each program. Upon exercise of an option by the Company, Adimab will assign to the Company all right, title and interest in the antibodies of the optioned research program and will grant the Company a worldwide, royalty-free, fully paid-up, non-exclusive, sublicensable license under the Adimab platform technology for the development, manufacture and commercialization of the antibodies for which the Company has exercised its options and products containing or comprising those antibodies. The Company is obligated to use commercially reasonable efforts to develop, seek marketing approval for, and commercialize one product that contains an antibody discovered in each optioned research program.</w:t>
      </w:r>
    </w:p>
    <w:p>
      <w:pPr>
        <w:spacing w:after="0" w:line="75"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The Company is obligated to pay Adimab a quarterly fee of $1.3 million, which may be cancelled at the Company’s option at any time. For so long as the Company is paying such quarterly fee (or earlier if (i) the Company experiences a change of control after the third anniversary of the Adimab Collaboration Agreement or (ii) Adimab owns less than a specified percentage of the Company’s equity), Adimab and its affiliates will not assist or direct certain third parties to discover or optimize antibodies that are intended to bind to coronaviruses or influenza viruses. The Company may also elect to decrease the scope of Adimab’s exclusivity obligations and obtain a corresponding decrease in the quarterly fee. During the three and nine months ended September 30, 2022, the Company recognized $1.3 million and $3.9 million, respectively, of research and development expense related to the quarterly fee. During both the three and nine months ended September 30, 2021, the Company recognized $1.3 million of research and development expense related to the quarterly fee.</w:t>
      </w:r>
    </w:p>
    <w:p>
      <w:pPr>
        <w:spacing w:after="0" w:line="92"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For each agreed upon research program that is commenced, the Company is obligated to pay Adimab quarterly for its services performed during a given research program at a specified full-time equivalent rate; a discovery delivery fee of $0.2 million; and an optimization completion fee of $0.2 million. For each option exercised by the Company to commercialize a specific research program, the Company is obligated to pay Adimab an exercise fee of $1.0 million. Amounts paid with respect to services performed by Adimab on the Company’s behalf in each of the research programs under the Adimab Collaboration Agreement are recognized as research and development expense as such amounts are incurred and services are rendered. During the three and nine months ended September 30,</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7" w:name="page18"/>
    <w:bookmarkEnd w:id="17"/>
    <w:p>
      <w:pPr>
        <w:jc w:val="both"/>
        <w:spacing w:after="0" w:line="250" w:lineRule="auto"/>
        <w:rPr>
          <w:sz w:val="20"/>
          <w:szCs w:val="20"/>
          <w:color w:val="auto"/>
        </w:rPr>
      </w:pPr>
      <w:r>
        <w:rPr>
          <w:rFonts w:ascii="Times New Roman" w:cs="Times New Roman" w:eastAsia="Times New Roman" w:hAnsi="Times New Roman"/>
          <w:sz w:val="18"/>
          <w:szCs w:val="18"/>
          <w:color w:val="auto"/>
        </w:rPr>
        <w:t>2022, the Company recognized $0.3 million and $1.3 million, respectively, of expense in connection with services provided by Adimab. During the three and nine months ended September 30, 2021, the Company recognized less than $0.1 million and $0.1 million, respectively, of expense in connection with services provided by Adimab. Through September 30, 2022, the Company recognized $0.2 million of research and development expense related to a drug delivery fee and $1.0 million of IPR&amp;D expense related to an option exercise. Additionally, through September 30, 2022, the Company has not paid an optimization completion fee to Adimab. Please refer to Note 15 for additional information.</w:t>
      </w:r>
    </w:p>
    <w:p>
      <w:pPr>
        <w:spacing w:after="0" w:line="69"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The Company is obligated to pay Adimab up to $18.0 million upon the achievement of specified development and regulatory milestones for each product under the Adimab Collaboration Agreement that achieves such milestones. The next potential milestone under the Adimab Collaboration Agreement is a low single-digit million dollar milestone related to dosing of the first subject in a Phase 1 trial, which was not considered probable as of September 30, 2022. The Company is also obligated to pay Adimab royalties of a mid-single-digit percentage based on net sales of any product under the Adimab Collaboration Agreement, subject to reductions for third-party licenses. The royalty term will expire for each product on a country-by-country basis upon the later of (i) 12 years after the first commercial sale of such product in such country and (ii) the expiration of the last valid claim of any patent claiming composition of matter or method of making or using any antibody identified or optimized under the Adimab Collaboration Agreement in such country.</w:t>
      </w:r>
    </w:p>
    <w:p>
      <w:pPr>
        <w:spacing w:after="0" w:line="78"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In addition, the Company is obligated to pay Adimab for Adimab’s performance of certain validation work with respect to certain antigens acquired from a third party. In consideration for this work, the Company is obligated to pay Adimab royalties of a low single-digit percentage based on net sales of products that contain such antigens for the same royalty term as antibody-based products, but the Company is not obligated to make any milestone payments for such antigen products. Through September 30, 2022, the Company had not paid any royalties to Adimab under the Adimab Collaboration Agreement.</w:t>
      </w:r>
    </w:p>
    <w:p>
      <w:pPr>
        <w:spacing w:after="0" w:line="69"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The Adimab Collaboration Agreement will expire (i) if the Company does not exercise any option, upon the conclusion of the last Evaluation Term for the research programs, or (ii) if the Company exercises an option, on the expiration of the last royalty term for a product in a particular country, unless the agreement is earlier terminated. The Company may terminate the Adimab Collaboration Agreement at any time upon advance written notice to Adimab. In addition, subject to certain conditions, either party may terminate the Adimab Collaboration Agreement in the event of a material breach by the other party that is not cured within specified periods.</w:t>
      </w:r>
    </w:p>
    <w:p>
      <w:pPr>
        <w:spacing w:after="0" w:line="87"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The Company concluded that the Adimab Collaboration Agreement represented an asset acquisition of IPR&amp;D with no alternative future use. Therefore, payments made by the Company to Adimab for milestones achieved will be recognized as acquired IPR&amp;D expense in the related period in which the services are performed or the related milestone is considered probable of achievement. Amounts paid with respect to services performed by Adimab on the Company’s behalf under the Adimab Collaboration Agreement are recognized as research and development expense as such amounts are incurred and services are rendered. Please refer to Note 15 for additional information.</w:t>
      </w:r>
    </w:p>
    <w:p>
      <w:pPr>
        <w:spacing w:after="0" w:line="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Adimab Platform Transfer Agreement</w:t>
      </w:r>
    </w:p>
    <w:p>
      <w:pPr>
        <w:spacing w:after="0" w:line="108"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On September 10, 2022 (“Effective Date”), the Company entered into a Platform Transfer Agreement with Adimab (the “Adimab Platform Transfer Agreement”) under which the Company was granted the right under certain intellectual property of Adimab to practice certain elements of Adimab’s platform technology, including B-cell cloning using Adimab’s proprietary yeast cell lines and other antibody optimization libraries, trade secrets, protocols and software of Adimab, to discover, engineer and optimize antibodies. The Company was also granted the right under certain intellectual property of Adimab to research, develop, make, sell and exploit such antibodies and products containing such antibodies. The Adimab platform will be transferred to the Company in accordance with the terms of the Adimab Platform Transfer Agreement. In September 2022, the Company recognized $3.0 million as IPR&amp;D expense in connection with the upfront consideration payable for the rights assigned pursuant to the Adimab Platform Transfer Agreement.</w:t>
      </w:r>
    </w:p>
    <w:p>
      <w:pPr>
        <w:spacing w:after="0" w:line="87"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The Company is obligated to pay Adimab an annual fee of $2.0 million on each of the first four anniversaries of the Effective Date, which will allow the Company to receive material improvements to the platform technology, including materially improved antibody optimization libraries, updates that provide new functionality to the platform, and software upgrades, from Adimab through June 2027. The first $2.0 million will become due in September 2023. Beginning in July 2027 and ending in June 2042, unless terminated earlier, the Company has the option to receive additional material improvements to the platform technology from Adimab, subject to a commercially reasonable fee to be negotiated by the parties.</w:t>
      </w:r>
    </w:p>
    <w:p>
      <w:pPr>
        <w:spacing w:after="0" w:line="73"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The Company is obligated to pay Adimab up to $9.5 million upon the achievement of specified development and regulatory milestones for each product under the Adimab Platform Transfer Agreement that achieves such milestones. The next potential milestone under the Adimab Platform Transfer Agreement is a mid-six-digit dollar milestone related to the start of IND-enabling toxicology studies, which was not considered probable as of September 30, 2022.</w:t>
      </w:r>
    </w:p>
    <w:p>
      <w:pPr>
        <w:spacing w:after="0" w:line="69"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In addition, the Company is obligated to pay Adimab royalties of a low single-digit percentage based on net sales of products containing an antibody discovered, engineered or optimized using Adimab’s platform technology, once commercialized. The royalty rate is subject to reductions specified under the Adimab Platform Transfer Agreement. Royalties are due on a product-by-product and country-by-country basis. The royalty term will expire for each product on a country-by-country basis upon the later of (i) 12 years after the first commercial sale of such product in such country and (ii) the expiration of the last valid claim of a program antibody patent for</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8" w:name="page19"/>
    <w:bookmarkEnd w:id="18"/>
    <w:p>
      <w:pPr>
        <w:jc w:val="both"/>
        <w:spacing w:after="0" w:line="282" w:lineRule="auto"/>
        <w:rPr>
          <w:sz w:val="20"/>
          <w:szCs w:val="20"/>
          <w:color w:val="auto"/>
        </w:rPr>
      </w:pPr>
      <w:r>
        <w:rPr>
          <w:rFonts w:ascii="Times New Roman" w:cs="Times New Roman" w:eastAsia="Times New Roman" w:hAnsi="Times New Roman"/>
          <w:sz w:val="18"/>
          <w:szCs w:val="18"/>
          <w:color w:val="auto"/>
        </w:rPr>
        <w:t>covering the program antibody contained in such product in such country. Through September 30, 2022, the Company had not paid any royalties to Adimab under the Adimab Platform Transfer Agreement.</w:t>
      </w:r>
    </w:p>
    <w:p>
      <w:pPr>
        <w:spacing w:after="0" w:line="4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may terminate the Adimab Platform Transfer Agreement at any time upon advance written notice to Adimab. In addition, subject to certain conditions, either party may terminate the Adimab Platform Transfer Agreement in the event of a material breach by the other party that is not cured within specified periods or in connection with the other party’s insolvency.</w:t>
      </w:r>
    </w:p>
    <w:p>
      <w:pPr>
        <w:spacing w:after="0" w:line="61"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The Company concluded that the Adimab Platform Transfer Agreement represented an asset acquisition of IPR&amp;D with no alternative future use. Therefore, payments made by the Company to Adimab for milestones achieved will be recognized as acquired IPR&amp;D expense in the related period in which the services are performed or the related milestone is considered probable of achievement. Amounts paid with respect to the annual material improvement fees are recognized as research and development expense as such amounts are incurred. Please refer to Note 15 for additional information.</w:t>
      </w:r>
    </w:p>
    <w:p>
      <w:pPr>
        <w:spacing w:after="0" w:line="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WuXi Cell Line License Agreement</w:t>
      </w:r>
    </w:p>
    <w:p>
      <w:pPr>
        <w:spacing w:after="0" w:line="108"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8"/>
          <w:szCs w:val="18"/>
          <w:color w:val="auto"/>
        </w:rPr>
        <w:t>In December 2020, the Company entered into a Cell Line License Agreement with WuXi Biologics (Hong Kong) Limited (“WuXi”) (the “Cell Line License Agreement”), under which WuXi granted to the Company a non-exclusive, non-transferable, worldwide, royalty-bearing, sublicensable license to certain of its intellectual property, including certain patent rights associated with a proprietary cell line developed by WuXi for the exploitation of certain recombinant antibodies developed using such proprietary cell line (each, a “Licensed Product”). Each Licensed Product generated under the arrangement will be produced from a transformed or transfected version of the proprietary cell line derived by WuXi (each of such transformed or transfected cell lines, a “Licensed Cell Line”).</w:t>
      </w:r>
    </w:p>
    <w:p>
      <w:pPr>
        <w:spacing w:after="0" w:line="72"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The Company paid an upfront fee of $0.2 million to WuXi upon completion of cell bank generation for the first Licensed Cell Line created under the Cell Line License Agreement. The Company is also obligated to pay royalties in the range of 0.3% to 0.5% to WuXi based on net sales of any Licensed Products manufactured by the Company or a third party on its behalf. However, if the Company uses WuXi to manufacture all of its commercial supplies for Licensed Products, no royalties would be owed by the Company to WuXi for net sales of Licensed Products. The Company has an option to buy out its royalty obligations on a Licensed Cell Line-by-Licensed Cell Line basis by making a one-time payment of $15.0 million to WuXi. Royalties are due on a Licensed Product-by-Licensed Product basis commencing on the date of the first commercial sale of the applicable product and continuing for so long as the Company commercializes Licensed Products or, if earlier, until the Company exercises its option to buy out the royalty obligations. Through September 30, 2022, no royalties had become due to WuXi.</w:t>
      </w:r>
    </w:p>
    <w:p>
      <w:pPr>
        <w:spacing w:after="0" w:line="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Cell Line License Agreement remains in effect until it is terminated. The Company may terminate the Cell Line License Agreement at any time</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with notice to WuXi. WuXi may terminate the Cell Line License Agreement in the event the Company fails to make a payment when due under the Cell Line License Agreement and such non-payment is not cured within a specified period after notice. Either party may terminate the Cell Line License</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Agreement in the event of a material breach by the other party that is not cured within a specified period after notice. Upon termination of the Cell Line License Agreement, the license conveyed by WuXi to the Company will continue in full force and effect with respect to all Licensed Products manufactured using the Licensed Cell Line already generated under the Cell Line License Agreement, provided that the Company continues to pay its royalty obligations, if any.</w:t>
      </w:r>
    </w:p>
    <w:p>
      <w:pPr>
        <w:spacing w:after="0" w:line="51" w:lineRule="exact"/>
        <w:rPr>
          <w:sz w:val="20"/>
          <w:szCs w:val="20"/>
          <w:color w:val="auto"/>
        </w:rPr>
      </w:pPr>
    </w:p>
    <w:p>
      <w:pPr>
        <w:jc w:val="both"/>
        <w:ind w:firstLine="509"/>
        <w:spacing w:after="0" w:line="232" w:lineRule="auto"/>
        <w:rPr>
          <w:sz w:val="20"/>
          <w:szCs w:val="20"/>
          <w:color w:val="auto"/>
        </w:rPr>
      </w:pPr>
      <w:r>
        <w:rPr>
          <w:rFonts w:ascii="Times New Roman" w:cs="Times New Roman" w:eastAsia="Times New Roman" w:hAnsi="Times New Roman"/>
          <w:sz w:val="18"/>
          <w:szCs w:val="18"/>
          <w:color w:val="auto"/>
        </w:rPr>
        <w:t>The Company concluded that the Cell Line License Agreement represented an asset acquisition of IPR&amp;D with no alternative future use. The Cell Line License Agreement did not qualify as a business combination because substantially all of the fair value of the assets acquired was concentrated in a single asset. Therefore, the aggregate acquisition cost of $0.2 million, consisting solely of the upfront fee, was recognized as acquired IPR&amp;D expense for the period from June 3, 2020 (inception) to December 31, 2020.</w:t>
      </w:r>
    </w:p>
    <w:p>
      <w:pPr>
        <w:spacing w:after="0" w:line="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Collaboration and License Agreement with The Scripps Research Institute</w:t>
      </w:r>
    </w:p>
    <w:p>
      <w:pPr>
        <w:spacing w:after="0" w:line="94" w:lineRule="exact"/>
        <w:rPr>
          <w:sz w:val="20"/>
          <w:szCs w:val="20"/>
          <w:color w:val="auto"/>
        </w:rPr>
      </w:pPr>
    </w:p>
    <w:p>
      <w:pPr>
        <w:jc w:val="both"/>
        <w:ind w:firstLine="509"/>
        <w:spacing w:after="0" w:line="232" w:lineRule="auto"/>
        <w:rPr>
          <w:sz w:val="20"/>
          <w:szCs w:val="20"/>
          <w:color w:val="auto"/>
        </w:rPr>
      </w:pPr>
      <w:r>
        <w:rPr>
          <w:rFonts w:ascii="Times New Roman" w:cs="Times New Roman" w:eastAsia="Times New Roman" w:hAnsi="Times New Roman"/>
          <w:sz w:val="18"/>
          <w:szCs w:val="18"/>
          <w:color w:val="auto"/>
        </w:rPr>
        <w:t>In August 2021, the Company entered into a Research Collaboration and License Agreement (the “Research Agreement”) with The Scripps Research Institute (“TSRI”). Under the terms of the Research Agreement, TSRI performed research activities (the “Research Program”) to identify vaccine candidates for the prevention, diagnosis or treatment of influenza or beta coronaviruses. In August 2021, the Company paid TSRI $1.5 million in funding, which was credited against research funding payable by the Company under the Research Agreement.</w:t>
      </w:r>
    </w:p>
    <w:p>
      <w:pPr>
        <w:spacing w:after="0" w:line="50" w:lineRule="exact"/>
        <w:rPr>
          <w:sz w:val="20"/>
          <w:szCs w:val="20"/>
          <w:color w:val="auto"/>
        </w:rPr>
      </w:pPr>
    </w:p>
    <w:p>
      <w:pPr>
        <w:jc w:val="both"/>
        <w:ind w:firstLine="576"/>
        <w:spacing w:after="0" w:line="250" w:lineRule="auto"/>
        <w:rPr>
          <w:sz w:val="20"/>
          <w:szCs w:val="20"/>
          <w:color w:val="auto"/>
        </w:rPr>
      </w:pPr>
      <w:r>
        <w:rPr>
          <w:rFonts w:ascii="Times New Roman" w:cs="Times New Roman" w:eastAsia="Times New Roman" w:hAnsi="Times New Roman"/>
          <w:sz w:val="18"/>
          <w:szCs w:val="18"/>
          <w:color w:val="auto"/>
        </w:rPr>
        <w:t>In April 2022, the Company provided written notice to TSRI to terminate the Research Agreement. Following early termination in the second quarter of 2022, all licenses were terminated and reverted to TSRI.</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Amounts incurred for services performed by TSRI under the Research Agreement were expensed to research and development expense as the services were rendered. During the three and nine months ended September 30, 2022, the Company recognized $0 and $1.7 million, respectively, of research and development expense associated with services performed under the Research Agreement.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1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 Commitments</w:t>
      </w:r>
    </w:p>
    <w:p>
      <w:pPr>
        <w:spacing w:after="0" w:line="10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September 2021, the Company entered into a five year noncancelable facilities lease agreement for approximately 9,600 square feet of office space in Waltham, Massachusetts. The monthly rental payments under the lease, which include base rent charges of $0.4 million per year, are subject to periodic rent increases through September 2026. In addition to base rent, monthly rental payments include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9" w:name="page20"/>
    <w:bookmarkEnd w:id="19"/>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proportionate share of operating expenses. The lease terms provide for one five-year extension term with base rent calculated on the then-market rate.</w:t>
      </w:r>
    </w:p>
    <w:p>
      <w:pPr>
        <w:spacing w:after="0" w:line="40"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In June 2022, the Company entered into a two year noncancelable agreement for dedicated laboratory and office space in Newton, Massachusetts (the “Newton, MA Lease”). The monthly rental payments under the agreement include base rent charges of $0.7 million per year. The agreement terms provide for a month-to-month extension after completion of the initial two-year term with base rent calculated on the then-market rate with three months prior notice.</w:t>
      </w:r>
    </w:p>
    <w:p>
      <w:pPr>
        <w:spacing w:after="0" w:line="6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September 2022, the Company amended the Newton, MA Lease. As of September 30, 2022, based on the amended terms and conditions of the agreement, the Newton, MA Lease qualified as a short-term lease and was excluded from the balance sheet.</w:t>
      </w:r>
    </w:p>
    <w:p>
      <w:pPr>
        <w:spacing w:after="0" w:line="40"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Pursuant to the amendment, the Company entered into a separate two-year noncancelable agreement for new dedicated laboratory and office space on the same campus as the Newton, MA Lease. The Company is expected to take occupancy of the new space during the fourth quarter of 2022. The monthly rental payments under the amended agreement include base rent charges of $1.3 million per year. The agreement terms provide for a month-to-month extension, after completion of the initial two-year term extending through November 2024, with base rent calculated on the then-market rate with three months prior notice.</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operating lease expense were as follows (in thousands):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The Nine Months</w:t>
            </w:r>
          </w:p>
        </w:tc>
      </w:tr>
      <w:tr>
        <w:trPr>
          <w:trHeight w:val="190"/>
        </w:trPr>
        <w:tc>
          <w:tcPr>
            <w:tcW w:w="7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Ended September 30,</w:t>
            </w:r>
          </w:p>
        </w:tc>
      </w:tr>
      <w:tr>
        <w:trPr>
          <w:trHeight w:val="213"/>
        </w:trPr>
        <w:tc>
          <w:tcPr>
            <w:tcW w:w="75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8"/>
                <w:szCs w:val="18"/>
                <w:color w:val="auto"/>
              </w:rPr>
            </w:pPr>
          </w:p>
        </w:tc>
      </w:tr>
      <w:tr>
        <w:trPr>
          <w:trHeight w:val="223"/>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 cost:</w:t>
            </w:r>
          </w:p>
        </w:tc>
        <w:tc>
          <w:tcPr>
            <w:tcW w:w="14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cost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Pr>
          <w:p>
            <w:pPr>
              <w:spacing w:after="0"/>
              <w:rPr>
                <w:sz w:val="19"/>
                <w:szCs w:val="19"/>
                <w:color w:val="auto"/>
              </w:rPr>
            </w:pPr>
          </w:p>
        </w:tc>
      </w:tr>
      <w:tr>
        <w:trPr>
          <w:trHeight w:val="216"/>
        </w:trPr>
        <w:tc>
          <w:tcPr>
            <w:tcW w:w="75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Variable lease cost</w:t>
            </w:r>
          </w:p>
        </w:tc>
        <w:tc>
          <w:tcPr>
            <w:tcW w:w="14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Pr>
          <w:p>
            <w:pPr>
              <w:spacing w:after="0"/>
              <w:rPr>
                <w:sz w:val="18"/>
                <w:szCs w:val="18"/>
                <w:color w:val="auto"/>
              </w:rPr>
            </w:pPr>
          </w:p>
        </w:tc>
      </w:tr>
      <w:tr>
        <w:trPr>
          <w:trHeight w:val="20"/>
        </w:trPr>
        <w:tc>
          <w:tcPr>
            <w:tcW w:w="7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cash flows related to operating leases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shd w:val="clear" w:color="auto" w:fill="CFF0FC"/>
          </w:tcPr>
          <w:p>
            <w:pPr>
              <w:spacing w:after="0"/>
              <w:rPr>
                <w:sz w:val="19"/>
                <w:szCs w:val="19"/>
                <w:color w:val="auto"/>
              </w:rPr>
            </w:pPr>
          </w:p>
        </w:tc>
      </w:tr>
      <w:tr>
        <w:trPr>
          <w:trHeight w:val="499"/>
        </w:trPr>
        <w:tc>
          <w:tcPr>
            <w:tcW w:w="928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Future minimum lease payments under the noncancelable leases as of September 30, 2022 was as follows (in thousands):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7560" w:type="dxa"/>
            <w:vAlign w:val="bottom"/>
          </w:tcPr>
          <w:p>
            <w:pPr>
              <w:ind w:left="296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Operating Lease</w:t>
            </w:r>
          </w:p>
        </w:tc>
      </w:tr>
      <w:tr>
        <w:trPr>
          <w:trHeight w:val="209"/>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2022 (excluding the nine months ended September 30, 2022)</w:t>
            </w:r>
          </w:p>
        </w:tc>
        <w:tc>
          <w:tcPr>
            <w:tcW w:w="14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200" w:type="dxa"/>
            <w:vAlign w:val="bottom"/>
            <w:gridSpan w:val="2"/>
            <w:shd w:val="clear" w:color="auto" w:fill="CFF0FC"/>
          </w:tcPr>
          <w:p>
            <w:pPr>
              <w:spacing w:after="0"/>
              <w:rPr>
                <w:sz w:val="18"/>
                <w:szCs w:val="18"/>
                <w:color w:val="auto"/>
              </w:rPr>
            </w:pPr>
          </w:p>
        </w:tc>
        <w:tc>
          <w:tcPr>
            <w:tcW w:w="1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Pr>
          <w:p>
            <w:pPr>
              <w:spacing w:after="0"/>
              <w:rPr>
                <w:sz w:val="18"/>
                <w:szCs w:val="18"/>
                <w:color w:val="auto"/>
              </w:rPr>
            </w:pPr>
          </w:p>
        </w:tc>
      </w:tr>
      <w:tr>
        <w:trPr>
          <w:trHeight w:val="216"/>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Pr>
          <w:p>
            <w:pPr>
              <w:spacing w:after="0"/>
              <w:rPr>
                <w:sz w:val="18"/>
                <w:szCs w:val="18"/>
                <w:color w:val="auto"/>
              </w:rPr>
            </w:pPr>
          </w:p>
        </w:tc>
      </w:tr>
      <w:tr>
        <w:trPr>
          <w:trHeight w:val="216"/>
        </w:trPr>
        <w:tc>
          <w:tcPr>
            <w:tcW w:w="7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Borders>
              <w:bottom w:val="single" w:sz="8" w:color="CFF0FC"/>
            </w:tcBorders>
            <w:shd w:val="clear" w:color="auto" w:fill="CFF0FC"/>
          </w:tcPr>
          <w:p>
            <w:pPr>
              <w:spacing w:after="0"/>
              <w:rPr>
                <w:sz w:val="18"/>
                <w:szCs w:val="18"/>
                <w:color w:val="auto"/>
              </w:rPr>
            </w:pPr>
          </w:p>
        </w:tc>
        <w:tc>
          <w:tcPr>
            <w:tcW w:w="15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100" w:type="dxa"/>
            <w:vAlign w:val="bottom"/>
          </w:tcPr>
          <w:p>
            <w:pPr>
              <w:spacing w:after="0"/>
              <w:rPr>
                <w:sz w:val="18"/>
                <w:szCs w:val="18"/>
                <w:color w:val="auto"/>
              </w:rPr>
            </w:pPr>
          </w:p>
        </w:tc>
      </w:tr>
      <w:tr>
        <w:trPr>
          <w:trHeight w:val="216"/>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Present value adjustment</w:t>
            </w:r>
          </w:p>
        </w:tc>
        <w:tc>
          <w:tcPr>
            <w:tcW w:w="14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(186 )</w:t>
            </w:r>
          </w:p>
        </w:tc>
      </w:tr>
      <w:tr>
        <w:trPr>
          <w:trHeight w:val="210"/>
        </w:trPr>
        <w:tc>
          <w:tcPr>
            <w:tcW w:w="75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Present value of operating lease liability</w:t>
            </w:r>
          </w:p>
        </w:tc>
        <w:tc>
          <w:tcPr>
            <w:tcW w:w="140" w:type="dxa"/>
            <w:vAlign w:val="bottom"/>
            <w:tcBorders>
              <w:top w:val="single" w:sz="8" w:color="CFF0FC"/>
            </w:tcBorders>
          </w:tcPr>
          <w:p>
            <w:pPr>
              <w:spacing w:after="0"/>
              <w:rPr>
                <w:sz w:val="18"/>
                <w:szCs w:val="18"/>
                <w:color w:val="auto"/>
              </w:rPr>
            </w:pPr>
          </w:p>
        </w:tc>
        <w:tc>
          <w:tcPr>
            <w:tcW w:w="158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gridSpan w:val="2"/>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100" w:type="dxa"/>
            <w:vAlign w:val="bottom"/>
            <w:tcBorders>
              <w:top w:val="single" w:sz="8" w:color="CFF0FC"/>
            </w:tcBorders>
          </w:tcPr>
          <w:p>
            <w:pPr>
              <w:spacing w:after="0"/>
              <w:rPr>
                <w:sz w:val="18"/>
                <w:szCs w:val="18"/>
                <w:color w:val="auto"/>
              </w:rPr>
            </w:pPr>
          </w:p>
        </w:tc>
      </w:tr>
      <w:tr>
        <w:trPr>
          <w:trHeight w:val="20"/>
        </w:trPr>
        <w:tc>
          <w:tcPr>
            <w:tcW w:w="7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-2219960</wp:posOffset>
            </wp:positionV>
            <wp:extent cx="68580" cy="1714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-2219960</wp:posOffset>
            </wp:positionV>
            <wp:extent cx="68580" cy="1714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1454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43"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As of September 30, 2022, the Company’s operating lease was measured using a weighted-average incremental borrowing rate of 6.0% over a weighted-average remaining lease term of 4.0 years.</w:t>
      </w:r>
    </w:p>
    <w:p>
      <w:pPr>
        <w:spacing w:after="0" w:line="5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total operating liability is presented on the Company’s condensed consolidated balance sheet based on maturity dates. $0.3 million of the total operating liability is classified under "operating lease liability, current” for the portion due within twelve months, and $1.2 million is classified under "operating lease liability, non-current”.</w:t>
      </w:r>
    </w:p>
    <w:p>
      <w:pPr>
        <w:spacing w:after="0" w:line="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has entered into license agreements with Adimab, WuXi and TSRI (see Note 7). In April 2022, the Company provided written notice to TSRI to terminate the Research Agreement, and the Research Agreement was subsequently terminated during the second quarter of 2022.</w:t>
      </w:r>
    </w:p>
    <w:p>
      <w:pPr>
        <w:spacing w:after="0" w:line="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Manufacturing Agreements</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December 2020, the Company entered into a Commercial Manufacturing Services Agreement with WuXi, which was amended and restated in</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August 2021 (as amended and restated, the “Commercial Manufacturing Agreement”). The Commercial Manufacturing Agreement outlines the terms and conditions under which WuXi manufactures adintrevimab drug substance and drug product for commercial use.</w:t>
      </w:r>
    </w:p>
    <w:p>
      <w:pPr>
        <w:spacing w:after="0" w:line="63" w:lineRule="exact"/>
        <w:rPr>
          <w:sz w:val="20"/>
          <w:szCs w:val="20"/>
          <w:color w:val="auto"/>
        </w:rPr>
      </w:pPr>
    </w:p>
    <w:p>
      <w:pPr>
        <w:jc w:val="both"/>
        <w:ind w:firstLine="509"/>
        <w:spacing w:after="0" w:line="236" w:lineRule="auto"/>
        <w:rPr>
          <w:sz w:val="20"/>
          <w:szCs w:val="20"/>
          <w:color w:val="auto"/>
        </w:rPr>
      </w:pPr>
      <w:r>
        <w:rPr>
          <w:rFonts w:ascii="Times New Roman" w:cs="Times New Roman" w:eastAsia="Times New Roman" w:hAnsi="Times New Roman"/>
          <w:sz w:val="18"/>
          <w:szCs w:val="18"/>
          <w:color w:val="auto"/>
        </w:rPr>
        <w:t>The Company committed to minimum noncancelable purchase obligations related to batches of adintrevimab drug substance and certain services with respect to the product requirements for 2022 and 2023 and batches of adintrevimab drug product and certain services with respect to the product requirements for 2022, the payments for which will extend into 2023.</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0" w:name="page21"/>
    <w:bookmarkEnd w:id="20"/>
    <w:p>
      <w:pPr>
        <w:jc w:val="both"/>
        <w:ind w:firstLine="509"/>
        <w:spacing w:after="0" w:line="232" w:lineRule="auto"/>
        <w:rPr>
          <w:sz w:val="20"/>
          <w:szCs w:val="20"/>
          <w:color w:val="auto"/>
        </w:rPr>
      </w:pPr>
      <w:r>
        <w:rPr>
          <w:rFonts w:ascii="Times New Roman" w:cs="Times New Roman" w:eastAsia="Times New Roman" w:hAnsi="Times New Roman"/>
          <w:sz w:val="18"/>
          <w:szCs w:val="18"/>
          <w:color w:val="auto"/>
        </w:rPr>
        <w:t>In April 2022, the total volume of contractually binding drug substance and drug product batches to be manufactured under the Commercial Manufacturing Agreement was reduced to $51.6 million, a decrease of $107.8 million from the previous commitment of minimum non-cancelable purchase obligations of $159.4 million. In addition, WuXi agreed to provide the Company with a credit in the low eight-figures to offset future services rendered by WuXi.</w:t>
      </w:r>
    </w:p>
    <w:p>
      <w:pPr>
        <w:spacing w:after="0" w:line="50" w:lineRule="exact"/>
        <w:rPr>
          <w:sz w:val="20"/>
          <w:szCs w:val="20"/>
          <w:color w:val="auto"/>
        </w:rPr>
      </w:pPr>
    </w:p>
    <w:p>
      <w:pPr>
        <w:jc w:val="both"/>
        <w:ind w:firstLine="509"/>
        <w:spacing w:after="0" w:line="232" w:lineRule="auto"/>
        <w:rPr>
          <w:sz w:val="20"/>
          <w:szCs w:val="20"/>
          <w:color w:val="auto"/>
        </w:rPr>
      </w:pPr>
      <w:r>
        <w:rPr>
          <w:rFonts w:ascii="Times New Roman" w:cs="Times New Roman" w:eastAsia="Times New Roman" w:hAnsi="Times New Roman"/>
          <w:sz w:val="18"/>
          <w:szCs w:val="18"/>
          <w:color w:val="auto"/>
        </w:rPr>
        <w:t>In July 2022, the Company provided notice to WuXi to cancel the contractually binding adintrevimab drug product batches. As of September 30, 2022, approximately $3.5 million was included in accounts payable and accrued expenses pursuant to the Commercial Manufacturing Agreement. As of September 30, 2022, the total remaining cost of contractually binding adintrevimab drug substance batches to be manufactured under the Commercial Manufacturing Agreement is $18.1 million.</w:t>
      </w:r>
    </w:p>
    <w:p>
      <w:pPr>
        <w:spacing w:after="0" w:line="64" w:lineRule="exact"/>
        <w:rPr>
          <w:sz w:val="20"/>
          <w:szCs w:val="20"/>
          <w:color w:val="auto"/>
        </w:rPr>
      </w:pPr>
    </w:p>
    <w:p>
      <w:pPr>
        <w:jc w:val="both"/>
        <w:ind w:firstLine="509"/>
        <w:spacing w:after="0" w:line="222" w:lineRule="auto"/>
        <w:rPr>
          <w:sz w:val="20"/>
          <w:szCs w:val="20"/>
          <w:color w:val="auto"/>
        </w:rPr>
      </w:pPr>
      <w:r>
        <w:rPr>
          <w:rFonts w:ascii="Times New Roman" w:cs="Times New Roman" w:eastAsia="Times New Roman" w:hAnsi="Times New Roman"/>
          <w:sz w:val="18"/>
          <w:szCs w:val="18"/>
          <w:color w:val="auto"/>
        </w:rPr>
        <w:t>During the three months ended September 30, 2022, a portion of the low eight-figure credit, in the seven-figure range, was applied to WuXi services as a reduction of research and development expenses and a reduction of accounts payable. The remaining portion of the credit is expected to be utilized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fourth quarter of 2022 and the first half of 2023.</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Unless earlier terminated, the Commercial Manufacturing Agreement remains in effect for an initial period of five years and thereafter automatically</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renews for further successive periods of five years each. Either party may terminate the agreement upon the breach or default by the other party, other than a non-payment breach, that is not cured within 90 days after notice. Both parties are also entitled to terminate the Commercial Manufacturing Agreement if</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other party becomes insolvent or is the subject of a petition in bankruptcy or of any other related proceeding or event. Either party may terminate either the Commercial Manufacturing Agreement in its entirety, or an individual order, (i) to the extent the other party suffers a force majeure event that is continuing for a predefined period of time and (ii) if the other party fails to make a payment when due under the arrangement and such non-payment is not cured within 30 days after notice.</w:t>
      </w:r>
    </w:p>
    <w:p>
      <w:pPr>
        <w:spacing w:after="0" w:line="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Contracts</w:t>
      </w:r>
    </w:p>
    <w:p>
      <w:pPr>
        <w:spacing w:after="0" w:line="121"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The Company enters into agreements with third parties during the ordinary course of business for various products and services, including those related to research, preclinical and clinical operations, manufacturing and support, supply chain, and distribution. These contracts do not contain any material minimum purchase commitments. Certain of these agreements provide for termination rights subject to the payment of termination fees and/or wind-down costs. Under such agreements, the Company is contractually obligated to make certain payments to vendors upon early termination, primarily to reimburse them for their unrecoverable outlays incurred prior to cancellation as well as any amounts owed by the Company prior to early termination. The actual amounts the Company could pay in the future to the vendors under such agreements may differ from the purchase order amounts due to cancellation provisions. The termination fees were not probable of payment as of September 30, 2022 and December 31, 2021.</w:t>
      </w:r>
    </w:p>
    <w:p>
      <w:pPr>
        <w:spacing w:after="0" w:line="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08"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From time to time, the Company may become involved in legal proceedings or other litigation relating to claims arising in the ordinary course of business. The Company accrues a liability for such matters when it is probable that future expenditures will be made and that such expenditures can be reasonably estimated. Significant judgment is required to determine both probability and estimated exposure amount. Legal fees and other costs associated with such proceedings are expensed as incurred. As of September 30, 2022 and December 31, 2021, the Company was not a party to any material legal proceedings.</w:t>
      </w:r>
    </w:p>
    <w:p>
      <w:pPr>
        <w:spacing w:after="0" w:line="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08"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its vendors, lessors, contract research organizations, contract manufacturing organizations,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its executive officers that require the Company, among other things, to indemnify them against certain liabilities that may arise by reason of their status or service as directors or officers. The maximum potential amount of future payments that the Company could be required to make under these indemnification agreements is, in many cases, unlimited. The Company has not incurred any material costs as a result of such indemnifications and is not currently aware of any indemnification claims.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Convertible Preferred Stock</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has issued Series A convertible preferred stock (the “Series A Preferred Stock”), Series B convertible preferred stock (the “Series B Preferred Stock”), and Series C Preferred Stock (the “Series C Preferred Stock”), all of which are collectively referred to as the “Preferred Stock.”</w:t>
      </w:r>
    </w:p>
    <w:p>
      <w:pPr>
        <w:spacing w:after="0" w:line="5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July 2020, the Company issued and sold 6,237,500 shares of Series A Preferred Stock, at a price of $8.00 per share, for gross proceeds of $49.9 million and incurred $0.2 million of issuance costs. Concurrently, the Company issued 5,000,000 shares of Series A Preferred Stock to Adimab as consideration payable pursuant to the Adimab Assignment Agreement (see Note 7).</w:t>
      </w:r>
    </w:p>
    <w:p>
      <w:pPr>
        <w:spacing w:after="0" w:line="61"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In October and November 2020, the Company issued and sold 1,410,434 shares of Series B Preferred Stock, at a price of $56.72 per share, for gross proceeds of $80.0 million and incurred $0.2 million of issuance costs. Adimab, a related party, participated in the Series B Preferred Stock financing by purchasing 44,076 shares of Series B Preferred Stock for an aggregate purchase price of $2.5 million. The issuance of the Series B Preferred Stock resulted in changes to certain terms of the Series A Preferred Stock. The Company</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21" w:name="page22"/>
    <w:bookmarkEnd w:id="21"/>
    <w:p>
      <w:pPr>
        <w:jc w:val="both"/>
        <w:spacing w:after="0" w:line="258" w:lineRule="auto"/>
        <w:rPr>
          <w:sz w:val="20"/>
          <w:szCs w:val="20"/>
          <w:color w:val="auto"/>
        </w:rPr>
      </w:pPr>
      <w:r>
        <w:rPr>
          <w:rFonts w:ascii="Times New Roman" w:cs="Times New Roman" w:eastAsia="Times New Roman" w:hAnsi="Times New Roman"/>
          <w:sz w:val="18"/>
          <w:szCs w:val="18"/>
          <w:color w:val="auto"/>
        </w:rPr>
        <w:t>concluded that such changes were not significant and resulted in a modification, rather than an extinguishment, of the Series A Preferred Stock. The changes to the terms of the Series A Preferred Stock did not result in incremental value to the stockholders. Therefore, there was no impact to the accounting for the Series A Preferred Stock.</w:t>
      </w:r>
    </w:p>
    <w:p>
      <w:pPr>
        <w:spacing w:after="0" w:line="6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April 2021, the Company issued and sold 4,296,550 shares of its Series C Preferred Stock, at a price of $78.08578 per share, for aggregate gross proceeds of $335.5 million and incurred $0.3 million of issuance costs. Adimab, a related party, participated in the Series C Preferred Stock financing by purchasing 128,064 shares of Series C Preferred Stock for an aggregate purchase price of $10.0 million.</w:t>
      </w:r>
    </w:p>
    <w:p>
      <w:pPr>
        <w:spacing w:after="0" w:line="6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terms of the Series C Preferred Stock were substantially the same as the terms of the Series A Preferred Stock and Series B Preferred Stock, except that the original issue price per share and the conversion price per share of the Series C Preferred Stock is $78.08578.</w:t>
      </w:r>
    </w:p>
    <w:p>
      <w:pPr>
        <w:spacing w:after="0" w:line="40"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In July 2021, the Company filed an amended and restated certificate of incorporation, which increased the Company’s authority to issue (i) 150,000,000 shares of common stock and (ii) 16,944,484 shares of Preferred Stock. In August 2021, in connection with the closing of the IPO, the Company filed an amended and restated certificate of incorporation to, among other things: (i) increase the number of authorized shares of common stock from 150,000,000 shares to 1,000,000,000 shares, (ii) eliminate all references to the previously existing series of convertible preferred stock and (iii) authorize 10,000,000 shares of undesignated preferred stock that may be issued from time to time by the Company’s board of directors in one or more series.</w:t>
      </w:r>
    </w:p>
    <w:p>
      <w:pPr>
        <w:spacing w:after="0" w:line="87"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Upon issuance of each series of Preferred Stock, the Company assessed the embedded conversion and liquidation features of the securities and determined that such features did not require the Company to separately account for these features. The Company also concluded that no beneficial conversion feature existed on the issuance date of each series of Preferred Stock.</w:t>
      </w:r>
    </w:p>
    <w:p>
      <w:pPr>
        <w:spacing w:after="0" w:line="8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Upon the closing of the Company’s IPO in August 2021, all shares of the Company’s convertible preferred stock then outstanding converted into 84,722,420 shares of common stock (see Note 10).</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Common Stock</w:t>
      </w:r>
    </w:p>
    <w:p>
      <w:pPr>
        <w:spacing w:after="0" w:line="121"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The voting, dividend and liquidation rights of the holders of shares of the Company’s common stock were subject to and qualified by the rights, powers and preferences of the holders of the Preferred Stock set forth above and described in the Company’s final prospectus related to the IPO filed with the SEC pursuant to Rule 424(b)(4) under the Securities Act of 1933, as amended (the “Securities Act”) on August 6, 2021.</w:t>
      </w:r>
    </w:p>
    <w:p>
      <w:pPr>
        <w:spacing w:after="0" w:line="82"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In June 2020, the Company issued and sold 21,250,000 shares of its common stock to Adimab upon formation of the Company for $0.00002 per share. In July 2020, such shares of common stock were repurchased by the Company from Adimab contemporaneous with the execution of the Adimab Assignment Agreement, pursuant to which the Company acquired certain intellectual property rights in exchange for the issuance of 5,000,000 shares of its Series A Preferred Stock. As of September 30, 2022 and December 31, 2021 the 21,250,000 shares of common stock repurchased from Adimab were retired and redesignated as authorized but unissued shares of the Company’s common stock. The fair value of the repurchased common stock was $0.004 per share, or $85,000 in the aggregate, as determined based on a third-party valuation (see Note 7).</w:t>
      </w:r>
    </w:p>
    <w:p>
      <w:pPr>
        <w:spacing w:after="0" w:line="7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April 2021, the Company increased the number of shares of common stock authorized for issuance from 19,000,000 to 23,251,555 shares and increased the number of shares of preferred stock authorized for issuance from 12,647,934 to 16,944,484 shares, of which 4,296,550 shares were designated as Series C Preferred Stock.</w:t>
      </w:r>
    </w:p>
    <w:p>
      <w:pPr>
        <w:spacing w:after="0" w:line="61"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As described in Note 9 above, in July 2021, the Company filed an amended and restated certificate of incorporation, which increased the Company’s authority to issue 150,000,000 shares of common stock. In August 2021, in connection with the closing of the IPO, the Company filed an amended and restated certificate of incorporation to, among other things, increase the number of authorized shares of common stock from 150,000,000 shares to 1,000,000,000 shares.</w:t>
      </w:r>
    </w:p>
    <w:p>
      <w:pPr>
        <w:spacing w:after="0" w:line="83"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As of September 30, 2022, the Company had reserved 44,251,299 shares of common stock for the exercise of outstanding stock options and the issuance of awards available for grant under the Company’s 2020 Equity Incentive Plan, 2021 Equity Incentive Plan and 2021 Employee Stock Purchase Plan (see Note 11).</w:t>
      </w:r>
    </w:p>
    <w:p>
      <w:pPr>
        <w:spacing w:after="0" w:line="82"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On September 28, 2022, the Company filed a shelf registration statement on Form S-3 with the Securities and Exchange Commission (the “SEC”) (File No. 333-267643) and accompanying base prospectus, which was declared effective by the SEC on October 5, 2022, for the offer and sale of up to $400 million of the Company’s securities.</w:t>
      </w:r>
    </w:p>
    <w:p>
      <w:pPr>
        <w:spacing w:after="0" w:line="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April and May 2021, the Company retired an aggregate of 22,600,000 shares of common stock held in treasury. Upon retirement, the shares were redesignated as authorized but unissued shares of the Company’s common stock.</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November 2021, the Company repurchased 468,751 shares of unvested restricted common stock at the original purchase price upon a termination of service during the vesting period. As of December 31, 2021, the shares of common stock repurchased were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2" w:name="page23"/>
    <w:bookmarkEnd w:id="22"/>
    <w:p>
      <w:pPr>
        <w:jc w:val="both"/>
        <w:spacing w:after="0" w:line="282" w:lineRule="auto"/>
        <w:rPr>
          <w:sz w:val="20"/>
          <w:szCs w:val="20"/>
          <w:color w:val="auto"/>
        </w:rPr>
      </w:pPr>
      <w:r>
        <w:rPr>
          <w:rFonts w:ascii="Times New Roman" w:cs="Times New Roman" w:eastAsia="Times New Roman" w:hAnsi="Times New Roman"/>
          <w:sz w:val="18"/>
          <w:szCs w:val="18"/>
          <w:color w:val="auto"/>
        </w:rPr>
        <w:t>recorded as treasury stock in the accompanying consolidated balance sheets and consolidated statements of convertible preferred stock and stockholders’ equity (deficit) as such shares were not retired. The fair value of the repurchased common stock was insignificant.</w:t>
      </w:r>
    </w:p>
    <w:p>
      <w:pPr>
        <w:spacing w:after="0" w:line="40"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In February and June 2022, the Company repurchased 1,158,089 and 992,648 shares of unvested restricted common stock, respectively, at the original purchase price upon a termination of service during the vesting period. The shares of common stock repurchased were recorded as treasury stock in the accompanying condensed consolidated balance sheets and consolidated statements of convertible preferred stock and stockholders’ equity (deficit) as such shares were not retired. The fair value of the repurchased common stock was insignificant.</w:t>
      </w:r>
    </w:p>
    <w:p>
      <w:pPr>
        <w:spacing w:after="0" w:line="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March and September 2022, the Company retired an aggregate of 1,626,840 and 992,648 shares of common stock, respectively, held in treasury.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retirement, the shares were redesignated as authorized but unissued shares of the Company’s common stock.</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Split</w:t>
      </w:r>
    </w:p>
    <w:p>
      <w:pPr>
        <w:spacing w:after="0" w:line="108"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In July 2021, the Company effected a five-for-one stock split of its issued and outstanding shares of common stock and a proportional adjustment to the existing conversion ratios of each series of the Company’s preferred stock (see Note 9). Accordingly, all share and per share amounts for all periods presented in the accompanying condensed consolidated financial statements and notes thereto have been adjusted retroactively, where applicable, to reflect this stock split and adjustment of the Preferred Stock conversion ratios.</w:t>
      </w:r>
    </w:p>
    <w:p>
      <w:pPr>
        <w:spacing w:after="0" w:line="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w:t>
      </w:r>
    </w:p>
    <w:p>
      <w:pPr>
        <w:spacing w:after="0" w:line="121"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In August 2021, the Company completed its IPO, pursuant to which it issued and sold 20,930,000 shares of its common stock at an initial public offering price of $17.00 per share, including 2,730,000 shares of its common stock pursuant to the full exercise of the underwriters’ option to purchase additional shares. The aggregate net proceeds received by the Company from the IPO were approximately $327.5 million, after deducting underwriting discounts and commissions and offering expenses payable by the Company. Upon the closing of the IPO, all of the shares of the Company’s convertible preferred stock then outstanding converted into 84,722,420 shares of common stock. Upon the conversion of the convertible preferred stock, the Company reclassified the carrying value of the convertible preferred stock to common stock (at par value) and additional paid-in capital.</w:t>
      </w:r>
    </w:p>
    <w:p>
      <w:pPr>
        <w:spacing w:after="0" w:line="83" w:lineRule="exact"/>
        <w:rPr>
          <w:sz w:val="20"/>
          <w:szCs w:val="20"/>
          <w:color w:val="auto"/>
        </w:rPr>
      </w:pPr>
    </w:p>
    <w:p>
      <w:pPr>
        <w:ind w:left="520" w:right="8700" w:hanging="512"/>
        <w:spacing w:after="0" w:line="383" w:lineRule="auto"/>
        <w:tabs>
          <w:tab w:leader="none" w:pos="271"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Stock-Based Compensation </w:t>
      </w:r>
      <w:r>
        <w:rPr>
          <w:rFonts w:ascii="Times New Roman" w:cs="Times New Roman" w:eastAsia="Times New Roman" w:hAnsi="Times New Roman"/>
          <w:sz w:val="17"/>
          <w:szCs w:val="17"/>
          <w:b w:val="1"/>
          <w:bCs w:val="1"/>
          <w:i w:val="1"/>
          <w:iCs w:val="1"/>
          <w:color w:val="auto"/>
        </w:rPr>
        <w:t>2020 Equity Incentive Plan</w:t>
      </w:r>
    </w:p>
    <w:p>
      <w:pPr>
        <w:spacing w:after="0" w:line="1"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The Company’s 2020 Equity Incentive Plan (the “2020 Plan”) provides for the Company to grant incentive stock options, non-qualified stock options, restricted stock awards, restricted stock units and other stock-based awards to employees, members of the board of directors and consultants. The 2020 Plan is administered by the board of directors or, at the discretion of the board of directors, by a committee of the board of directors. The board of directors may also delegate to one or more officers of the Company the power to grant awards to employees and certain officers of the Company. The exercise prices, vesting and other restrictions are determined at the discretion of the board of directors, or its committee or any such officer if so delegated.</w:t>
      </w:r>
    </w:p>
    <w:p>
      <w:pPr>
        <w:spacing w:after="0" w:line="87"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The exercise price for stock options granted may not be less than the fair market value of the Company’s common stock on the date of grant, as determined by the board of directors, or at least 110% of the fair market value of the Company’s common stock on the date of grant in the case of an incentive stock option granted to an employee who owns stock representing more than 10% of the voting power of all classes of stock as determined by the board of directors as of the date of grant. Prior to the IPO, the Company’s board of directors determined the fair value of the Company’s common stock, taking into consideration its most recently available valuation of common stock performed by third parties as well as additional factors which may have changed since the date of the most recent contemporaneous valuation through the date of grant. Stock options granted under the 2020 Plan expire after ten years and typically vest over a four-year period with the first 25% vesting upon the first anniversary of a specified vesting commencement date and the remainder vesting in 36 equal monthly installments over the succeeding three years, contingent on the recipient’s continued employment or service. Certain awards of stock options permit the holders to exercise the option in whole or in part prior to the full vesting of the option in exchange for unvested shares of restricted common stock with respect to any unvested portion of the option so exercised.</w:t>
      </w:r>
    </w:p>
    <w:p>
      <w:pPr>
        <w:spacing w:after="0" w:line="78"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As of September 30, 2022, there were 11,173,557 shares authorized to be issued upon the exercise of outstanding stock option grants and no shares reserved for future issuance under the 2020 Plan.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3" w:name="page24"/>
    <w:bookmarkEnd w:id="23"/>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2021 Equity Incentive Plan</w:t>
      </w:r>
    </w:p>
    <w:p>
      <w:pPr>
        <w:spacing w:after="0" w:line="121" w:lineRule="exact"/>
        <w:rPr>
          <w:sz w:val="20"/>
          <w:szCs w:val="20"/>
          <w:color w:val="auto"/>
        </w:rPr>
      </w:pPr>
    </w:p>
    <w:p>
      <w:pPr>
        <w:jc w:val="both"/>
        <w:ind w:right="60" w:firstLine="509"/>
        <w:spacing w:after="0" w:line="242" w:lineRule="auto"/>
        <w:rPr>
          <w:sz w:val="20"/>
          <w:szCs w:val="20"/>
          <w:color w:val="auto"/>
        </w:rPr>
      </w:pPr>
      <w:r>
        <w:rPr>
          <w:rFonts w:ascii="Times New Roman" w:cs="Times New Roman" w:eastAsia="Times New Roman" w:hAnsi="Times New Roman"/>
          <w:sz w:val="18"/>
          <w:szCs w:val="18"/>
          <w:color w:val="auto"/>
        </w:rPr>
        <w:t>In July 2021, the Company’s board of directors adopted, and its stockholders approved, the 2021 Equity Incentive Plan (the “2021 Plan”), which became effective immediately prior to and contingent upon the execution of the underwriting agreement related to the Company’s IPO. The 2021 Plan provides for the grant of incentive stock options, non-statutory stock options, stock appreciation rights, restricted stock awards, restricted stock units and other stock-based awards. The number of shares reserved for issuance under the 2021 Plan was equal to 35,075,122, which is the sum of 11,413,572 new shares; plus the number of shares (not to exceed 23,661,550 shares), which represents (i) the number of shares that remained available for issuance under the 2020 Plan, at the time the 2021 Plan became effective, and (ii) any shares subject to outstanding stock options or other stock awards that were granted under the 2020 Plan that are forfeited, terminate, expire or are otherwise not issued. In addition, the number of shares of the Company’s common stock reserved for issuance under the 2021 Plan will automatically increase on the first day of each calendar year, beginning on January 1, 2022 and continuing through January 1, 2031, in an amount equal to 5% of the shares of common stock outstanding on the last day of the calendar month before the date of each automatic increase, or a lesser number of shares determined by the board of directors. On January 1, 2022, 5,539,145 shares of common stock were automatically added to the shares authorized for issuance under the 2021 Plan pursuant to the terms of the 2021 Plan. The shares of common stock underlying any awards that are forfeited, cancelled, held back upon exercise or settlement of an award to satisfy the exercise price or tax withholding, repurchased or are otherwise terminated by the Company under the 2021 Plan will be added back to the shares of common stock available for issuance under the 2021 Plan.</w:t>
      </w:r>
    </w:p>
    <w:p>
      <w:pPr>
        <w:spacing w:after="0" w:line="75" w:lineRule="exact"/>
        <w:rPr>
          <w:sz w:val="20"/>
          <w:szCs w:val="20"/>
          <w:color w:val="auto"/>
        </w:rPr>
      </w:pPr>
    </w:p>
    <w:p>
      <w:pPr>
        <w:jc w:val="both"/>
        <w:ind w:right="60" w:firstLine="509"/>
        <w:spacing w:after="0" w:line="258" w:lineRule="auto"/>
        <w:rPr>
          <w:sz w:val="20"/>
          <w:szCs w:val="20"/>
          <w:color w:val="auto"/>
        </w:rPr>
      </w:pPr>
      <w:r>
        <w:rPr>
          <w:rFonts w:ascii="Times New Roman" w:cs="Times New Roman" w:eastAsia="Times New Roman" w:hAnsi="Times New Roman"/>
          <w:sz w:val="18"/>
          <w:szCs w:val="18"/>
          <w:color w:val="auto"/>
        </w:rPr>
        <w:t>As of September 30, 2022, there were 42,960,402 shares authorized to be issued under the 2020 Plan and the 2021 Plan, which includes 11,173,557 and 10,230,756 shares authorized to be issued upon the exercise of outstanding stock option grants from the 2020 Plan and 2021 Plan, respectively, and 0 and 21,556,089 shares reserved for future issuance under the 2020 Plan and 2021 Plan, respectively.</w:t>
      </w:r>
    </w:p>
    <w:p>
      <w:pPr>
        <w:spacing w:after="0" w:line="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 Valuation</w:t>
      </w:r>
    </w:p>
    <w:p>
      <w:pPr>
        <w:spacing w:after="0" w:line="108" w:lineRule="exact"/>
        <w:rPr>
          <w:sz w:val="20"/>
          <w:szCs w:val="20"/>
          <w:color w:val="auto"/>
        </w:rPr>
      </w:pPr>
    </w:p>
    <w:p>
      <w:pPr>
        <w:jc w:val="both"/>
        <w:ind w:right="60" w:firstLine="509"/>
        <w:spacing w:after="0" w:line="243" w:lineRule="auto"/>
        <w:rPr>
          <w:sz w:val="20"/>
          <w:szCs w:val="20"/>
          <w:color w:val="auto"/>
        </w:rPr>
      </w:pPr>
      <w:r>
        <w:rPr>
          <w:rFonts w:ascii="Times New Roman" w:cs="Times New Roman" w:eastAsia="Times New Roman" w:hAnsi="Times New Roman"/>
          <w:sz w:val="18"/>
          <w:szCs w:val="18"/>
          <w:color w:val="auto"/>
        </w:rPr>
        <w:t>The fair value of stock option grants is estimated using the Black-Scholes option-pricing model. Prior to its IPO in August 2021, the Company had been a private company. Due to the proximity to the IPO, the Company continues to lack sufficient company-specific historical and implied volatility information. Therefore, it estimates its expected stock volatility based on the historical volatility of a publicly traded set of peer companies and expects to continue to do so until such time as it has adequate historical data regarding the volatility of its own traded stock price. For options with service-based vesting conditions, the expected term of the Company’s stock options has been determined utilizing the “simplified” method.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and does not expect to pay any cash dividends in the foreseeable future.</w:t>
      </w:r>
    </w:p>
    <w:p>
      <w:pPr>
        <w:spacing w:after="0" w:line="92"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presents, on a weighted-average basis, the assumptions used in the Black-Scholes option-pricing model to determine the grant date fair value of stock options granted: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3"/>
                <w:szCs w:val="13"/>
                <w:color w:val="auto"/>
              </w:rPr>
            </w:pPr>
          </w:p>
        </w:tc>
        <w:tc>
          <w:tcPr>
            <w:tcW w:w="13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1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12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0" w:type="dxa"/>
            <w:vAlign w:val="bottom"/>
          </w:tcPr>
          <w:p>
            <w:pPr>
              <w:spacing w:after="0"/>
              <w:rPr>
                <w:sz w:val="1"/>
                <w:szCs w:val="1"/>
                <w:color w:val="auto"/>
              </w:rPr>
            </w:pPr>
          </w:p>
        </w:tc>
      </w:tr>
      <w:tr>
        <w:trPr>
          <w:trHeight w:val="148"/>
        </w:trPr>
        <w:tc>
          <w:tcPr>
            <w:tcW w:w="66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1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6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1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112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89"/>
        </w:trPr>
        <w:tc>
          <w:tcPr>
            <w:tcW w:w="666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30,</w:t>
            </w:r>
          </w:p>
        </w:tc>
        <w:tc>
          <w:tcPr>
            <w:tcW w:w="200" w:type="dxa"/>
            <w:vAlign w:val="bottom"/>
          </w:tcPr>
          <w:p>
            <w:pPr>
              <w:spacing w:after="0"/>
              <w:rPr>
                <w:sz w:val="16"/>
                <w:szCs w:val="16"/>
                <w:color w:val="auto"/>
              </w:rPr>
            </w:pPr>
          </w:p>
        </w:tc>
        <w:tc>
          <w:tcPr>
            <w:tcW w:w="11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87"/>
        </w:trPr>
        <w:tc>
          <w:tcPr>
            <w:tcW w:w="666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6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6"/>
                <w:szCs w:val="16"/>
                <w:color w:val="auto"/>
              </w:rPr>
            </w:pPr>
          </w:p>
        </w:tc>
        <w:tc>
          <w:tcPr>
            <w:tcW w:w="8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75.5 %</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73.2 %</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73.3 %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73.3 %</w:t>
            </w: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2.8 %</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1.0 %</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34"/>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1371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 Activity</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 since December 31, 2021:</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vMerge w:val="restart"/>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22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6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6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80" w:type="dxa"/>
            <w:vAlign w:val="bottom"/>
            <w:gridSpan w:val="2"/>
          </w:tcPr>
          <w:p>
            <w:pPr>
              <w:jc w:val="right"/>
              <w:ind w:right="480"/>
              <w:spacing w:after="0" w:line="160"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3"/>
                <w:szCs w:val="13"/>
                <w:color w:val="auto"/>
              </w:rPr>
            </w:pPr>
          </w:p>
        </w:tc>
        <w:tc>
          <w:tcPr>
            <w:tcW w:w="960" w:type="dxa"/>
            <w:vAlign w:val="bottom"/>
          </w:tcPr>
          <w:p>
            <w:pPr>
              <w:jc w:val="center"/>
              <w:ind w:right="97"/>
              <w:spacing w:after="0" w:line="160"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220" w:type="dxa"/>
            <w:vAlign w:val="bottom"/>
          </w:tcPr>
          <w:p>
            <w:pPr>
              <w:spacing w:after="0"/>
              <w:rPr>
                <w:sz w:val="13"/>
                <w:szCs w:val="13"/>
                <w:color w:val="auto"/>
              </w:rPr>
            </w:pPr>
          </w:p>
        </w:tc>
        <w:tc>
          <w:tcPr>
            <w:tcW w:w="12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ind w:right="59"/>
              <w:spacing w:after="0" w:line="160"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6"/>
                <w:szCs w:val="16"/>
                <w:color w:val="auto"/>
              </w:rPr>
            </w:pPr>
          </w:p>
        </w:tc>
        <w:tc>
          <w:tcPr>
            <w:tcW w:w="96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2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18,871,592</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8,618,759</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252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(273,353 )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25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(5,812,685 )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2022</w:t>
            </w:r>
          </w:p>
        </w:tc>
        <w:tc>
          <w:tcPr>
            <w:tcW w:w="11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21,404,313</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4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38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6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Vested and expected to vest at September 30, 2022</w:t>
            </w:r>
          </w:p>
        </w:tc>
        <w:tc>
          <w:tcPr>
            <w:tcW w:w="2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21,404,313</w:t>
            </w:r>
          </w:p>
        </w:tc>
        <w:tc>
          <w:tcPr>
            <w:tcW w:w="26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8.31</w:t>
            </w:r>
          </w:p>
        </w:tc>
        <w:tc>
          <w:tcPr>
            <w:tcW w:w="14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c>
          <w:tcPr>
            <w:tcW w:w="3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exercisable at September 30, 2022</w:t>
            </w:r>
          </w:p>
        </w:tc>
        <w:tc>
          <w:tcPr>
            <w:tcW w:w="2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5,648,666</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634"/>
        </w:trPr>
        <w:tc>
          <w:tcPr>
            <w:tcW w:w="46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6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-770890</wp:posOffset>
            </wp:positionV>
            <wp:extent cx="77470" cy="1625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428" w:right="279" w:bottom="1440" w:gutter="0" w:footer="0" w:header="0"/>
        </w:sectPr>
      </w:pPr>
    </w:p>
    <w:bookmarkStart w:id="24" w:name="page25"/>
    <w:bookmarkEnd w:id="24"/>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The weighted-average grant date fair value of stock options granted during the three and nine months ended September 30, 2022 was $2.28 and $3.50, respectively, per share. The weighted-average grant date fair value of stock options granted during the three and nine months ended September 30, 2021 was $9.03 and $6.51, respectively, per share.</w:t>
      </w:r>
    </w:p>
    <w:p>
      <w:pPr>
        <w:spacing w:after="0" w:line="82"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aggregate intrinsic value is calculated as the difference between the exercise price of the underlying options and the fair market value of the common stock for the options that were in the money at September 30, 2022 and December 31, 2021.</w:t>
      </w:r>
    </w:p>
    <w:p>
      <w:pPr>
        <w:spacing w:after="0" w:line="54"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total intrinsic value of stock options exercised was $0.4 million and $1.0 million for the three and nine months ended September 30, 2022, respectively.</w:t>
      </w:r>
    </w:p>
    <w:p>
      <w:pPr>
        <w:spacing w:after="0" w:line="40"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In July 2022, David Hering, M.B.A. was appointed as the Company's Chief Executive Officer and as a Class III director on the Board of Directors. In conjunction with Mr. Hering's appointment as Chief Executive Officer, he was granted a stock option to purchase 2,000,000 shares of common stock, which will vest monthly in equal installments over 48 months. Mr. Hering is also eligible to receive an additional stock option to purchase up to 1,000,000 shares of common stock (the "Additional Option Grant") if certain goals approved by the Board of Directors, on the recommendation of the Compensation Committee, are achieved on or prior to December 31, 2022, with such achievement to be determined by the Board of Directors, upon the recommendation of the Compensation Committee. If such performance goals are partially achieved on or prior to December 31, 2022, then Mr. Hering may receive a partial amount of the Additional Option Grant, with such partial amount to be determined by the Board of Directors, in its sole and absolute discretion. If approved and granted, the Additional Option Grant would vest monthly in equal installments over a 48-month period commencing on the applicable grant date.</w:t>
      </w:r>
    </w:p>
    <w:p>
      <w:pPr>
        <w:spacing w:after="0" w:line="2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Early Exercise of Stock Options into Restricted Stock</w:t>
      </w:r>
    </w:p>
    <w:p>
      <w:pPr>
        <w:spacing w:after="0" w:line="108"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The Company’s restricted stock activity during the nine months ended September 30, 2022 is solely due to shares of restricted common stock issued pursuant to the permitted early exercise of stock options. Shares of common stock issued upon exercise of unvested stock options are restricted and continue to vest in accordance with the original vesting schedule applicable to the associated stock option award. The Company has the right to repurchase any unvested shares of restricted common stock, at the original purchase price, upon any voluntary or involuntary termination of the service relationship during the vesting period.</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 summary of the Company’s unvested common stock from option early exercises that is subject to repurchase by the Company is as follows: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3"/>
                <w:szCs w:val="13"/>
                <w:color w:val="auto"/>
              </w:rPr>
            </w:pPr>
          </w:p>
        </w:tc>
        <w:tc>
          <w:tcPr>
            <w:tcW w:w="200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187"/>
        </w:trPr>
        <w:tc>
          <w:tcPr>
            <w:tcW w:w="9240" w:type="dxa"/>
            <w:vAlign w:val="bottom"/>
          </w:tcPr>
          <w:p>
            <w:pPr>
              <w:spacing w:after="0"/>
              <w:rPr>
                <w:sz w:val="16"/>
                <w:szCs w:val="16"/>
                <w:color w:val="auto"/>
              </w:rPr>
            </w:pPr>
          </w:p>
        </w:tc>
        <w:tc>
          <w:tcPr>
            <w:tcW w:w="200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of Shares</w:t>
            </w:r>
          </w:p>
        </w:tc>
      </w:tr>
      <w:tr>
        <w:trPr>
          <w:trHeight w:val="210"/>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restricted stock at December 31, 2021</w:t>
            </w:r>
          </w:p>
        </w:tc>
        <w:tc>
          <w:tcPr>
            <w:tcW w:w="1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3,082,175</w:t>
            </w:r>
          </w:p>
        </w:tc>
        <w:tc>
          <w:tcPr>
            <w:tcW w:w="100" w:type="dxa"/>
            <w:vAlign w:val="bottom"/>
            <w:shd w:val="clear" w:color="auto" w:fill="CFF0FC"/>
          </w:tcPr>
          <w:p>
            <w:pPr>
              <w:spacing w:after="0"/>
              <w:rPr>
                <w:sz w:val="18"/>
                <w:szCs w:val="18"/>
                <w:color w:val="auto"/>
              </w:rPr>
            </w:pPr>
          </w:p>
        </w:tc>
      </w:tr>
      <w:tr>
        <w:trPr>
          <w:trHeight w:val="216"/>
        </w:trPr>
        <w:tc>
          <w:tcPr>
            <w:tcW w:w="9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2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2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(511,049 )</w:t>
            </w:r>
          </w:p>
        </w:tc>
      </w:tr>
      <w:tr>
        <w:trPr>
          <w:trHeight w:val="216"/>
        </w:trPr>
        <w:tc>
          <w:tcPr>
            <w:tcW w:w="9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Repurchased</w:t>
            </w:r>
          </w:p>
        </w:tc>
        <w:tc>
          <w:tcPr>
            <w:tcW w:w="2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(2,150,737 )</w:t>
            </w:r>
          </w:p>
        </w:tc>
      </w:tr>
      <w:tr>
        <w:trPr>
          <w:trHeight w:val="250"/>
        </w:trPr>
        <w:tc>
          <w:tcPr>
            <w:tcW w:w="9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restricted stock at September 30, 2022</w:t>
            </w:r>
          </w:p>
        </w:tc>
        <w:tc>
          <w:tcPr>
            <w:tcW w:w="1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420,389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Proceeds from the early exercise of stock options are recorded as an early-exercise liability on the condensed consolidated balance sheets. The liability for unvested common stock subject to repurchase is then reclassified to common stock and additional paid-in capital as the Company’s repurchase right lapses. Shares issued pursuant to the early exercise of stock options are not considered to be outstanding for accounting purposes until the shares vest. As of September 30, 2022 and December 31, 2021 the liability related to the payments for unvested shares from early-exercised options was less than $0.1 million.</w:t>
      </w:r>
    </w:p>
    <w:p>
      <w:pPr>
        <w:spacing w:after="0" w:line="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0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recorded stock-based compensation expense (service-based stock options and employee stock purchase plan) in the following expense categories of its condensed consolidated statements of operations and comprehensive loss (in thousands):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4"/>
                <w:szCs w:val="14"/>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4"/>
                <w:szCs w:val="14"/>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80" w:type="dxa"/>
            <w:vAlign w:val="bottom"/>
          </w:tcPr>
          <w:p>
            <w:pPr>
              <w:spacing w:after="0"/>
              <w:rPr>
                <w:sz w:val="14"/>
                <w:szCs w:val="14"/>
                <w:color w:val="auto"/>
              </w:rPr>
            </w:pP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4"/>
                <w:szCs w:val="14"/>
                <w:color w:val="auto"/>
              </w:rPr>
            </w:pPr>
          </w:p>
        </w:tc>
      </w:tr>
      <w:tr>
        <w:trPr>
          <w:trHeight w:val="162"/>
        </w:trPr>
        <w:tc>
          <w:tcPr>
            <w:tcW w:w="4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4"/>
                <w:szCs w:val="14"/>
                <w:color w:val="auto"/>
              </w:rPr>
            </w:pPr>
          </w:p>
        </w:tc>
      </w:tr>
      <w:tr>
        <w:trPr>
          <w:trHeight w:val="187"/>
        </w:trPr>
        <w:tc>
          <w:tcPr>
            <w:tcW w:w="46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6"/>
                <w:szCs w:val="16"/>
                <w:color w:val="auto"/>
              </w:rPr>
            </w:pPr>
          </w:p>
        </w:tc>
      </w:tr>
      <w:tr>
        <w:trPr>
          <w:trHeight w:val="210"/>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3,419</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9,954</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3,582</w:t>
            </w:r>
          </w:p>
        </w:tc>
        <w:tc>
          <w:tcPr>
            <w:tcW w:w="100" w:type="dxa"/>
            <w:vAlign w:val="bottom"/>
            <w:shd w:val="clear" w:color="auto" w:fill="CFF0FC"/>
          </w:tcPr>
          <w:p>
            <w:pPr>
              <w:spacing w:after="0"/>
              <w:rPr>
                <w:sz w:val="18"/>
                <w:szCs w:val="18"/>
                <w:color w:val="auto"/>
              </w:rPr>
            </w:pP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3,980</w:t>
            </w: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3,828</w:t>
            </w: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5,789</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6,326</w:t>
            </w:r>
          </w:p>
        </w:tc>
        <w:tc>
          <w:tcPr>
            <w:tcW w:w="100" w:type="dxa"/>
            <w:vAlign w:val="bottom"/>
          </w:tcPr>
          <w:p>
            <w:pPr>
              <w:spacing w:after="0"/>
              <w:rPr>
                <w:sz w:val="18"/>
                <w:szCs w:val="18"/>
                <w:color w:val="auto"/>
              </w:rPr>
            </w:pPr>
          </w:p>
        </w:tc>
      </w:tr>
      <w:tr>
        <w:trPr>
          <w:trHeight w:val="250"/>
        </w:trPr>
        <w:tc>
          <w:tcPr>
            <w:tcW w:w="46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7,399</w:t>
            </w:r>
          </w:p>
        </w:tc>
        <w:tc>
          <w:tcPr>
            <w:tcW w:w="3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5,979</w:t>
            </w:r>
          </w:p>
        </w:tc>
        <w:tc>
          <w:tcPr>
            <w:tcW w:w="3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15,743</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-24765</wp:posOffset>
            </wp:positionV>
            <wp:extent cx="7747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-7620</wp:posOffset>
            </wp:positionV>
            <wp:extent cx="7747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-24765</wp:posOffset>
            </wp:positionV>
            <wp:extent cx="7747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-7620</wp:posOffset>
            </wp:positionV>
            <wp:extent cx="7747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43"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In February 2022, Tillman U. Gerngross, Ph.D., resigned as Chief Executive Officer and President and as a member of the Company's board of directors. In accordance with his resignation, Dr. Gerngross's outstanding stock options were forfeited, resulting in a reversal of selling, general and administrative related stock-based compensation expense of approximately $4.6 million.</w:t>
      </w:r>
    </w:p>
    <w:p>
      <w:pPr>
        <w:spacing w:after="0" w:line="8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September 30, 2022, total unrecognized stock-based compensation expense related to unvested stock-based awards was $82.5 million, which is expected to be recognized over a weighted-average period of 2.9 years.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25" w:name="page26"/>
    <w:bookmarkEnd w:id="25"/>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2021 Employee Stock Purchase Plan</w:t>
      </w:r>
    </w:p>
    <w:p>
      <w:pPr>
        <w:spacing w:after="0" w:line="121"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In July 2021, the Company’s board of directors adopted, and its stockholders approved, the 2021 Employee Stock Purchase Plan (the ‘‘2021 ESPP’’), which became effective immediately prior to and contingent upon the execution of the underwriting agreement related to the Company’s IPO. A total of 1,342,773 shares of common stock were initially reserved for issuance under the 2021 ESPP. There were 51,876 shares issued under the 2021 ESPP as of September 30, 2022. The number of shares of common stock that may be issued under the 2021 ESPP will automatically increase on the first day of each calendar year, beginning on January 1, 2022 and continuing through January 1, 2031, by an amount equal to the lesser of (i) 1% of the shares of common stock outstanding on the last day of the calendar month before the date of each automatic increase, (ii) 2,685,546 shares and (iii) an amount determined by the Company’s board of directors. The number of shares to be issued under the 2021 ESPP did not increase on January 1, 2022 as determined by the Company's board of directors. The first offering under the 2021 ESPP was June 6, 2022. As of September 30, 2022, 1,290,897 shares remained available for issuance under the 2021 ESPP. During both the three and nine months ended September 30, 2022, the Company recognized less than $0.1 million in related stock-based compensation expense.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0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For the three and nine months ended September 30, 2022 and 2021, the Company recorded no income tax benefits for the net operating losses incurred or for the research and development tax credits generated in each period, due to its uncertainty of realizing a benefit from those items. Substantially all of the Company’s operating losses since inception have been generated in the United States.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Defined Contribution Plan</w:t>
      </w:r>
    </w:p>
    <w:p>
      <w:pPr>
        <w:spacing w:after="0" w:line="108"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8"/>
          <w:szCs w:val="18"/>
          <w:color w:val="auto"/>
        </w:rPr>
        <w:t>The Company maintains a 401(k) Plan (the “401(k) Plan”) for the benefit of eligible employees. The 401(k) Plan is a defined contribution plan under Section 401(k) of the Internal Revenue Code of 1986 that covers all employees who meet defined minimum age and service requirements and allows participants to defer a portion of their annual compensation on a pre-tax basis. Pursuant to the terms of the 401(k) Plan, the Company is required to make non-elective contributions of 3% of eligible participants’ compensation. For the three and nine months ended September 30, 2022, the Company contributed $0.2 million and $0.6 million, respectively, to the 401(k) Plan. For the three and nine months ended September 30, 2021, the Company contributed $0.2 million and $0.4 million, respectively, to the 401(k) Plan.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Net Loss per Share</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was calculated as follows (in thousands, except share and per share amounts):</w:t>
      </w: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301"/>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00" w:type="dxa"/>
            <w:vAlign w:val="bottom"/>
          </w:tcPr>
          <w:p>
            <w:pPr>
              <w:spacing w:after="0"/>
              <w:rPr>
                <w:sz w:val="14"/>
                <w:szCs w:val="14"/>
                <w:color w:val="auto"/>
              </w:rPr>
            </w:pPr>
          </w:p>
        </w:tc>
        <w:tc>
          <w:tcPr>
            <w:tcW w:w="1260" w:type="dxa"/>
            <w:vAlign w:val="bottom"/>
            <w:gridSpan w:val="2"/>
          </w:tcPr>
          <w:p>
            <w:pPr>
              <w:jc w:val="center"/>
              <w:ind w:right="281"/>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20" w:type="dxa"/>
            <w:vAlign w:val="bottom"/>
          </w:tcPr>
          <w:p>
            <w:pPr>
              <w:spacing w:after="0"/>
              <w:rPr>
                <w:sz w:val="14"/>
                <w:szCs w:val="14"/>
                <w:color w:val="auto"/>
              </w:rPr>
            </w:pPr>
          </w:p>
        </w:tc>
        <w:tc>
          <w:tcPr>
            <w:tcW w:w="1220" w:type="dxa"/>
            <w:vAlign w:val="bottom"/>
            <w:gridSpan w:val="2"/>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00" w:type="dxa"/>
            <w:vAlign w:val="bottom"/>
          </w:tcPr>
          <w:p>
            <w:pPr>
              <w:spacing w:after="0"/>
              <w:rPr>
                <w:sz w:val="14"/>
                <w:szCs w:val="14"/>
                <w:color w:val="auto"/>
              </w:rPr>
            </w:pPr>
          </w:p>
        </w:tc>
        <w:tc>
          <w:tcPr>
            <w:tcW w:w="1060" w:type="dxa"/>
            <w:vAlign w:val="bottom"/>
            <w:gridSpan w:val="2"/>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Nine Months</w:t>
            </w:r>
          </w:p>
        </w:tc>
      </w:tr>
      <w:tr>
        <w:trPr>
          <w:trHeight w:val="149"/>
        </w:trPr>
        <w:tc>
          <w:tcPr>
            <w:tcW w:w="5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261"/>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2"/>
                <w:szCs w:val="12"/>
                <w:color w:val="auto"/>
              </w:rPr>
            </w:pPr>
          </w:p>
        </w:tc>
        <w:tc>
          <w:tcPr>
            <w:tcW w:w="1260" w:type="dxa"/>
            <w:vAlign w:val="bottom"/>
            <w:gridSpan w:val="2"/>
          </w:tcPr>
          <w:p>
            <w:pPr>
              <w:jc w:val="center"/>
              <w:ind w:right="261"/>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3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Ended September</w:t>
            </w:r>
          </w:p>
        </w:tc>
        <w:tc>
          <w:tcPr>
            <w:tcW w:w="100" w:type="dxa"/>
            <w:vAlign w:val="bottom"/>
          </w:tcPr>
          <w:p>
            <w:pPr>
              <w:spacing w:after="0"/>
              <w:rPr>
                <w:sz w:val="12"/>
                <w:szCs w:val="12"/>
                <w:color w:val="auto"/>
              </w:rPr>
            </w:pPr>
          </w:p>
        </w:tc>
        <w:tc>
          <w:tcPr>
            <w:tcW w:w="1060" w:type="dxa"/>
            <w:vAlign w:val="bottom"/>
            <w:gridSpan w:val="2"/>
          </w:tcPr>
          <w:p>
            <w:pPr>
              <w:jc w:val="center"/>
              <w:ind w:right="181"/>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75"/>
        </w:trPr>
        <w:tc>
          <w:tcPr>
            <w:tcW w:w="5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26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5"/>
                <w:szCs w:val="15"/>
                <w:color w:val="auto"/>
              </w:rPr>
            </w:pPr>
          </w:p>
        </w:tc>
        <w:tc>
          <w:tcPr>
            <w:tcW w:w="1260" w:type="dxa"/>
            <w:vAlign w:val="bottom"/>
            <w:gridSpan w:val="2"/>
          </w:tcPr>
          <w:p>
            <w:pPr>
              <w:jc w:val="center"/>
              <w:ind w:right="26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5"/>
                <w:szCs w:val="15"/>
                <w:color w:val="auto"/>
              </w:rPr>
            </w:pPr>
          </w:p>
        </w:tc>
        <w:tc>
          <w:tcPr>
            <w:tcW w:w="100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30,</w:t>
            </w:r>
          </w:p>
        </w:tc>
        <w:tc>
          <w:tcPr>
            <w:tcW w:w="220" w:type="dxa"/>
            <w:vAlign w:val="bottom"/>
          </w:tcPr>
          <w:p>
            <w:pPr>
              <w:spacing w:after="0"/>
              <w:rPr>
                <w:sz w:val="15"/>
                <w:szCs w:val="15"/>
                <w:color w:val="auto"/>
              </w:rPr>
            </w:pPr>
          </w:p>
        </w:tc>
        <w:tc>
          <w:tcPr>
            <w:tcW w:w="1160" w:type="dxa"/>
            <w:vAlign w:val="bottom"/>
            <w:gridSpan w:val="3"/>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87"/>
        </w:trPr>
        <w:tc>
          <w:tcPr>
            <w:tcW w:w="58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6"/>
                <w:szCs w:val="16"/>
                <w:color w:val="auto"/>
              </w:rPr>
            </w:pPr>
          </w:p>
        </w:tc>
      </w:tr>
      <w:tr>
        <w:trPr>
          <w:trHeight w:val="210"/>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(45,087 )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(60,375 )</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(196,743 )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(143,748 )</w:t>
            </w:r>
          </w:p>
        </w:tc>
      </w:tr>
      <w:tr>
        <w:trPr>
          <w:trHeight w:val="20"/>
        </w:trPr>
        <w:tc>
          <w:tcPr>
            <w:tcW w:w="5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8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108,420,674</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61,297,086</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108,154,397</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20,346,771</w:t>
            </w:r>
          </w:p>
        </w:tc>
        <w:tc>
          <w:tcPr>
            <w:tcW w:w="100" w:type="dxa"/>
            <w:vAlign w:val="bottom"/>
          </w:tcPr>
          <w:p>
            <w:pPr>
              <w:spacing w:after="0"/>
              <w:rPr>
                <w:sz w:val="18"/>
                <w:szCs w:val="18"/>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584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1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(0.42</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(0.98</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auto"/>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(1.82</w:t>
            </w:r>
          </w:p>
        </w:tc>
        <w:tc>
          <w:tcPr>
            <w:tcW w:w="220" w:type="dxa"/>
            <w:vAlign w:val="bottom"/>
            <w:tcBorders>
              <w:bottom w:val="single" w:sz="8" w:color="CFF0FC"/>
            </w:tcBorders>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(7.06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-25400</wp:posOffset>
            </wp:positionV>
            <wp:extent cx="7747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-8255</wp:posOffset>
            </wp:positionV>
            <wp:extent cx="7747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-25400</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-8255</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-25400</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-8255</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-25400</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-8255</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4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Shares of unvested restricted common stock are not considered outstanding for accounting purposes until vested and were excluded from the calculations of basic net loss per share attributable to common stockholders for all periods presented.</w:t>
      </w:r>
    </w:p>
    <w:p>
      <w:pPr>
        <w:spacing w:after="0" w:line="54"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The Company’s potential dilutive securities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27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and Nine Months Ended</w:t>
            </w:r>
          </w:p>
        </w:tc>
        <w:tc>
          <w:tcPr>
            <w:tcW w:w="100" w:type="dxa"/>
            <w:vAlign w:val="bottom"/>
          </w:tcPr>
          <w:p>
            <w:pPr>
              <w:spacing w:after="0"/>
              <w:rPr>
                <w:sz w:val="13"/>
                <w:szCs w:val="13"/>
                <w:color w:val="auto"/>
              </w:rPr>
            </w:pPr>
          </w:p>
        </w:tc>
      </w:tr>
      <w:tr>
        <w:trPr>
          <w:trHeight w:val="190"/>
        </w:trPr>
        <w:tc>
          <w:tcPr>
            <w:tcW w:w="426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840" w:type="dxa"/>
            <w:vAlign w:val="bottom"/>
            <w:gridSpan w:val="3"/>
          </w:tcPr>
          <w:p>
            <w:pPr>
              <w:jc w:val="center"/>
              <w:ind w:left="79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9"/>
        </w:trPr>
        <w:tc>
          <w:tcPr>
            <w:tcW w:w="4260" w:type="dxa"/>
            <w:vAlign w:val="bottom"/>
          </w:tcPr>
          <w:p>
            <w:pPr>
              <w:spacing w:after="0"/>
              <w:rPr>
                <w:sz w:val="17"/>
                <w:szCs w:val="17"/>
                <w:color w:val="auto"/>
              </w:rPr>
            </w:pPr>
          </w:p>
        </w:tc>
        <w:tc>
          <w:tcPr>
            <w:tcW w:w="5340" w:type="dxa"/>
            <w:vAlign w:val="bottom"/>
            <w:gridSpan w:val="2"/>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r>
      <w:tr>
        <w:trPr>
          <w:trHeight w:val="210"/>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4160" w:type="dxa"/>
            <w:vAlign w:val="bottom"/>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21,404,313</w:t>
            </w:r>
          </w:p>
        </w:tc>
        <w:tc>
          <w:tcPr>
            <w:tcW w:w="200" w:type="dxa"/>
            <w:vAlign w:val="bottom"/>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17,460,961</w:t>
            </w:r>
          </w:p>
        </w:tc>
        <w:tc>
          <w:tcPr>
            <w:tcW w:w="100" w:type="dxa"/>
            <w:vAlign w:val="bottom"/>
            <w:shd w:val="clear" w:color="auto" w:fill="CFF0FC"/>
          </w:tcPr>
          <w:p>
            <w:pPr>
              <w:spacing w:after="0"/>
              <w:rPr>
                <w:sz w:val="18"/>
                <w:szCs w:val="18"/>
                <w:color w:val="auto"/>
              </w:rPr>
            </w:pPr>
          </w:p>
        </w:tc>
      </w:tr>
      <w:tr>
        <w:trPr>
          <w:trHeight w:val="21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restricted common stock</w:t>
            </w:r>
          </w:p>
        </w:tc>
        <w:tc>
          <w:tcPr>
            <w:tcW w:w="5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420,389</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3,859,139</w:t>
            </w:r>
          </w:p>
        </w:tc>
        <w:tc>
          <w:tcPr>
            <w:tcW w:w="100" w:type="dxa"/>
            <w:vAlign w:val="bottom"/>
          </w:tcPr>
          <w:p>
            <w:pPr>
              <w:spacing w:after="0"/>
              <w:rPr>
                <w:sz w:val="18"/>
                <w:szCs w:val="18"/>
                <w:color w:val="auto"/>
              </w:rPr>
            </w:pPr>
          </w:p>
        </w:tc>
      </w:tr>
      <w:tr>
        <w:trPr>
          <w:trHeight w:val="250"/>
        </w:trPr>
        <w:tc>
          <w:tcPr>
            <w:tcW w:w="4260" w:type="dxa"/>
            <w:vAlign w:val="bottom"/>
            <w:tcBorders>
              <w:bottom w:val="single" w:sz="8" w:color="CFF0FC"/>
            </w:tcBorders>
            <w:shd w:val="clear" w:color="auto" w:fill="CFF0FC"/>
          </w:tcPr>
          <w:p>
            <w:pPr>
              <w:spacing w:after="0"/>
              <w:rPr>
                <w:sz w:val="21"/>
                <w:szCs w:val="21"/>
                <w:color w:val="auto"/>
              </w:rPr>
            </w:pPr>
          </w:p>
        </w:tc>
        <w:tc>
          <w:tcPr>
            <w:tcW w:w="416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21,824,702</w:t>
            </w:r>
          </w:p>
        </w:tc>
        <w:tc>
          <w:tcPr>
            <w:tcW w:w="2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top w:val="single" w:sz="8" w:color="auto"/>
              <w:bottom w:val="single" w:sz="8" w:color="auto"/>
            </w:tcBorders>
            <w:shd w:val="clear" w:color="auto" w:fill="CFF0FC"/>
          </w:tcPr>
          <w:p>
            <w:pPr>
              <w:spacing w:after="0"/>
              <w:rPr>
                <w:sz w:val="21"/>
                <w:szCs w:val="21"/>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21,320,100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629"/>
        </w:trPr>
        <w:tc>
          <w:tcPr>
            <w:tcW w:w="4260" w:type="dxa"/>
            <w:vAlign w:val="bottom"/>
          </w:tcPr>
          <w:p>
            <w:pPr>
              <w:spacing w:after="0"/>
              <w:rPr>
                <w:sz w:val="24"/>
                <w:szCs w:val="24"/>
                <w:color w:val="auto"/>
              </w:rPr>
            </w:pPr>
          </w:p>
        </w:tc>
        <w:tc>
          <w:tcPr>
            <w:tcW w:w="4160" w:type="dxa"/>
            <w:vAlign w:val="bottom"/>
          </w:tcPr>
          <w:p>
            <w:pPr>
              <w:jc w:val="right"/>
              <w:ind w:right="2616"/>
              <w:spacing w:after="0"/>
              <w:rPr>
                <w:sz w:val="20"/>
                <w:szCs w:val="20"/>
                <w:color w:val="auto"/>
              </w:rPr>
            </w:pPr>
            <w:r>
              <w:rPr>
                <w:rFonts w:ascii="Times New Roman" w:cs="Times New Roman" w:eastAsia="Times New Roman" w:hAnsi="Times New Roman"/>
                <w:sz w:val="18"/>
                <w:szCs w:val="18"/>
                <w:color w:val="auto"/>
              </w:rPr>
              <w:t>22</w:t>
            </w: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4260" w:type="dxa"/>
            <w:vAlign w:val="bottom"/>
            <w:tcBorders>
              <w:bottom w:val="single" w:sz="8" w:color="9A9A9A"/>
            </w:tcBorders>
          </w:tcPr>
          <w:p>
            <w:pPr>
              <w:spacing w:after="0"/>
              <w:rPr>
                <w:sz w:val="8"/>
                <w:szCs w:val="8"/>
                <w:color w:val="auto"/>
              </w:rPr>
            </w:pPr>
          </w:p>
        </w:tc>
        <w:tc>
          <w:tcPr>
            <w:tcW w:w="416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-513715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-496570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15. Related Party Transactions</w:t>
      </w:r>
    </w:p>
    <w:p>
      <w:pPr>
        <w:spacing w:after="0" w:line="121"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Adimab participated in the Series B Preferred Stock financing and the Series C Preferred Stock financing by purchasing 44,076 and 128,064 shares of Series B Preferred Stock and Series C Preferred Stock, respectively, for an aggregate purchase price of $2.5 million and $10.0 million, respectively (see Note 9).</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Adimab Assignment Agreement</w:t>
      </w:r>
    </w:p>
    <w:p>
      <w:pPr>
        <w:spacing w:after="0" w:line="10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Under the Adimab Assignment Agreement, Adimab, a principal stockholder of the Company, received upfront consideration in the form of Series A Preferred Stock, is entitled to receive milestone and royalty payments upon specified conditions, and receives payments from the Company for providing ongoing services under the agreement (see Note 7).</w:t>
      </w:r>
    </w:p>
    <w:p>
      <w:pPr>
        <w:spacing w:after="0" w:line="61"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During the three and nine months ended September 30, 2022, the Company did not recognize any IPR&amp;D expense in connection with milestones payable under the Adimab Assignment Agreement. During the three and nine months ended September 30, 2021, the Company recognized $4.0 million and $7.5 million, respectively, as IPR&amp;D expense in connection with milestones payable under the Adimab Assignment Agreement.</w:t>
      </w:r>
    </w:p>
    <w:p>
      <w:pPr>
        <w:spacing w:after="0" w:line="82"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During the three and nine months ended September 30, 2022, the Company recognized $0.1 million and $0.6 million, respectively, of research and development expense with respect to services performed by Adimab on the Company’s behalf under the Adimab Assignment Agreement. During the three and nine months ended September 30, 2021, the Company recognized $0.5 million and $0.9 million, respectively, of research and development expense with respect to services performed by Adimab on the Company’s behalf under the Adimab Assignment Agreement.</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Adimab Collaboration Agreement</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Under the Adimab Collaboration Agreement, the Company is obligated to pay Adimab for certain fees, milestone and royalty payments (see Note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w:t>
      </w:r>
    </w:p>
    <w:p>
      <w:pPr>
        <w:spacing w:after="0" w:line="8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During the three and nine months ended September 30, 2022, the Company recognized $1.3 million and $3.9 million, respectively, of research and development expense related to the quarterly fee. During both the three and nine months ended September 30, 2021, the Company recognized $1.3 million of research and development expense related to the quarterly fee.</w:t>
      </w:r>
    </w:p>
    <w:p>
      <w:pPr>
        <w:spacing w:after="0" w:line="61"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During the three and nine months ended September 30, 2022, the Company recognized $0.3 million and $1.3 million, respectively, of research and development expense with respect to services performed by Adimab on the Company’s behalf under the Adimab Collaboration Agreement. During both the three and nine months ended September 30, 2021, the Company recognized less than $0.1 million of research and development expense with respect to services performed by Adimab on the Company’s behalf under the Adimab Collaboration Agreement.</w:t>
      </w:r>
    </w:p>
    <w:p>
      <w:pPr>
        <w:spacing w:after="0" w:line="6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2022, the Company recognized $0 and $0.2 million, respectively, of research and development expense related to a drug delivery fee.</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both the three and nine months ended September 30, 2022, the Company recognized $1.0 million of IPR&amp;D expense related to an option exercise fee.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Adimab Platform Transfer Agreement</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During both the three and nine months ended September 30, 2022, the Company recognized $3.0 million of IPR&amp;D expense in connection with the upfront consideration payable for the rights assigned pursuant to the Adimab Platform Transfer Agreement.</w:t>
      </w:r>
    </w:p>
    <w:p>
      <w:pPr>
        <w:spacing w:after="0" w:line="5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of September 30, 2022 and December 31, 2021, $1.0 million and $0.6 million, respectively, was due to Adimab under both the Adimab Assignment Agreement and the Adimab Collaboration Agreement by the Company. As of September 30, 2022 and December 31, 2021, no amounts were due from Adimab under the Adimab Assignment Agreement or the Adimab Collaboration Agreement to the Company.</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Mithril Group</w:t>
      </w:r>
    </w:p>
    <w:p>
      <w:pPr>
        <w:spacing w:after="0" w:line="121"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In March 2022, a group of stockholders, including, among others, Adimab; Mithril II LP; M28 Capital Management LP; Polaris Venture Partners V, L.P.; and Population Health Equity Partners III, L.P., which are collectively referred to as the Mithril Group, submitted a notice of intent to nominate three directors to the Company’s board of directors at the 2022 annual meeting of stockholders. In April 2022, the Mithril Group filed definitive proxy materials with the SEC seeking election of three directors to the Company's board of directors and adoption of a non-binding resolution for director declassification.</w:t>
      </w:r>
    </w:p>
    <w:p>
      <w:pPr>
        <w:spacing w:after="0" w:line="69"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During the three and nine months ended September 30, 2022, the Company recognized $0.4 million and $1.4 million, respectively, of selling, general and administrative expense related to reimbursement costs to be paid to the Mithril Group associated with legal expenses, corporate governance matters and stockholder proposals from the Company’s 2022 annual meeting of stockholders.</w:t>
      </w:r>
    </w:p>
    <w:p>
      <w:pPr>
        <w:spacing w:after="0" w:line="8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September 30, 2022, $1.4 million was due to the Mithril Group by the Company, and no amounts were due from the Mithril Group to the Company.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consolidated financial statements and related notes appearing elsewhere in this Quarterly Report on Form 10-Q and our Annual Report on Form 10-K for the year ended December 31, 2021, filed with the Securities and Exchange Commission (“SEC”) on March 31, 2022 (as subsequently amended by Amendment No. 1 to the Company’s Annual Report on Form 10-K, filed with the SEC on April 29, 2022, the “2021 Form 10-K”). Unless the context requires otherwise, references in this Quarterly Report on Form 10-Q to “we,” “us,” and “our” refer to Invivyd, Inc. together with its consolidated subsidiaries.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Cautionary Note Regarding Forward-Looking Statements</w:t>
      </w:r>
    </w:p>
    <w:p>
      <w:pPr>
        <w:spacing w:after="0" w:line="121"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Private Securities Litigation Reform Act of 1995 and Section 21E of the Securities Exchange Act of 1934, as amended. Forward-looking statements include, but are not limited to, statements regarding our management team’s expectations, hopes, beliefs, intentions or strategies regarding the future, projections, forecasts or other characterizations of future events or circumstances, including any underlying assumptions, and are not guarantees of future performance. The words “may,” “anticipate,” “believe,” “could,” “expect,” “intends,” “might,” “plan,” “possible,” “potential,” “aim,” “predict,” “project,” “should,” “will,” “would” and similar expressions may identify forward-looking statements, but the absence of these words does not mean that a statement is not forward-looking. These statements speak only as of the date of this Quarterly Report on Form 10-Q and involve known and unknown risks, uncertainties and other important factors that may cause our actual results, performance or achievements to be materially different from any future results, performance or achievements expressed or implied by the forward-looking statements. We have based these forward-looking statements largely on our current expectations and projections about future events and financial trends that we believe may affect our business, financial condition and results of operations. These forward-looking statements include, without limitation, statements about the following:</w:t>
      </w:r>
    </w:p>
    <w:p>
      <w:pPr>
        <w:spacing w:after="0" w:line="80" w:lineRule="exact"/>
        <w:rPr>
          <w:sz w:val="20"/>
          <w:szCs w:val="20"/>
          <w:color w:val="auto"/>
        </w:rPr>
      </w:pPr>
    </w:p>
    <w:p>
      <w:pPr>
        <w:jc w:val="both"/>
        <w:ind w:left="1020" w:hanging="503"/>
        <w:spacing w:after="0" w:line="258"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results of our preclinical studies and clinical trials of our product candidates, including statements regarding the timing of our planned regulatory submissions, initiation and completion of studies or trials and related preparatory work and the period during which the results of the trials will become available, and our research and development programs;</w:t>
      </w:r>
    </w:p>
    <w:p>
      <w:pPr>
        <w:spacing w:after="0" w:line="61"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any submission of filings for regulatory approval of, and our ability to obtain and maintain regulatory approvals for, our product candidates;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manufacturing capabilities and strategy, including the scalability and commercial viability of our manufacturing methods and processes;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patients with the diseases treated by our product candidates and to enroll these patients in our clinical trials;</w:t>
      </w:r>
    </w:p>
    <w:p>
      <w:pPr>
        <w:spacing w:after="0" w:line="10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size of the patient populations, market acceptance and opportunity for and clinical utility of our product candidates, if approved for commercial use;</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scope of any approved indication for NVD200, adintrevimab, or any other product candidate;</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our product candidates;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leverage technology and our platform to identify and develop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our expenses, ongoing losses, future revenue, capital requirements and our need for or ability to obtain additional funding before we can expect to generate any revenue from product sales;</w:t>
      </w:r>
    </w:p>
    <w:p>
      <w:pPr>
        <w:spacing w:after="0" w:line="5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that we have sufficient cash resources to fund our operating expenses and capital expenditure requirements into the second quarter of 2024;</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 and the development of and projections relating to our competitors or our industry; and</w:t>
      </w:r>
    </w:p>
    <w:p>
      <w:pPr>
        <w:spacing w:after="0" w:line="10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disruptions affecting our preclinical studies or the initiation, patient enrollment, development and operation of our clinical trials, including a public health crisis, such as the outbreak of COVID-19.</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28" w:name="page29"/>
    <w:bookmarkEnd w:id="28"/>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The foregoing list of forward-looking statements is not exhaustive. You should refer to the “Risk Factors” section of this Quarterly Report on Form 10-Q for a discussion of important factors that may cause our actual results to differ materially from those expressed or implied by our forward-looking statements. Other sections of this Quarterly Report on Form 10-Q may include additional factors that could harm our business and financial performance. Moreover, we operate in an evolving environment. New risk factors and uncertainties may emerge from time to time, and it is not possible for management to predict all risk factors and uncertainties. As a result of these factors, we cannot assure you that the forward-looking statements in this Quarterly Report on Form 10-Q will prove to be accurate. Except as required by applicable law, we do not plan to publicly update or revise any forward-looking statements contained herein, whether as a result of any new information, future events, changed circumstances or otherwise. You should, however, review the factors and risks and other information we describe in the reports we file from time to time with the SEC.</w:t>
      </w:r>
    </w:p>
    <w:p>
      <w:pPr>
        <w:spacing w:after="0" w:line="71"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Because forward-looking statements are inherently subject to risks and uncertainties, some of which cannot be predicted or quantified and some of which are beyond our control, you should not rely on these forward-looking statements as predictions of future events. You should read this Quarterly Report on Form 10-Q and the documents that we reference in this Quarterly Report on Form 10-Q and have filed as exhibits to this Quarterly Report on Form 10-Q completely and with the understanding that our actual future results may be materially different from what we expect. We qualify all of our forward-looking statements by these cautionary statements.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Invivyd, Inc. is a biopharmaceutical company on a mission to protect humanity from serious viral respiratory diseases. We are developing antibodies to transcend the limits of naturally occurring immunity and provide superior protection from viral diseases, beginning with coronavirus disease 2019 ("COVID-19"). Our technology works at the intersection of evolutionary virology, predictive modeling, and antibody engineering, and is designed to identify high-quality, long-lasting antibodies with a high barrier to viral escape. With our integrated discovery platform approach, we are generating a robust pipeline of product candidates for use in both prevention and treatment of disease.</w:t>
      </w:r>
    </w:p>
    <w:p>
      <w:pPr>
        <w:spacing w:after="0" w:line="71"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 xml:space="preserve">NVD200 is a combination product of two monoclonal antibodies which demonstrated potent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neutralizing activity against prior and current SARS-CoV-2 variants of concern, including Omicron sublineages, as well as the more antigenically divergent SARS-CoV-1. This antibody combination has been selected for neutralization potency, breadth of coverage, and non-dominant epitope recognition. The antibodies in the combination target non-overlapping epitopes that are rarely targeted by endogenous neutralizing antibodies, which limits immune pressure on these sites and increases the probability of sustained utility in an evolving viral landscape. We intend to initiate clinical trials of NVD200 in the first quarter of 2023.</w:t>
      </w:r>
    </w:p>
    <w:p>
      <w:pPr>
        <w:spacing w:after="0" w:line="67"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One of the antibodies in NVD200 is a re-engineered version of adintrevimab, our investigational monoclonal antibody. Adintrevimab has demonstrated clinically meaningful results in global Phase 3 clinical trials against multiple variants of concern for the prevention and treatment of COVID-</w:t>
      </w:r>
    </w:p>
    <w:p>
      <w:pPr>
        <w:spacing w:after="0" w:line="1" w:lineRule="exact"/>
        <w:rPr>
          <w:sz w:val="20"/>
          <w:szCs w:val="20"/>
          <w:color w:val="auto"/>
        </w:rPr>
      </w:pPr>
    </w:p>
    <w:p>
      <w:pPr>
        <w:jc w:val="both"/>
        <w:ind w:firstLine="8"/>
        <w:spacing w:after="0" w:line="242" w:lineRule="auto"/>
        <w:tabs>
          <w:tab w:leader="none" w:pos="27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Due to the emergence and global spread of the Omicron variant BA.1, against which adintrevimab has reduced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neutralization potency compared to prior variants, enrollment was paused in Phase 2/3 trials in January 2022. We reported preliminary safety and efficacy data (pre-Omicron) from both our EVADE (evaluating adintrevimab for the prevention of COVID-19) and STAMP (evaluating adintrevimab for the treatment of COVID-19) trials in March 2022 and are in the process of closing both trials. We also have multiple discovery stage candidates for the prevention of seasonal influenza.</w:t>
      </w:r>
    </w:p>
    <w:p>
      <w:pPr>
        <w:spacing w:after="0" w:line="90"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COVID-19 has caused the current global pandemic that remains a significant global health crisis and has resulted in millions of deaths and lasting health problems in many survivors. We believe that COVID-19 will become an endemic disease requiring a variety of effective, safe and convenient prevention and treatment options for years to come. We are leveraging our team’s collective expertise and capabilities to deliver our COVID-19 antibodies to patients and to discover novel solutions to infectious diseases through internal research and collaborations.</w:t>
      </w:r>
    </w:p>
    <w:p>
      <w:pPr>
        <w:spacing w:after="0" w:line="69"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Adintrevimab is designed to be a potent, long-acting and broadly neutralizing antibody for both the prevention and treatment of COVID-19. Data from our Phase 1 healthy volunteer clinical trial, ADG20-1-001, confirmed the extended half-life of adintrevimab, which we believe may allow for durable protection against COVID-19, depending on the variant. In February 2022, we expanded the Phase 1 clinical trial to evaluate safety and pharmacokinetics at higher doses. As of November 3, 2022, there were no trial drug related adverse events, serious adverse events, injection-site reactions or hypersensitivity reactions reported across all dose levels evaluated.</w:t>
      </w:r>
    </w:p>
    <w:p>
      <w:pPr>
        <w:spacing w:after="0" w:line="87"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In the primary analysis population, patients infected with or exposed to a non-Omicron variant (the “pre-Omicron group”), adintrevimab met the primary objectives across all three indications, demonstrating statistically significant and clinically meaningful efficacy. In pre-exposure and post-exposure prophylaxis, adintrevimab was associated with 71% and 75% relative risk reductions compared to placebo, respectively, in the prevention of reverse transcription-polymerase chain reaction (“RT-PCR”) confirmed symptomatic COVID-19. In an exploratory analysis of patients exposed to the Omicron variant (the “post-Omicron group”) in pre-exposure prophylaxis, adintrevimab was associated with a clinically meaningful reduction in the risk of developing RT-PCR confirmed symptomatic COVID-19 compared with placebo. In treatment, adintrevimab was associated with a 66% relative risk reduction compared to placebo in the incidence COVID-19 related hospitalization or all cause death through Day 29 in the pre-Omicron group. In patients treated within three days of symptom onset, adintrevimab was associated with a reduced risk of COVID-19 hospitalization or death</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9" w:name="page30"/>
    <w:bookmarkEnd w:id="29"/>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from any cause through Day 29 by 74% compared to placebo. A preliminary analysis of available safety data in each trial revealed a safety profile similar to that of placebo for adintrevimab.</w:t>
      </w:r>
    </w:p>
    <w:p>
      <w:pPr>
        <w:spacing w:after="0" w:line="38"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8"/>
          <w:szCs w:val="18"/>
          <w:color w:val="auto"/>
        </w:rPr>
        <w:t xml:space="preserve">Adintrevimab, which has demonstrated broadly neutralizing activity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against SARS-CoV-2 variants of concern including Alpha, Beta, Delta, Gamma and Omicron BA.1, has markedly reduced neutralization activity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against the currently circulating Omicron sublineages. Based on feedback from the FDA regarding adintrevimab’s lack of neutralizing activity against the BA.2 variant, we paused the submission of an Emergency Use Authorization (“EUA”) request. We intend to continue engaging with the FDA and monitor the evolution of SARS-CoV-2 and the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activity of adintrevimab against predominant variants in the United States to determine the optimal timing for the planned EUA request. In addition, we continue engaging with other health authorities outside of the United States on potential authorization pathways for adintrevimab.</w:t>
      </w:r>
    </w:p>
    <w:p>
      <w:pPr>
        <w:spacing w:after="0" w:line="74"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We are committed to advancing adintrevimab as a potential future therapeutic option in anticipation of the emergence of new variants. More than 700,000 doses of adintrevimab have been manufactured and are available as a prophylaxis and treatment option for COVID-19 in the future, if a suitable variant arises.</w:t>
      </w:r>
    </w:p>
    <w:p>
      <w:pPr>
        <w:spacing w:after="0" w:line="82"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We plan to leverage our integrated discovery platform approach to produce candidate antibodies to develop therapeutic or preventative options for other infectious diseases, such as additional coronaviruses and influenza. We continue to evaluate product candidates for infectious diseases with high unmet medical need through in-licensing opportunities that may leverage our team’s expertise and capabilities.</w:t>
      </w:r>
    </w:p>
    <w:p>
      <w:pPr>
        <w:spacing w:after="0" w:line="82"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SARS-CoV-2 has given rise to a global pandemic that swept rapidly throughout the world beginning in 2020. Of significant current concern is the continued emergence of a number of SARS-CoV-2 variants with increased transmissibility, pathogenicity, and/or the ability to evade neutralizing antibodies. In addition to the emergence of these variants, there are multiple factors that we believe contribute to the likelihood of COVID-19 becoming an endemic threat, including: (1) viral transmission before symptom onset; (2) uneven global rollout of vaccinations; (3) ongoing vaccine hesitancy; (4) limited duration of immunity conferred by both natural infection and vaccination; (5) limited vaccine efficacy against certain SARS-CoV-2 variants; (6) uncertain impact of vaccines on transmission; and (7) variable implementation of virus mitigation behaviors, such as wearing masks and social distancing. We also believe that future pandemics similar to the COVID-19 pandemic are likely because, in many parts of the world, humans live in close proximity to animal species harboring coronaviruses that are capable of infecting humans.</w:t>
      </w:r>
    </w:p>
    <w:p>
      <w:pPr>
        <w:spacing w:after="0" w:line="65" w:lineRule="exact"/>
        <w:rPr>
          <w:sz w:val="20"/>
          <w:szCs w:val="20"/>
          <w:color w:val="auto"/>
        </w:rPr>
      </w:pPr>
    </w:p>
    <w:p>
      <w:pPr>
        <w:jc w:val="both"/>
        <w:ind w:firstLine="509"/>
        <w:spacing w:after="0" w:line="226" w:lineRule="auto"/>
        <w:rPr>
          <w:sz w:val="20"/>
          <w:szCs w:val="20"/>
          <w:color w:val="auto"/>
        </w:rPr>
      </w:pPr>
      <w:r>
        <w:rPr>
          <w:rFonts w:ascii="Times New Roman" w:cs="Times New Roman" w:eastAsia="Times New Roman" w:hAnsi="Times New Roman"/>
          <w:sz w:val="18"/>
          <w:szCs w:val="18"/>
          <w:color w:val="auto"/>
        </w:rPr>
        <w:t>Our vision is to discover, develop and commercialize differentiated products for the prevention and treatment of infectious diseases. To enable this vision, our current discovery efforts are focused on unique antibody-based product candidates that we optimize to improve breadth, potency, half-life, where applicable, and developability. Key elements that we believe differentiate our approach include: (1) recognition of the importance of and</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identification of broadly neutralizing antibodies; (2) industry-leading B cell mining, protein engineering and developability screening capabilities through our internal expertise and collaborations; and (3) reducing risk of clinical resistance.</w:t>
      </w:r>
    </w:p>
    <w:p>
      <w:pPr>
        <w:spacing w:after="0" w:line="63" w:lineRule="exact"/>
        <w:rPr>
          <w:sz w:val="20"/>
          <w:szCs w:val="20"/>
          <w:color w:val="auto"/>
        </w:rPr>
      </w:pPr>
    </w:p>
    <w:p>
      <w:pPr>
        <w:jc w:val="both"/>
        <w:ind w:firstLine="509"/>
        <w:spacing w:after="0" w:line="230" w:lineRule="auto"/>
        <w:rPr>
          <w:sz w:val="20"/>
          <w:szCs w:val="20"/>
          <w:color w:val="auto"/>
        </w:rPr>
      </w:pPr>
      <w:r>
        <w:rPr>
          <w:rFonts w:ascii="Times New Roman" w:cs="Times New Roman" w:eastAsia="Times New Roman" w:hAnsi="Times New Roman"/>
          <w:sz w:val="18"/>
          <w:szCs w:val="18"/>
          <w:color w:val="auto"/>
        </w:rPr>
        <w:t>In October 2022, we submitted for publication in a peer-reviewed journal, and deposited to MedRxiv, a scientific manuscript describing an analysis of the relationship between serum neutralizing antibody titers mediated by vaccination and passive monoclonal antibody transfer and protection against</w:t>
      </w:r>
    </w:p>
    <w:p>
      <w:pPr>
        <w:spacing w:after="0" w:line="1" w:lineRule="exact"/>
        <w:rPr>
          <w:sz w:val="20"/>
          <w:szCs w:val="20"/>
          <w:color w:val="auto"/>
        </w:rPr>
      </w:pPr>
    </w:p>
    <w:p>
      <w:pPr>
        <w:jc w:val="both"/>
        <w:ind w:right="20"/>
        <w:spacing w:after="0" w:line="211" w:lineRule="auto"/>
        <w:rPr>
          <w:sz w:val="20"/>
          <w:szCs w:val="20"/>
          <w:color w:val="auto"/>
        </w:rPr>
      </w:pPr>
      <w:r>
        <w:rPr>
          <w:rFonts w:ascii="Times New Roman" w:cs="Times New Roman" w:eastAsia="Times New Roman" w:hAnsi="Times New Roman"/>
          <w:sz w:val="18"/>
          <w:szCs w:val="18"/>
          <w:color w:val="auto"/>
        </w:rPr>
        <w:t>symptomatic COVID-19. The analysis utilized data from both vaccine efficacy trials and our EVADE trial, which was comprised of patient outcomes across both Delta and BA.1/BA1.1 variants, which adintrevimab neutralizes with different potencies. It is our belief that these data suggest that monoclonal</w:t>
      </w:r>
    </w:p>
    <w:p>
      <w:pPr>
        <w:spacing w:after="0" w:line="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antibody neutralization potency, combined with associated dosing and pharmacokinetic information for any one antibody, is a potential surrogate marker of protection from symptomatic disease.</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were formed in June 2020. In July 2020, we entered into an assignment and license agreement (the “Adimab Assignment Agreement”), with</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Adimab, pursuant to which we acquired certain rights to Adimab’s antibodies relating to COVID-19 and severe acute respiratory syndrome (“SARS”), as well as related provisional patent applications, know-how and data generated with respect to the associated antibodies. In addition, Adimab granted to us a</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non-exclusive, worldwide license to certain of Adimab’s platform patents and technology for use in research and development. In connection with the rights and license acquired, we issued 5,000,000 shares of our Series A Preferred Stock to Adimab. In May 2021, we entered into a funded discovery</w:t>
      </w:r>
    </w:p>
    <w:p>
      <w:pPr>
        <w:jc w:val="both"/>
        <w:spacing w:after="0" w:line="211" w:lineRule="auto"/>
        <w:rPr>
          <w:sz w:val="20"/>
          <w:szCs w:val="20"/>
          <w:color w:val="auto"/>
        </w:rPr>
      </w:pPr>
      <w:r>
        <w:rPr>
          <w:rFonts w:ascii="Times New Roman" w:cs="Times New Roman" w:eastAsia="Times New Roman" w:hAnsi="Times New Roman"/>
          <w:sz w:val="18"/>
          <w:szCs w:val="18"/>
          <w:color w:val="auto"/>
        </w:rPr>
        <w:t>agreement with Adimab focused on discovery efforts for new antibodies that may be effective against other coronaviruses and influenza, both of which have the potential to cause pandemics. In the event that Adimab discovers an antibody that is expected to meet certain product profiles developed by us, we</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will have the exclusive option to require Adimab to assign us its rights in any such antibody and to grant us certain licenses. In September 2022, we entered into a platform transfer agreement with Adimab and were granted the right under certain intellectual property of Adimab to practice certain elements of Adimab’s platform technology, including B-cell cloning, using Adimab’s proprietary yeast cell lines and other antibody optimization libraries,</w:t>
      </w:r>
    </w:p>
    <w:p>
      <w:pPr>
        <w:jc w:val="both"/>
        <w:spacing w:after="0" w:line="211" w:lineRule="auto"/>
        <w:rPr>
          <w:sz w:val="20"/>
          <w:szCs w:val="20"/>
          <w:color w:val="auto"/>
        </w:rPr>
      </w:pPr>
      <w:r>
        <w:rPr>
          <w:rFonts w:ascii="Times New Roman" w:cs="Times New Roman" w:eastAsia="Times New Roman" w:hAnsi="Times New Roman"/>
          <w:sz w:val="18"/>
          <w:szCs w:val="18"/>
          <w:color w:val="auto"/>
        </w:rPr>
        <w:t>trade secrets, protocols and software of Adimab, to discover, engineer and optimize antibodies. We were also granted the right under certain intellectual property of Adimab to research, develop, make, sell and exploit such antibodies and products containing such antibodies. In 2022, we secured dedicated</w:t>
      </w:r>
    </w:p>
    <w:p>
      <w:pPr>
        <w:spacing w:after="0" w:line="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laboratory space and expanded our research team in order to enable internal discovery and development of our product candidates. In addition, we engage other third parties to perform ongoing research and development and other services on our behalf.</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Since our inception, we have devoted substantially all of our resources to organizing and staffing, building an intellectual property portfolio,</w:t>
      </w:r>
    </w:p>
    <w:p>
      <w:pPr>
        <w:spacing w:after="0" w:line="2"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7"/>
          <w:szCs w:val="17"/>
          <w:color w:val="auto"/>
        </w:rPr>
        <w:t>business planning, conducting research and development, establishing and executing arrangements with third parties for the manufacture of our product candidates and raising capital. We rely heavily on partnerships, external consultants and contract research organizations (“CROs”) to conduct our discovery,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non-clinical, preclinical and clinical activities. Additionally, we are currently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30" w:name="page31"/>
    <w:bookmarkEnd w:id="30"/>
    <w:p>
      <w:pPr>
        <w:jc w:val="both"/>
        <w:spacing w:after="0" w:line="236" w:lineRule="auto"/>
        <w:rPr>
          <w:sz w:val="20"/>
          <w:szCs w:val="20"/>
          <w:color w:val="auto"/>
        </w:rPr>
      </w:pPr>
      <w:r>
        <w:rPr>
          <w:rFonts w:ascii="Times New Roman" w:cs="Times New Roman" w:eastAsia="Times New Roman" w:hAnsi="Times New Roman"/>
          <w:sz w:val="18"/>
          <w:szCs w:val="18"/>
          <w:color w:val="auto"/>
        </w:rPr>
        <w:t>dependent on WuXi Biologics (Hong Kong) Limited (“WuXi”), a contract development and manufacturing organization (“CDMO”), for the manufacture of our product candidates for clinical and commercial use. We expect to continue to rely on third parties for clinical trials and the manufacture and testing of our product candidates.</w:t>
      </w:r>
    </w:p>
    <w:p>
      <w:pPr>
        <w:spacing w:after="0" w:line="64" w:lineRule="exact"/>
        <w:rPr>
          <w:sz w:val="20"/>
          <w:szCs w:val="20"/>
          <w:color w:val="auto"/>
        </w:rPr>
      </w:pPr>
    </w:p>
    <w:p>
      <w:pPr>
        <w:jc w:val="both"/>
        <w:ind w:firstLine="509"/>
        <w:spacing w:after="0" w:line="222" w:lineRule="auto"/>
        <w:rPr>
          <w:sz w:val="20"/>
          <w:szCs w:val="20"/>
          <w:color w:val="auto"/>
        </w:rPr>
      </w:pPr>
      <w:r>
        <w:rPr>
          <w:rFonts w:ascii="Times New Roman" w:cs="Times New Roman" w:eastAsia="Times New Roman" w:hAnsi="Times New Roman"/>
          <w:sz w:val="18"/>
          <w:szCs w:val="18"/>
          <w:color w:val="auto"/>
        </w:rPr>
        <w:t>Since our inception, we have financed our operations with net proceeds of $464.7 million from sales of our preferred stock, and most recently, with net proceeds from our initial public offering (“IPO”). In August 2021, we completed our IPO, pursuant to which we issued and sold 20,930,000 shares of</w:t>
      </w:r>
    </w:p>
    <w:p>
      <w:pPr>
        <w:spacing w:after="0" w:line="2"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our common stock, including 2,730,000 shares of common stock pursuant to the full exercise of the underwriters’ option to purchase additional shares. We received aggregate net proceeds from our IPO of $327.5 million, after deducting underwriting discounts and commissions and offering expenses payable by us. To date, we have not generated any revenue from any sources, including product sales or government supply contracts. Our ability to generate product</w:t>
      </w:r>
    </w:p>
    <w:p>
      <w:pPr>
        <w:jc w:val="both"/>
        <w:spacing w:after="0" w:line="226" w:lineRule="auto"/>
        <w:rPr>
          <w:sz w:val="20"/>
          <w:szCs w:val="20"/>
          <w:color w:val="auto"/>
        </w:rPr>
      </w:pPr>
      <w:r>
        <w:rPr>
          <w:rFonts w:ascii="Times New Roman" w:cs="Times New Roman" w:eastAsia="Times New Roman" w:hAnsi="Times New Roman"/>
          <w:sz w:val="18"/>
          <w:szCs w:val="18"/>
          <w:color w:val="auto"/>
        </w:rPr>
        <w:t>revenue sufficient to achieve profitability will depend heavily on the successful development and eventual commercialization of one or more of our product candidates, if approved.</w:t>
      </w:r>
    </w:p>
    <w:p>
      <w:pPr>
        <w:spacing w:after="0" w:line="76"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8"/>
          <w:szCs w:val="18"/>
          <w:color w:val="auto"/>
        </w:rPr>
        <w:t>Since our inception, we have incurred significant losses, including a net loss of $196.7 million for the nine months ended September 30, 2022. As of September 30, 2022, we had an accumulated deficit of $488.9 million. We expect to continue to incur significant expenses and recognize losses in the foreseeable future as we expand and progress our research and development activities, as well as the associated manufacturing activities and commercialization efforts. In addition, our losses from operations may fluctuate significantly from period to period depending on the timing of our clinical trials and our expenditures on other research and development activities, including any associated manufacturing activities, and potential commercialization efforts. Our expenses could increase substantially in connection with our ongoing activities, as we:</w:t>
      </w:r>
    </w:p>
    <w:p>
      <w:pPr>
        <w:spacing w:after="0" w:line="72" w:lineRule="exact"/>
        <w:rPr>
          <w:sz w:val="20"/>
          <w:szCs w:val="20"/>
          <w:color w:val="auto"/>
        </w:rPr>
      </w:pPr>
    </w:p>
    <w:p>
      <w:pPr>
        <w:ind w:left="1140" w:hanging="504"/>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conduct clinical trials of NVD200, adintrevimab or any other product candidate;</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product candidates in new indications or patient populations;</w:t>
      </w:r>
    </w:p>
    <w:p>
      <w:pPr>
        <w:spacing w:after="0" w:line="117"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advance the preclinical development of our other product candidates and our preclinical and discovery programs, including development and screening of additional antibodies;</w:t>
      </w:r>
    </w:p>
    <w:p>
      <w:pPr>
        <w:spacing w:after="0" w:line="54"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for any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marketing approvals or EUA and reimbursement for our product candidates;</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product candidates, intellectual property and/or discovery technologies;</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 and validate our commercial-scale current good manufacturing practices (“cGMP”) manufacturing process for NVD200;</w:t>
      </w:r>
    </w:p>
    <w:p>
      <w:pPr>
        <w:spacing w:after="0" w:line="117"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material under cGMP at our contracted manufacturing facilities for clinical trials and potential EUA, regulatory approval and commercial sales;</w:t>
      </w:r>
    </w:p>
    <w:p>
      <w:pPr>
        <w:spacing w:after="0" w:line="54"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enforce, defend and protect our intellectual property portfolio;</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regulatory requirements established by the applicable regulatory authorities;</w:t>
      </w:r>
    </w:p>
    <w:p>
      <w:pPr>
        <w:spacing w:after="0" w:line="117"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 candidates for which we may obtain regulatory approval or EUA;</w:t>
      </w:r>
    </w:p>
    <w:p>
      <w:pPr>
        <w:spacing w:after="0" w:line="54"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and retain additional personnel, including research, clinical, development, manufacturing, quality control, quality assurance, regulatory and scientific personnel;</w:t>
      </w:r>
    </w:p>
    <w:p>
      <w:pPr>
        <w:spacing w:after="0" w:line="40"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corporate development, management information systems and administrative personnel, including personnel to support our product development and planned future commercialization efforts; and</w:t>
      </w:r>
    </w:p>
    <w:p>
      <w:pPr>
        <w:spacing w:after="0" w:line="6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and other expenses in operating as a public company.</w:t>
      </w:r>
    </w:p>
    <w:p>
      <w:pPr>
        <w:spacing w:after="0" w:line="104"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We do not anticipate generating revenue from product sales, including government supply contracts, unless and until we successfully complete clinical development and obtain marketing approvals or EUA for one or more of our product candidates. Subject to receiving marketing approval or EUA for any of our product candidates for the prevention and/or treatment of COVID-19, we expect to enter into arrangements with third parties for the sale, marketing and distribution of our product candidates. Accordingly, if we obtain marketing approval or EUA for any of our product candidates, we will incur significant additional commercialization expenses related to product manufacturing, marketing, sales and distribution.</w:t>
      </w:r>
    </w:p>
    <w:p>
      <w:pPr>
        <w:spacing w:after="0" w:line="87"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As a result, we will need substantial additional funding to support our continuing operations and pursue our growth strategy. Until such time as we can generate significant revenue from product sales, if ever, we expect to finance our operations through a combination of equity offerings, government or private-party grants, debt financings, collaborations with other companies and strategic alliances. We may be unable to raise additional funds or enter into such other agreements or arrangements when needed on favorable terms, or at all. If we fail to raise capital or enter into such agreements as, and when, needed, we may have to significantly delay, scale back or</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discontinue the development and commercialization of one or more of our product candidates or delay our pursuit of potential in-licenses or acquisitions.</w:t>
      </w:r>
    </w:p>
    <w:p>
      <w:pPr>
        <w:spacing w:after="0" w:line="117"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product development and emergence of adintrevimab susceptible SARS-CoV-2 VOCs, we are unable to accurately predict the timing or amount of increased expenses or when, or if, we will be able to achieve or maintain profitability. We may never obtain regulatory approval for any of our product candidates.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73"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Based on our current operating plan, we believe that our existing cash, cash equivalents and marketable securities of $418.7 million as of September 30, 2022, will be sufficient to fund our operating expenses and capital expenditure requirements into the second quarter of 2024. We have based this estimate on assumptions that may prove to be wrong, and we could exhaust our available capital resources sooner than we expect. See “Liquidity and Capital Resources.”</w:t>
      </w:r>
    </w:p>
    <w:p>
      <w:pPr>
        <w:spacing w:after="0" w:line="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Impact of COVID-19 on Our Operations</w:t>
      </w:r>
    </w:p>
    <w:p>
      <w:pPr>
        <w:spacing w:after="0" w:line="121"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In March 2020, the World Health Organization declared the outbreak of COVID-19 a global pandemic. The evolving and constantly changing impact of the pandemic and the disease will directly affect the potential commercial prospects of NVD200, adintrevimab and other product candidates for the prevention and treatment of COVID-19. The severity of the COVID-19 pandemic, the evolution of the disease and the continued emergence of VOCs (such as the widespread Omicron variant and its sublineages), the availability, administration and acceptance of vaccines, monoclonal antibodies, antiviral agents and other therapeutic modalities, vaccine mandates by employers and/or local or national governments, and the potential development of “herd immunity” by the global population will affect the design and enrollment of our clinical trials, the potential regulatory authorization or approval of our product candidates and the commercialization of our product candidates, if approved.</w:t>
      </w:r>
    </w:p>
    <w:p>
      <w:pPr>
        <w:spacing w:after="0" w:line="73"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In addition, our business and operations may be more broadly adversely affected by the COVID-19 pandemic. The COVID-19 outbreak and government measures taken in response have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has fallen. The global COVID-19 pandemic continues to evolve rapidly, and we will continue to monitor it closely. The ultimate extent of the impact of the COVID-19 pandemic on our business, financial condition, operations and product development timelines and plans remains highly uncertain and will depend on future developments, including the duration and spread of outbreaks and the continued emergence of variants, its impact on our clinical trial design and enrollment, trial sites, CROs, CDMOs, and other third parties with which we do business, as well as its impact on regulatory authorities and our key scientific and management personnel. To date, we have experienced some delays and disruptions in our development activities as a result of the COVID-19 pandemic. Some of our CROs, CDMOs and other service providers also continue to be impacted. We will continue to monitor developments as we address the disruptions, delays and uncertainties relating to the COVID-19 pandemic. These developments and the impact of the COVID-19 pandemic on the financial markets and the overall economy are highly uncertain and cannot be predicted. If the financial markets and/or the overall economy are impacted for an extended period, our results and operations may be materially adversely affected and may affect our ability to raise capital.</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To date, we have not generated any revenue from product sales, including government supply contracts, or any other sources. If our development efforts for our product candidates are successful and result in regulatory approval or collaboration or license agreements with third parties, we may generate revenue in the future from product sales or payments from collaboration or license agreements that we may enter into with third parties, or any combination thereof.</w:t>
      </w:r>
    </w:p>
    <w:p>
      <w:pPr>
        <w:spacing w:after="0" w:line="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08"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nature of our business and primary focus of our activities generates a significant amount of research and development costs. Research and development expenses represent costs incurred by us for:</w:t>
      </w:r>
    </w:p>
    <w:p>
      <w:pPr>
        <w:spacing w:after="0" w:line="40" w:lineRule="exact"/>
        <w:rPr>
          <w:sz w:val="20"/>
          <w:szCs w:val="20"/>
          <w:color w:val="auto"/>
        </w:rPr>
      </w:pPr>
    </w:p>
    <w:p>
      <w:pPr>
        <w:ind w:left="1140" w:hanging="504"/>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non-clinical and preclinical development of our product candidates, including our discovery efforts;</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procurement of our product candidates from third-party manufacturers; and</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global clinical development of our product candidates.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Such costs consist of:</w:t>
      </w:r>
    </w:p>
    <w:p>
      <w:pPr>
        <w:spacing w:after="0" w:line="104" w:lineRule="exact"/>
        <w:rPr>
          <w:sz w:val="20"/>
          <w:szCs w:val="20"/>
          <w:color w:val="auto"/>
        </w:rPr>
      </w:pPr>
    </w:p>
    <w:p>
      <w:pPr>
        <w:ind w:left="1140" w:hanging="504"/>
        <w:spacing w:after="0" w:line="266"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personnel-related expenses, including salaries, bonuses, benefits and other compensation-related costs, including stock-based compensation expense, for employees engaged in research and development functions;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32" w:name="page33"/>
    <w:bookmarkEnd w:id="32"/>
    <w:p>
      <w:pPr>
        <w:ind w:left="1140" w:right="20" w:hanging="504"/>
        <w:spacing w:after="0" w:line="282"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third parties, such as collaborators, consultants, contractors and CROs, that conduct the discovery, non-clinical and preclinical studies and clinical trials of our product candidates and research programs;</w:t>
      </w:r>
    </w:p>
    <w:p>
      <w:pPr>
        <w:spacing w:after="0" w:line="40"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procuring manufactured product candidates for use in non-clinical studies, preclinical studies and clinical trials from third-party CDMOs;</w:t>
      </w:r>
    </w:p>
    <w:p>
      <w:pPr>
        <w:spacing w:after="0" w:line="6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outside consultants and advisors, including their fees and stock-based compensation;</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laboratory-related expenses, which include equipment, laboratory supplies, rent expense and other operating costs;</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under third-party licensing agreements; and</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incurred as a result of research and development activities.</w:t>
      </w:r>
    </w:p>
    <w:p>
      <w:pPr>
        <w:spacing w:after="0" w:line="104"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We expense research and development costs as incurred. Non-refundable advance payments that we make for goods or services to be received in the future for use in research and development activities are recorded as prepaid expenses. The prepaid amounts are expensed as the related goods are delivered or the services are performed, or when it is no longer expected that the goods will be delivered or the services rendered.</w:t>
      </w:r>
    </w:p>
    <w:p>
      <w:pPr>
        <w:spacing w:after="0" w:line="82"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Our primary focus since inception has been the development of antibodies against COVID-19. Our research and development costs consist primarily of external costs, such as fees paid to CDMOs, CROs and consultants in connection with our non-clinical studies, preclinical studies and clinical trials. To date, external research and development costs for any individual product candidate have been tracked commencing upon product candidate nomination. We do not allocate employee-related costs, costs associated with our discovery efforts and other internal or indirect costs to specific research and development programs or product candidates because these resources are used and these costs are deployed across multiple programs under development and, as such, are not separately classified.</w:t>
      </w:r>
    </w:p>
    <w:p>
      <w:pPr>
        <w:spacing w:after="0" w:line="87"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and more variable development costs than those in earlier stages of clinical development, primarily due to the increased size and duration of later-stage clinical trials. Our research and development expenses could increase substantially in the near term as we advance NVD200 through clinical development, pursue regulatory approval of our product candidates, continue to discover and develop additional product candidates and incur expenses associated with hiring additional personnel to support our research and development efforts, including the associated manufacturing activities.</w:t>
      </w:r>
    </w:p>
    <w:p>
      <w:pPr>
        <w:spacing w:after="0" w:line="7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At this time, we cannot reasonably estimate or know the nature, timing and estimated costs of the efforts that will be necessary to complete the development of any of our product candidates. We are also unable to predict when, if ever, material net cash inflows will commence from sales or licensing of our product candidates. This is due to the numerous risks and uncertainties associated with drug development, including the uncertainty of:</w:t>
      </w:r>
    </w:p>
    <w:p>
      <w:pPr>
        <w:spacing w:after="0" w:line="61" w:lineRule="exact"/>
        <w:rPr>
          <w:sz w:val="20"/>
          <w:szCs w:val="20"/>
          <w:color w:val="auto"/>
        </w:rPr>
      </w:pPr>
    </w:p>
    <w:p>
      <w:pPr>
        <w:ind w:left="1140" w:hanging="504"/>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preclinical and clinical development activities;</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117" w:lineRule="exact"/>
        <w:rPr>
          <w:rFonts w:ascii="Times New Roman" w:cs="Times New Roman" w:eastAsia="Times New Roman" w:hAnsi="Times New Roman"/>
          <w:sz w:val="18"/>
          <w:szCs w:val="18"/>
          <w:color w:val="auto"/>
        </w:rPr>
      </w:pPr>
    </w:p>
    <w:p>
      <w:pPr>
        <w:ind w:left="1140" w:right="20" w:hanging="504"/>
        <w:spacing w:after="0" w:line="266"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acceptable investigational new drug applications with the FDA or comparable foreign applications that allow commencement of our planned clinical trials or future clinical trials for our product candidates;</w:t>
      </w:r>
    </w:p>
    <w:p>
      <w:pPr>
        <w:spacing w:after="0" w:line="54"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our financial and other resources to complete the necessary preclinical studies and clinical trials, manufacture the product candidates and complete associated regulatory activities;</w:t>
      </w:r>
    </w:p>
    <w:p>
      <w:pPr>
        <w:spacing w:after="0" w:line="40"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agreements with third-party manufacturers for clinical supply for our clinical trials and successfully develop, obtain regulatory approval or EUA for our product candidates;</w:t>
      </w:r>
    </w:p>
    <w:p>
      <w:pPr>
        <w:spacing w:after="0" w:line="6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and timely completion of clinical trials, including our ability to generate positive data from any such clinical trials;</w:t>
      </w:r>
    </w:p>
    <w:p>
      <w:pPr>
        <w:spacing w:after="0" w:line="103"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the development of any additional development programs and product candidates we identify in-house or acquire through collaborations;</w:t>
      </w:r>
    </w:p>
    <w:p>
      <w:pPr>
        <w:spacing w:after="0" w:line="6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nature and severity of adverse events experienced with any product candidates;</w:t>
      </w:r>
    </w:p>
    <w:p>
      <w:pPr>
        <w:spacing w:after="0" w:line="103"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collaboration, license or other arrangement, including the terms and timing of any milestone payments thereunder;</w:t>
      </w:r>
    </w:p>
    <w:p>
      <w:pPr>
        <w:spacing w:after="0" w:line="67"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 trademark and trade secret protection and regulatory exclusivity for our product candidates, if and when approved, and otherwise protecting our rights in our intellectual property portfolio;</w:t>
      </w:r>
    </w:p>
    <w:p>
      <w:pPr>
        <w:spacing w:after="0" w:line="54"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timely marketing approvals from applicable regulatory authorities;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33" w:name="page34"/>
    <w:bookmarkEnd w:id="33"/>
    <w:p>
      <w:pPr>
        <w:jc w:val="both"/>
        <w:ind w:left="1140" w:hanging="504"/>
        <w:spacing w:after="0" w:line="258"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compliance with regulatory requirements, including good clinical practices, current good laboratory practices and cGMPs, and to comply effectively with other rules, regulations and procedures applicable to the development and sale of pharmaceutical products;</w:t>
      </w:r>
    </w:p>
    <w:p>
      <w:pPr>
        <w:spacing w:after="0" w:line="61"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significant and changing government regulation, regulatory guidance and requirements and evolving treatment guidelines; and</w:t>
      </w:r>
    </w:p>
    <w:p>
      <w:pPr>
        <w:spacing w:after="0" w:line="117"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business interruptions to our operations or those of third parties with which we work, particularly in light of the current COVID-19 pandemic.</w:t>
      </w:r>
    </w:p>
    <w:p>
      <w:pPr>
        <w:spacing w:after="0" w:line="54"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any of our product candidates could significantly change the costs and timing associated with the development of that product candidate. We may elect to discontinue, delay or modify clinical trials of some product candidates or focus on others. We may never succeed in obtaining regulatory approval or EUA for any of our product candidates. In addition, in the absence of a declaration by the U.S. Department of Health and Human Services of a federal public health emergency (a “Public Health Emergency”), we will not be able to receive an EUA. The declaration of a Public Health Emergency has recently been extended to mid-January 2023 and may or may not be renewed again.</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Acquired In-Process Research and Development Expenses</w:t>
      </w:r>
    </w:p>
    <w:p>
      <w:pPr>
        <w:spacing w:after="0" w:line="108"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8"/>
          <w:szCs w:val="18"/>
          <w:color w:val="auto"/>
        </w:rPr>
        <w:t>Acquired in-process research and development (“IPR&amp;D”) expenses consist primarily of the upfront costs we incurred in July 2020, as well as any costs of contingent milestone payments we incurred in subsequent periods, to acquire rights to Adimab’s antibodies relating to COVID-19 and SARS and related intellectual property and a license to certain of Adimab’s platform patents and technology, or the IPR&amp;D assets, for use in the research and development of our product candidates. We expensed the cost of the IPR&amp;D assets because they had no alternative future use as of the acquisition date. We will recognize additional acquired IPR&amp;D expenses in the future if and when it is deemed probable that we will make contingent milestone payments to Adimab under the terms of the agreement by which we acquired the IPR&amp;D assets.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salaries, bonuses, benefits, third-party fees and other related costs, including stock-based compensation, for our personnel and external contractors involved in our executive, finance, legal, business development and other administrative functions, as well as our commercial function. Selling, general and administrative expenses also include costs incurred for outside services associated with such functions, including legal fees relating to patent and corporate matters; professional fees for accounting, auditing, tax and administrative consulting services; insurance costs; market research costs; and other selling, general and administrative expenses. These costs relate to the operation of the business, unrelated to the research and development function, or any individual program.</w:t>
      </w:r>
    </w:p>
    <w:p>
      <w:pPr>
        <w:spacing w:after="0" w:line="74"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Our selling, general and administrative expenses could increase in the future as our business expands and we increase our headcount to support the expected growth in our research and development activities and the potential commercialization of our product candidates. In particular, we could incur additional commercialization expenses prior to any regulatory approval or EUA of our product candidates as we continue to expand our commercial function to support potential future product launches. We also anticipate that we will continue to incur increased expenses associated with operating as a public company, including increased costs of accounting, audit, legal, regulatory and tax-related services, director and officer insurance premiums, and investor and public relations costs. We also expect to incur additional intellectual property-related expenses as we file additional patent applications to protect innovations arising from our research and development activities.</w:t>
      </w:r>
    </w:p>
    <w:p>
      <w:pPr>
        <w:spacing w:after="0" w:line="87"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In June 2022, and subsequently amended in September 2022, we entered into a noncancelable agreement for dedicated laboratory and office space in Newton, MA for research and development purposes. Through September 30, 2022, we have operated as a virtual company and maintained a corporate headquarters for general and administrative purposes only. Therefore, we did not incur material operating expenses for the rent, maintenance and insurance of facilities, or for depreciation of fixed assets.</w:t>
      </w:r>
    </w:p>
    <w:p>
      <w:pPr>
        <w:spacing w:after="0" w:line="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0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Other income (expense), net consists of interest income earned from our cash, cash equivalents and marketable securities and the net amortization or accretion of premiums and discounts related to our marketable securities. We expect our interest income to vary each reporting period depending on our average bank deposits, money market funds and investment balances during the period and market interest rates.</w:t>
      </w:r>
    </w:p>
    <w:p>
      <w:pPr>
        <w:spacing w:after="0" w:line="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0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Since our inception, we have not recorded any income tax expense or realized benefits for the net losses we have incurred or for the research and development tax credits generated in each period as we believe, based upon the weight of available evidence, that it is more likely than not that all of our net operating loss (“NOL”) carryforwards and tax credit carryforwards will not be realized.</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2022 and 2021</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September 30, 2022 and 2021:</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3"/>
                <w:szCs w:val="13"/>
                <w:color w:val="auto"/>
              </w:rPr>
            </w:pP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6"/>
        </w:trPr>
        <w:tc>
          <w:tcPr>
            <w:tcW w:w="6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6"/>
                <w:szCs w:val="16"/>
                <w:color w:val="auto"/>
              </w:rPr>
            </w:pPr>
          </w:p>
        </w:tc>
        <w:tc>
          <w:tcPr>
            <w:tcW w:w="118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09"/>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30,131</w:t>
            </w:r>
          </w:p>
        </w:tc>
        <w:tc>
          <w:tcPr>
            <w:tcW w:w="26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45,366</w:t>
            </w:r>
          </w:p>
        </w:tc>
        <w:tc>
          <w:tcPr>
            <w:tcW w:w="220" w:type="dxa"/>
            <w:vAlign w:val="bottom"/>
          </w:tcPr>
          <w:p>
            <w:pPr>
              <w:spacing w:after="0"/>
              <w:rPr>
                <w:sz w:val="18"/>
                <w:szCs w:val="18"/>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(15,235 )</w:t>
            </w:r>
          </w:p>
        </w:tc>
      </w:tr>
      <w:tr>
        <w:trPr>
          <w:trHeight w:val="216"/>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13,200</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11,052</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100" w:type="dxa"/>
            <w:vAlign w:val="bottom"/>
          </w:tcPr>
          <w:p>
            <w:pPr>
              <w:spacing w:after="0"/>
              <w:rPr>
                <w:sz w:val="18"/>
                <w:szCs w:val="18"/>
                <w:color w:val="auto"/>
              </w:rPr>
            </w:pPr>
          </w:p>
        </w:tc>
      </w:tr>
      <w:tr>
        <w:trPr>
          <w:trHeight w:val="209"/>
        </w:trPr>
        <w:tc>
          <w:tcPr>
            <w:tcW w:w="66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47,331</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60,418</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(13,087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(47,331 )</w:t>
            </w:r>
          </w:p>
        </w:tc>
        <w:tc>
          <w:tcPr>
            <w:tcW w:w="16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(60,418 )</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13,087</w:t>
            </w:r>
          </w:p>
        </w:tc>
        <w:tc>
          <w:tcPr>
            <w:tcW w:w="100" w:type="dxa"/>
            <w:vAlign w:val="bottom"/>
          </w:tcPr>
          <w:p>
            <w:pPr>
              <w:spacing w:after="0"/>
              <w:rPr>
                <w:sz w:val="18"/>
                <w:szCs w:val="18"/>
                <w:color w:val="auto"/>
              </w:rPr>
            </w:pPr>
          </w:p>
        </w:tc>
      </w:tr>
      <w:tr>
        <w:trPr>
          <w:trHeight w:val="209"/>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8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100" w:type="dxa"/>
            <w:vAlign w:val="bottom"/>
          </w:tcPr>
          <w:p>
            <w:pPr>
              <w:spacing w:after="0"/>
              <w:rPr>
                <w:sz w:val="18"/>
                <w:szCs w:val="18"/>
                <w:color w:val="auto"/>
              </w:rPr>
            </w:pPr>
          </w:p>
        </w:tc>
      </w:tr>
      <w:tr>
        <w:trPr>
          <w:trHeight w:val="210"/>
        </w:trPr>
        <w:tc>
          <w:tcPr>
            <w:tcW w:w="66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(45,087 )</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(60,375 )</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15,288</w:t>
            </w:r>
          </w:p>
        </w:tc>
        <w:tc>
          <w:tcPr>
            <w:tcW w:w="100" w:type="dxa"/>
            <w:vAlign w:val="bottom"/>
          </w:tcPr>
          <w:p>
            <w:pPr>
              <w:spacing w:after="0"/>
              <w:rPr>
                <w:sz w:val="18"/>
                <w:szCs w:val="18"/>
                <w:color w:val="auto"/>
              </w:rPr>
            </w:pPr>
          </w:p>
        </w:tc>
      </w:tr>
      <w:tr>
        <w:trPr>
          <w:trHeight w:val="20"/>
        </w:trPr>
        <w:tc>
          <w:tcPr>
            <w:tcW w:w="6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-745490</wp:posOffset>
            </wp:positionV>
            <wp:extent cx="77470" cy="1543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-745490</wp:posOffset>
            </wp:positionV>
            <wp:extent cx="68580" cy="1543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-745490</wp:posOffset>
            </wp:positionV>
            <wp:extent cx="68580" cy="1543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-170815</wp:posOffset>
            </wp:positionV>
            <wp:extent cx="77470" cy="1714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-170815</wp:posOffset>
            </wp:positionV>
            <wp:extent cx="68580" cy="1714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discussion presents the components of our expenses for the periods presented:</w:t>
      </w:r>
    </w:p>
    <w:p>
      <w:pPr>
        <w:spacing w:after="0" w:line="1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260" w:type="dxa"/>
            <w:vAlign w:val="bottom"/>
          </w:tcPr>
          <w:p>
            <w:pPr>
              <w:spacing w:after="0"/>
              <w:rPr>
                <w:sz w:val="13"/>
                <w:szCs w:val="13"/>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8"/>
        </w:trPr>
        <w:tc>
          <w:tcPr>
            <w:tcW w:w="6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9"/>
        </w:trPr>
        <w:tc>
          <w:tcPr>
            <w:tcW w:w="6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7"/>
        </w:trPr>
        <w:tc>
          <w:tcPr>
            <w:tcW w:w="6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108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09"/>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Direct, external research and development expenses by program:</w:t>
            </w:r>
          </w:p>
        </w:tc>
        <w:tc>
          <w:tcPr>
            <w:tcW w:w="1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Adintrevimab</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6,248</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31,878</w:t>
            </w:r>
          </w:p>
        </w:tc>
        <w:tc>
          <w:tcPr>
            <w:tcW w:w="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(25,630 )</w:t>
            </w:r>
          </w:p>
        </w:tc>
      </w:tr>
      <w:tr>
        <w:trPr>
          <w:trHeight w:val="216"/>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NVD200</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11,837</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11,837</w:t>
            </w:r>
          </w:p>
        </w:tc>
        <w:tc>
          <w:tcPr>
            <w:tcW w:w="100" w:type="dxa"/>
            <w:vAlign w:val="bottom"/>
            <w:shd w:val="clear" w:color="auto" w:fill="CFF0FC"/>
          </w:tcPr>
          <w:p>
            <w:pPr>
              <w:spacing w:after="0"/>
              <w:rPr>
                <w:sz w:val="18"/>
                <w:szCs w:val="18"/>
                <w:color w:val="auto"/>
              </w:rPr>
            </w:pPr>
          </w:p>
        </w:tc>
      </w:tr>
      <w:tr>
        <w:trPr>
          <w:trHeight w:val="216"/>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Unallocated research and development expenses:</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Personnel-related costs</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9,701</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6,857</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2,844</w:t>
            </w:r>
          </w:p>
        </w:tc>
        <w:tc>
          <w:tcPr>
            <w:tcW w:w="100" w:type="dxa"/>
            <w:vAlign w:val="bottom"/>
            <w:shd w:val="clear" w:color="auto" w:fill="CFF0FC"/>
          </w:tcPr>
          <w:p>
            <w:pPr>
              <w:spacing w:after="0"/>
              <w:rPr>
                <w:sz w:val="18"/>
                <w:szCs w:val="18"/>
                <w:color w:val="auto"/>
              </w:rPr>
            </w:pPr>
          </w:p>
        </w:tc>
      </w:tr>
      <w:tr>
        <w:trPr>
          <w:trHeight w:val="216"/>
        </w:trPr>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External discovery-related and other costs</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(4,286 )</w:t>
            </w:r>
          </w:p>
        </w:tc>
      </w:tr>
      <w:tr>
        <w:trPr>
          <w:trHeight w:val="250"/>
        </w:trPr>
        <w:tc>
          <w:tcPr>
            <w:tcW w:w="69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30,131</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45,366</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(15,235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-24765</wp:posOffset>
            </wp:positionV>
            <wp:extent cx="7747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-8255</wp:posOffset>
            </wp:positionV>
            <wp:extent cx="7747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-8255</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9"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were $30.1 million for the three months ended September 30, 2022, compared to $45.4 million for the three months ended September 30, 2021. The $15.3 million decrease in research and development expenses was primarily due to the following:</w:t>
      </w:r>
    </w:p>
    <w:p>
      <w:pPr>
        <w:spacing w:after="0" w:line="54" w:lineRule="exact"/>
        <w:rPr>
          <w:sz w:val="20"/>
          <w:szCs w:val="20"/>
          <w:color w:val="auto"/>
        </w:rPr>
      </w:pPr>
    </w:p>
    <w:p>
      <w:pPr>
        <w:jc w:val="both"/>
        <w:ind w:left="1020" w:hanging="503"/>
        <w:spacing w:after="0" w:line="245"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direct costs related to our adintrevimab program of $25.6 million was primarily due to a decrease in our contract manufacturing and contract research expenses. Contract manufacturing expenses decreased $15.0 million, primarily related to the ramp up of adintrevimab manufacturing during the three months ended September 30, 2021, for which there were less costs incurred, and which were further reduced by the recognition of the seven-figure WuXi credit, during the three months ended September 30, 2022, partially offset by an increase in costs related to the manufacturing of materials for use in our clinical trials and non-clinical studies for our NVD200 product candidate. Contract research expenses decreased $9.6 million related to lower costs due to a pause in trial enrollment in January 2022. In addition, other external and non-clinical expenses decreased $1.0 million.</w:t>
      </w:r>
    </w:p>
    <w:p>
      <w:pPr>
        <w:spacing w:after="0" w:line="86"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direct expenses related to NVD200 is due to the nomination of our NVD200 product candidate in 2022 to proceed to IND-enabling activities. The costs primarily related to contract manufacturing expenses for the manufacture of materials for use in our clinical trials and non-clinical studies.</w:t>
      </w:r>
    </w:p>
    <w:p>
      <w:pPr>
        <w:spacing w:after="0" w:line="82" w:lineRule="exact"/>
        <w:rPr>
          <w:rFonts w:ascii="Times New Roman" w:cs="Times New Roman" w:eastAsia="Times New Roman" w:hAnsi="Times New Roman"/>
          <w:sz w:val="18"/>
          <w:szCs w:val="18"/>
          <w:color w:val="auto"/>
        </w:rPr>
      </w:pPr>
    </w:p>
    <w:p>
      <w:pPr>
        <w:jc w:val="both"/>
        <w:ind w:left="1020" w:hanging="503"/>
        <w:spacing w:after="0" w:line="24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Personnel-related costs, including salaries, bonuses, benefits and other compensation-related costs were $6.3 million and stock-based compensation expense was $3.4 million for the three months ended September 30, 2022, compared to personnel-related costs of $4.7 million and stock-based compensation expense of $2.2 million for the three months ended September 30, 2021. The increase in personnel-related costs of $2.8 million was primarily due to the hiring of additional individuals to support the development of our product candidates, including an increase in stock-based compensation expense of $1.2 million.</w:t>
      </w:r>
    </w:p>
    <w:p>
      <w:pPr>
        <w:spacing w:after="0" w:line="73"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external discovery-related and other costs of $4.3 million was primarily due to a decrease of $4.4 million of direct costs related to ADG10, an antibody-based product candidate previously considered for potential use in combination with adintrevimab for the treatment and prevention of COVID-19, during the three months ended September 30, 2021, for which there were no comparable costs during the three months ended September 30, 2022.</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5" w:name="page36"/>
    <w:bookmarkEnd w:id="35"/>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Acquired In-Process Research and Development Expenses</w:t>
      </w:r>
    </w:p>
    <w:p>
      <w:pPr>
        <w:spacing w:after="0" w:line="121"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Acquired IPR&amp;D expenses of $4.0 million for the three months ended September 30, 2022 consisted of $1.0 million incurred related to an option exercise pursuant to the Adimab Collaboration Agreement and $3.0 million incurred related to our upfront consideration payable for the rights assigned pursuant to the Adimab Platform Transfer Agreement.</w:t>
      </w:r>
    </w:p>
    <w:p>
      <w:pPr>
        <w:spacing w:after="0" w:line="82"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Acquired IPR&amp;D expenses of $4.0 million for the three months ended September 30, 2021 consisted of the cost we incurred in the period under the Adimab Assignment Agreement for a milestone payment that became due to Adimab in August 2021 upon the dosing of the first patient in a Phase 3 global clinical trial evaluating adintrevimab for the prevention of COVID-19. The amount of this contingent payment was recognized as an IPR&amp;D expense based on the nature of the associated assets acquired from Adimab on the date the milestone achievement became probable.</w:t>
      </w:r>
    </w:p>
    <w:p>
      <w:pPr>
        <w:spacing w:after="0" w:line="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3"/>
                <w:szCs w:val="13"/>
                <w:color w:val="auto"/>
              </w:rPr>
            </w:pP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6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r>
      <w:tr>
        <w:trPr>
          <w:trHeight w:val="209"/>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Personnel-related costs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6,749</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6,432</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shd w:val="clear" w:color="auto" w:fill="CFF0FC"/>
          </w:tcPr>
          <w:p>
            <w:pPr>
              <w:spacing w:after="0"/>
              <w:rPr>
                <w:sz w:val="18"/>
                <w:szCs w:val="18"/>
                <w:color w:val="auto"/>
              </w:rPr>
            </w:pPr>
          </w:p>
        </w:tc>
      </w:tr>
      <w:tr>
        <w:trPr>
          <w:trHeight w:val="21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and consultant fees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100" w:type="dxa"/>
            <w:vAlign w:val="bottom"/>
          </w:tcPr>
          <w:p>
            <w:pPr>
              <w:spacing w:after="0"/>
              <w:rPr>
                <w:sz w:val="18"/>
                <w:szCs w:val="18"/>
                <w:color w:val="auto"/>
              </w:rPr>
            </w:pPr>
          </w:p>
        </w:tc>
      </w:tr>
      <w:tr>
        <w:trPr>
          <w:trHeight w:val="216"/>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13,200</w:t>
            </w:r>
          </w:p>
        </w:tc>
        <w:tc>
          <w:tcPr>
            <w:tcW w:w="4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11,052</w:t>
            </w:r>
          </w:p>
        </w:tc>
        <w:tc>
          <w:tcPr>
            <w:tcW w:w="5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100" w:type="dxa"/>
            <w:vAlign w:val="bottom"/>
          </w:tcPr>
          <w:p>
            <w:pPr>
              <w:spacing w:after="0"/>
              <w:rPr>
                <w:sz w:val="18"/>
                <w:szCs w:val="18"/>
                <w:color w:val="auto"/>
              </w:rPr>
            </w:pPr>
          </w:p>
        </w:tc>
      </w:tr>
      <w:tr>
        <w:trPr>
          <w:trHeight w:val="20"/>
        </w:trPr>
        <w:tc>
          <w:tcPr>
            <w:tcW w:w="6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-170815</wp:posOffset>
            </wp:positionV>
            <wp:extent cx="77470" cy="1714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-170815</wp:posOffset>
            </wp:positionV>
            <wp:extent cx="68580" cy="1714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were $13.2 million for the three months ended September 30, 2022, compared to $11.1 million for the three months ended September 30, 2021. The $2.1 million increase in selling, general and administrative expenses was primarily due to the following:</w:t>
      </w:r>
    </w:p>
    <w:p>
      <w:pPr>
        <w:spacing w:after="0" w:line="40" w:lineRule="exact"/>
        <w:rPr>
          <w:sz w:val="20"/>
          <w:szCs w:val="20"/>
          <w:color w:val="auto"/>
        </w:rPr>
      </w:pPr>
    </w:p>
    <w:p>
      <w:pPr>
        <w:jc w:val="both"/>
        <w:ind w:left="1020" w:hanging="503"/>
        <w:spacing w:after="0" w:line="250"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Personnel-related costs, including salaries, bonuses, benefits and other compensation-related costs were $2.7 million and stock-based compensation expense was $4.0 million for the three months ended September 30, 2022, compared to personnel-related costs of $2.6 million and stock-based compensation expense of $3.8 million for the three months ended September 30, 2021. Personnel-related costs remained relatively consistent between periods.</w:t>
      </w:r>
    </w:p>
    <w:p>
      <w:pPr>
        <w:spacing w:after="0" w:line="69"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professional services and consultant fees of $1.7 million was primarily due to costs incurred as we began operating as a public company, including expenses related to corporate governance matters, director and officer insurance premiums, audit and other fees.</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costs remained relatively consistent between periods.</w:t>
      </w:r>
    </w:p>
    <w:p>
      <w:pPr>
        <w:spacing w:after="0" w:line="1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Other income (expense), net was $2.2 million and less than $0.1 million for the three months ended September 30, 2022 and 2021, respectively, consisting primarily of interest earned on invested cash balances.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2022 and 2021</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nine months ended September 30, 2022 and 2021:</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5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60" w:type="dxa"/>
            <w:vAlign w:val="bottom"/>
          </w:tcPr>
          <w:p>
            <w:pPr>
              <w:spacing w:after="0"/>
              <w:rPr>
                <w:sz w:val="14"/>
                <w:szCs w:val="14"/>
                <w:color w:val="auto"/>
              </w:rPr>
            </w:pPr>
          </w:p>
        </w:tc>
        <w:tc>
          <w:tcPr>
            <w:tcW w:w="9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160" w:type="dxa"/>
            <w:vAlign w:val="bottom"/>
            <w:gridSpan w:val="3"/>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112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56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30,</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30,</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20" w:type="dxa"/>
            <w:vAlign w:val="bottom"/>
            <w:gridSpan w:val="2"/>
          </w:tcPr>
          <w:p>
            <w:pPr>
              <w:ind w:left="28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159,295</w:t>
            </w:r>
          </w:p>
        </w:tc>
        <w:tc>
          <w:tcPr>
            <w:tcW w:w="26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114,465</w:t>
            </w:r>
          </w:p>
        </w:tc>
        <w:tc>
          <w:tcPr>
            <w:tcW w:w="2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2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(3,500 )</w:t>
            </w:r>
          </w:p>
        </w:tc>
        <w:tc>
          <w:tcPr>
            <w:tcW w:w="0" w:type="dxa"/>
            <w:vAlign w:val="bottom"/>
          </w:tcPr>
          <w:p>
            <w:pPr>
              <w:spacing w:after="0"/>
              <w:rPr>
                <w:sz w:val="1"/>
                <w:szCs w:val="1"/>
                <w:color w:val="auto"/>
              </w:rPr>
            </w:pPr>
          </w:p>
        </w:tc>
      </w:tr>
      <w:tr>
        <w:trPr>
          <w:trHeight w:val="216"/>
        </w:trPr>
        <w:tc>
          <w:tcPr>
            <w:tcW w:w="4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36,524</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21,853</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199,819</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143,818</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56,001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(199,819 )</w:t>
            </w:r>
          </w:p>
        </w:tc>
        <w:tc>
          <w:tcPr>
            <w:tcW w:w="1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(143,818 )</w:t>
            </w:r>
          </w:p>
        </w:tc>
        <w:tc>
          <w:tcPr>
            <w:tcW w:w="3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(56,001 )</w:t>
            </w:r>
          </w:p>
        </w:tc>
        <w:tc>
          <w:tcPr>
            <w:tcW w:w="0" w:type="dxa"/>
            <w:vAlign w:val="bottom"/>
          </w:tcPr>
          <w:p>
            <w:pPr>
              <w:spacing w:after="0"/>
              <w:rPr>
                <w:sz w:val="1"/>
                <w:szCs w:val="1"/>
                <w:color w:val="auto"/>
              </w:rPr>
            </w:pPr>
          </w:p>
        </w:tc>
      </w:tr>
      <w:tr>
        <w:trPr>
          <w:trHeight w:val="210"/>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8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3,076</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8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3,076</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20" w:type="dxa"/>
            <w:vAlign w:val="bottom"/>
            <w:gridSpan w:val="2"/>
          </w:tcPr>
          <w:p>
            <w:pPr>
              <w:ind w:left="28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(196,743 )</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(143,748 )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(52,995 )</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840" w:type="dxa"/>
            <w:vAlign w:val="bottom"/>
            <w:vMerge w:val="restart"/>
          </w:tcPr>
          <w:p>
            <w:pPr>
              <w:jc w:val="right"/>
              <w:ind w:right="1590"/>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56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6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-1233805</wp:posOffset>
            </wp:positionV>
            <wp:extent cx="77470" cy="1543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-1233805</wp:posOffset>
            </wp:positionV>
            <wp:extent cx="68580" cy="1543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-1233805</wp:posOffset>
            </wp:positionV>
            <wp:extent cx="68580" cy="1543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-659130</wp:posOffset>
            </wp:positionV>
            <wp:extent cx="77470" cy="1714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-659130</wp:posOffset>
            </wp:positionV>
            <wp:extent cx="68580" cy="1714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-659130</wp:posOffset>
            </wp:positionV>
            <wp:extent cx="68580" cy="1714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36" w:name="page37"/>
    <w:bookmarkEnd w:id="36"/>
    <w:p>
      <w:pPr>
        <w:ind w:left="520"/>
        <w:spacing w:after="0"/>
        <w:rPr>
          <w:sz w:val="20"/>
          <w:szCs w:val="20"/>
          <w:color w:val="auto"/>
        </w:rPr>
      </w:pPr>
      <w:r>
        <w:rPr>
          <w:rFonts w:ascii="Times New Roman" w:cs="Times New Roman" w:eastAsia="Times New Roman" w:hAnsi="Times New Roman"/>
          <w:sz w:val="18"/>
          <w:szCs w:val="18"/>
          <w:color w:val="auto"/>
        </w:rPr>
        <w:t>The following discussion presents the components of our expenses for the periods presented:</w:t>
      </w:r>
    </w:p>
    <w:p>
      <w:pPr>
        <w:spacing w:after="0" w:line="1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3"/>
                <w:szCs w:val="13"/>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280" w:type="dxa"/>
            <w:vAlign w:val="bottom"/>
          </w:tcPr>
          <w:p>
            <w:pPr>
              <w:spacing w:after="0"/>
              <w:rPr>
                <w:sz w:val="13"/>
                <w:szCs w:val="13"/>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7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Ended</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Ended</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8"/>
        </w:trPr>
        <w:tc>
          <w:tcPr>
            <w:tcW w:w="7400" w:type="dxa"/>
            <w:vAlign w:val="bottom"/>
          </w:tcPr>
          <w:p>
            <w:pPr>
              <w:spacing w:after="0"/>
              <w:rPr>
                <w:sz w:val="12"/>
                <w:szCs w:val="12"/>
                <w:color w:val="auto"/>
              </w:rPr>
            </w:pPr>
          </w:p>
        </w:tc>
        <w:tc>
          <w:tcPr>
            <w:tcW w:w="880" w:type="dxa"/>
            <w:vAlign w:val="bottom"/>
            <w:gridSpan w:val="2"/>
          </w:tcPr>
          <w:p>
            <w:pPr>
              <w:jc w:val="right"/>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28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6"/>
        </w:trPr>
        <w:tc>
          <w:tcPr>
            <w:tcW w:w="7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30,</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30,</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7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r>
      <w:tr>
        <w:trPr>
          <w:trHeight w:val="210"/>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Direct, external research and development expenses by program:</w:t>
            </w: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Adintrevimab</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107,044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90,561</w:t>
            </w:r>
          </w:p>
        </w:tc>
        <w:tc>
          <w:tcPr>
            <w:tcW w:w="5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16,483</w:t>
            </w: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NVD200</w:t>
            </w: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11,837</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11,837</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Unallocated research and development expenses: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Personnel-related costs</w:t>
            </w: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28,410</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14,457</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13,953</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External discovery-related and other costs</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12,004</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9,447</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100" w:type="dxa"/>
            <w:vAlign w:val="bottom"/>
          </w:tcPr>
          <w:p>
            <w:pPr>
              <w:spacing w:after="0"/>
              <w:rPr>
                <w:sz w:val="18"/>
                <w:szCs w:val="18"/>
                <w:color w:val="auto"/>
              </w:rPr>
            </w:pPr>
          </w:p>
        </w:tc>
      </w:tr>
      <w:tr>
        <w:trPr>
          <w:trHeight w:val="249"/>
        </w:trPr>
        <w:tc>
          <w:tcPr>
            <w:tcW w:w="74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159,295</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114,465</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44,830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-25400</wp:posOffset>
            </wp:positionV>
            <wp:extent cx="7683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-7620</wp:posOffset>
            </wp:positionV>
            <wp:extent cx="7683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-25400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-7620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4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were $159.3 million for the nine months ended September 30, 2022, compared to $114.5 million for the nine months ended September 30, 2021. The $44.8 million increase in research and development expenses was primarily due to the following:</w:t>
      </w:r>
    </w:p>
    <w:p>
      <w:pPr>
        <w:spacing w:after="0" w:line="54" w:lineRule="exact"/>
        <w:rPr>
          <w:sz w:val="20"/>
          <w:szCs w:val="20"/>
          <w:color w:val="auto"/>
        </w:rPr>
      </w:pPr>
    </w:p>
    <w:p>
      <w:pPr>
        <w:jc w:val="both"/>
        <w:ind w:left="1020" w:hanging="503"/>
        <w:spacing w:after="0" w:line="245"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direct costs related to our adintrevimab program of $16.5 million was primarily due to an increase in our contract manufacturing and contract research expenses. Contract manufacturing expenses increased $13.5 million related to 2022 commercial manufacturing of adintrevimab, procured from WuXi, our sole-source supplier of drug substance and drug product, partially offset by the recognition of the seven-figure WuXi credit. Contract research expenses increased $4.3 million related to monitoring of patients enrolled in our clinical trials as of the enrollment pause in January 2022, compared to lower enrollment and a partial period of clinical trial related expenses during the nine months ended September 30, 2021. These increases were partially offset by a decrease of $1.3 million in other external and non-clinical expenses.</w:t>
      </w:r>
    </w:p>
    <w:p>
      <w:pPr>
        <w:spacing w:after="0" w:line="73"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direct expenses related to NVD200 is due to the nomination of our NVD200 product candidate in 2022 to proceed to IND-enabling activities. The costs primarily related to contract manufacturing expenses for the manufacture of materials for use in our clinical trials and non-clinical studies.</w:t>
      </w:r>
    </w:p>
    <w:p>
      <w:pPr>
        <w:spacing w:after="0" w:line="61"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Personnel-related costs, including salaries, bonuses, benefits and other compensation-related costs were $18.4 million and stock-based compensation expense was $10.0 million for the nine months ended September 30, 2022, compared to personnel-related costs of $10.9 million and stock-based compensation expense of $3.6 million for the nine months ended September 30, 2021. The increase in personnel-related costs of $13.9 million was primarily due to the hiring of additional individuals to support the development of our product candidates, including an increase in stock-based compensation expense of $6.4 million.</w:t>
      </w:r>
    </w:p>
    <w:p>
      <w:pPr>
        <w:spacing w:after="0" w:line="69" w:lineRule="exact"/>
        <w:rPr>
          <w:rFonts w:ascii="Times New Roman" w:cs="Times New Roman" w:eastAsia="Times New Roman" w:hAnsi="Times New Roman"/>
          <w:sz w:val="18"/>
          <w:szCs w:val="18"/>
          <w:color w:val="auto"/>
        </w:rPr>
      </w:pPr>
    </w:p>
    <w:p>
      <w:pPr>
        <w:jc w:val="both"/>
        <w:ind w:left="1020" w:hanging="503"/>
        <w:spacing w:after="0" w:line="243"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external discovery-related and other costs of $2.6 million was primarily due to an increase of $2.6 million related to the quarterly fee under the Adimab Collaboration Agreement, which commenced during the three months ended September 30, 2021, an increase of $1.1 million related to services performed by Adimab on our behalf under the Adimab Assignment Agreement and the Adimab Collaboration Agreement, an increase of $1.7 million related to information technology costs, software expenditures, and insurance costs, an increase of $0.6 million in laboratory-related expenses, which include equipment, laboratory supplies, rent expense and other operating costs, and an increase of $1.0 million in other external discovery-related and other costs. These increases are offset by a decrease of $4.4 million of direct costs related to ADG10 during the nine months ended September 30, 2021, for which there were no comparable costs during the nine months ended September 30, 2022.</w:t>
      </w:r>
    </w:p>
    <w:p>
      <w:pPr>
        <w:spacing w:after="0" w:line="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Acquired In-Process Research and Development Expenses</w:t>
      </w:r>
    </w:p>
    <w:p>
      <w:pPr>
        <w:spacing w:after="0" w:line="121"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Acquired IPR&amp;D expenses of $4.0 million for the nine months ended September 30, 2022 consisted of $1.0 million incurred related to an option exercise pursuant to the Adimab Collaboration Agreement and $3.0 million incurred related to our upfront consideration payable for the rights assigned pursuant to the Adimab Platform Transfer Agreement.</w:t>
      </w:r>
    </w:p>
    <w:p>
      <w:pPr>
        <w:spacing w:after="0" w:line="82"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Acquired IPR&amp;D expenses of $7.5 million for the nine months ended September 30, 2021 consisted of the costs we incurred in the period under the Adimab Assignment Agreement for a $1.0 million milestone payment that became due to Adimab in February 2021 upon the dosing of the first patient in a Phase 1 clinical trial evaluating adintrevimab for the prevention of COVID-19, a $2.5 million milestone payment that became due to Adimab in April 2021 upon the dosing of the first patient in the first Phase 2 clinical trial evaluating adintrevimab for the prevention of COVID-19 and a $4.0 million milestone payment that became due to Adimab in August 2021 upon the dosing of the first patient in a Phase 3 global clinical trial evaluating adintrevimab for the prevention of COVID-19. The</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37" w:name="page38"/>
    <w:bookmarkEnd w:id="37"/>
    <w:p>
      <w:pPr>
        <w:ind w:right="20"/>
        <w:spacing w:after="0" w:line="282" w:lineRule="auto"/>
        <w:rPr>
          <w:sz w:val="20"/>
          <w:szCs w:val="20"/>
          <w:color w:val="auto"/>
        </w:rPr>
      </w:pPr>
      <w:r>
        <w:rPr>
          <w:rFonts w:ascii="Times New Roman" w:cs="Times New Roman" w:eastAsia="Times New Roman" w:hAnsi="Times New Roman"/>
          <w:sz w:val="18"/>
          <w:szCs w:val="18"/>
          <w:color w:val="auto"/>
        </w:rPr>
        <w:t>amounts of these contingent payments were recognized as an IPR&amp;D expense based on the nature of the associated assets acquired from Adimab on the date the milestone achievement became probable.</w:t>
      </w:r>
    </w:p>
    <w:p>
      <w:pPr>
        <w:spacing w:after="0" w:line="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3"/>
                <w:szCs w:val="13"/>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280" w:type="dxa"/>
            <w:vAlign w:val="bottom"/>
          </w:tcPr>
          <w:p>
            <w:pPr>
              <w:spacing w:after="0"/>
              <w:rPr>
                <w:sz w:val="13"/>
                <w:szCs w:val="13"/>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7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Ended</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Ended</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8"/>
        </w:trPr>
        <w:tc>
          <w:tcPr>
            <w:tcW w:w="7420" w:type="dxa"/>
            <w:vAlign w:val="bottom"/>
          </w:tcPr>
          <w:p>
            <w:pPr>
              <w:spacing w:after="0"/>
              <w:rPr>
                <w:sz w:val="12"/>
                <w:szCs w:val="12"/>
                <w:color w:val="auto"/>
              </w:rPr>
            </w:pPr>
          </w:p>
        </w:tc>
        <w:tc>
          <w:tcPr>
            <w:tcW w:w="860" w:type="dxa"/>
            <w:vAlign w:val="bottom"/>
            <w:gridSpan w:val="2"/>
          </w:tcPr>
          <w:p>
            <w:pPr>
              <w:jc w:val="right"/>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280" w:type="dxa"/>
            <w:vAlign w:val="bottom"/>
          </w:tcPr>
          <w:p>
            <w:pPr>
              <w:spacing w:after="0"/>
              <w:rPr>
                <w:sz w:val="12"/>
                <w:szCs w:val="12"/>
                <w:color w:val="auto"/>
              </w:rPr>
            </w:pPr>
          </w:p>
        </w:tc>
        <w:tc>
          <w:tcPr>
            <w:tcW w:w="880" w:type="dxa"/>
            <w:vAlign w:val="bottom"/>
            <w:gridSpan w:val="2"/>
          </w:tcPr>
          <w:p>
            <w:pPr>
              <w:jc w:val="right"/>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6"/>
        </w:trPr>
        <w:tc>
          <w:tcPr>
            <w:tcW w:w="7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30,</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30,</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7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r>
      <w:tr>
        <w:trPr>
          <w:trHeight w:val="209"/>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Personnel-related costs</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14,176</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11,980</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100" w:type="dxa"/>
            <w:vAlign w:val="bottom"/>
            <w:shd w:val="clear" w:color="auto" w:fill="CFF0FC"/>
          </w:tcPr>
          <w:p>
            <w:pPr>
              <w:spacing w:after="0"/>
              <w:rPr>
                <w:sz w:val="18"/>
                <w:szCs w:val="18"/>
                <w:color w:val="auto"/>
              </w:rPr>
            </w:pPr>
          </w:p>
        </w:tc>
      </w:tr>
      <w:tr>
        <w:trPr>
          <w:trHeight w:val="216"/>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and consultant fees</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9,026</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11,718</w:t>
            </w:r>
          </w:p>
        </w:tc>
        <w:tc>
          <w:tcPr>
            <w:tcW w:w="100" w:type="dxa"/>
            <w:vAlign w:val="bottom"/>
          </w:tcPr>
          <w:p>
            <w:pPr>
              <w:spacing w:after="0"/>
              <w:rPr>
                <w:sz w:val="18"/>
                <w:szCs w:val="18"/>
                <w:color w:val="auto"/>
              </w:rPr>
            </w:pPr>
          </w:p>
        </w:tc>
      </w:tr>
      <w:tr>
        <w:trPr>
          <w:trHeight w:val="216"/>
        </w:trPr>
        <w:tc>
          <w:tcPr>
            <w:tcW w:w="7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36,524</w:t>
            </w:r>
          </w:p>
        </w:tc>
        <w:tc>
          <w:tcPr>
            <w:tcW w:w="4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21,853</w:t>
            </w:r>
          </w:p>
        </w:tc>
        <w:tc>
          <w:tcPr>
            <w:tcW w:w="5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14,671</w:t>
            </w:r>
          </w:p>
        </w:tc>
        <w:tc>
          <w:tcPr>
            <w:tcW w:w="100" w:type="dxa"/>
            <w:vAlign w:val="bottom"/>
          </w:tcPr>
          <w:p>
            <w:pPr>
              <w:spacing w:after="0"/>
              <w:rPr>
                <w:sz w:val="18"/>
                <w:szCs w:val="18"/>
                <w:color w:val="auto"/>
              </w:rPr>
            </w:pPr>
          </w:p>
        </w:tc>
      </w:tr>
      <w:tr>
        <w:trPr>
          <w:trHeight w:val="20"/>
        </w:trPr>
        <w:tc>
          <w:tcPr>
            <w:tcW w:w="7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-170815</wp:posOffset>
            </wp:positionV>
            <wp:extent cx="76835" cy="1714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-170815</wp:posOffset>
            </wp:positionV>
            <wp:extent cx="68580" cy="1714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4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were $36.5 million for the nine months ended September 30, 2022, compared to $21.9 million for the nine months ended September 30, 2021. The $14.6 million increase in selling, general and administrative expenses was primarily due to the following:</w:t>
      </w:r>
    </w:p>
    <w:p>
      <w:pPr>
        <w:spacing w:after="0" w:line="54" w:lineRule="exact"/>
        <w:rPr>
          <w:sz w:val="20"/>
          <w:szCs w:val="20"/>
          <w:color w:val="auto"/>
        </w:rPr>
      </w:pPr>
    </w:p>
    <w:p>
      <w:pPr>
        <w:jc w:val="both"/>
        <w:ind w:left="1020" w:hanging="503"/>
        <w:spacing w:after="0" w:line="247"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Personnel-related costs, including salaries, bonuses, benefits and other compensation-related costs were $8.4 million and stock-based compensation expense was $5.8 million for the nine months ended September 30, 2022, compared to personnel-related costs of $5.7 million and stock-based compensation expense of $6.3 million for the nine months ended September 30, 2021. The increase in personnel-related costs of $2.2 million was primarily due to the hiring of additional individuals to support our operations as we began operating as a public company, partially offset by the reversal of stock-based compensation expense related to the forfeiture of stock options in conjunction with the resignation of our former Chief Executive Officer and President.</w:t>
      </w:r>
    </w:p>
    <w:p>
      <w:pPr>
        <w:spacing w:after="0" w:line="71"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professional services and consultant fees of $11.7 million was primarily due to costs incurred as we began operating as a public company, including expenses related to corporate governance matters, director and officer insurance premiums, audit and other fees.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costs remained relatively consistent between periods.</w:t>
      </w:r>
    </w:p>
    <w:p>
      <w:pPr>
        <w:spacing w:after="0" w:line="1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0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Other income (expense), net was $3.1 million and less than $0.1 million for the nine months ended September 30, 2022 and 2021, respectively, consisting primarily of interest earned on invested cash balances.</w:t>
      </w:r>
    </w:p>
    <w:p>
      <w:pPr>
        <w:spacing w:after="0" w:line="36" w:lineRule="exact"/>
        <w:rPr>
          <w:sz w:val="20"/>
          <w:szCs w:val="20"/>
          <w:color w:val="auto"/>
        </w:rPr>
      </w:pPr>
    </w:p>
    <w:p>
      <w:pPr>
        <w:jc w:val="center"/>
        <w:ind w:right="874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4" w:lineRule="exact"/>
        <w:rPr>
          <w:sz w:val="20"/>
          <w:szCs w:val="20"/>
          <w:color w:val="auto"/>
        </w:rPr>
      </w:pPr>
    </w:p>
    <w:p>
      <w:pPr>
        <w:jc w:val="center"/>
        <w:ind w:right="870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Since our inception in June 2020, we have not generated any revenue from any sources, including from product sales or government supply contracts, and have incurred significant operating losses and negative cash flows from operations. We expect to incur substantial expenses and operating losses for the foreseeable future as we advance the clinical development of our product candidates. To date, we have financed our operations with net proceeds of $464.7 million from sales of our preferred stock, and with net proceeds from our IPO in August 2021, in which we issued and sold 20,930,000 shares of our common stock, including 2,730,000 shares of common stock pursuant to the full exercise of the underwriters’ option to purchase additional shares. We received aggregate net proceeds from our IPO of $327.5 million, after deducting underwriting discounts and commissions and offering expenses payable by us.</w:t>
      </w:r>
    </w:p>
    <w:p>
      <w:pPr>
        <w:spacing w:after="0" w:line="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September 30, 2022, we had cash, cash equivalents and marketable securities of $418.7 million.</w:t>
      </w:r>
    </w:p>
    <w:p>
      <w:pPr>
        <w:spacing w:after="0" w:line="1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2"/>
          </w:tcPr>
          <w:p>
            <w:pPr>
              <w:jc w:val="center"/>
              <w:ind w:right="33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3"/>
                <w:szCs w:val="13"/>
                <w:color w:val="auto"/>
              </w:rPr>
            </w:pPr>
          </w:p>
        </w:tc>
        <w:tc>
          <w:tcPr>
            <w:tcW w:w="1540" w:type="dxa"/>
            <w:vAlign w:val="bottom"/>
            <w:gridSpan w:val="2"/>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5"/>
        </w:trPr>
        <w:tc>
          <w:tcPr>
            <w:tcW w:w="474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2"/>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5"/>
                <w:szCs w:val="15"/>
                <w:color w:val="auto"/>
              </w:rPr>
            </w:pPr>
          </w:p>
        </w:tc>
        <w:tc>
          <w:tcPr>
            <w:tcW w:w="1540" w:type="dxa"/>
            <w:vAlign w:val="bottom"/>
            <w:gridSpan w:val="2"/>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87"/>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0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(172,583</w:t>
            </w:r>
          </w:p>
        </w:tc>
        <w:tc>
          <w:tcPr>
            <w:tcW w:w="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(111,524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(91,854 )</w:t>
            </w:r>
          </w:p>
        </w:tc>
        <w:tc>
          <w:tcPr>
            <w:tcW w:w="12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(188,627 )</w:t>
            </w:r>
          </w:p>
        </w:tc>
        <w:tc>
          <w:tcPr>
            <w:tcW w:w="0" w:type="dxa"/>
            <w:vAlign w:val="bottom"/>
          </w:tcPr>
          <w:p>
            <w:pPr>
              <w:spacing w:after="0"/>
              <w:rPr>
                <w:sz w:val="1"/>
                <w:szCs w:val="1"/>
                <w:color w:val="auto"/>
              </w:rPr>
            </w:pPr>
          </w:p>
        </w:tc>
      </w:tr>
      <w:tr>
        <w:trPr>
          <w:trHeight w:val="216"/>
        </w:trPr>
        <w:tc>
          <w:tcPr>
            <w:tcW w:w="4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0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663,432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3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(264,072 )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363,281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3020" w:type="dxa"/>
            <w:vAlign w:val="bottom"/>
            <w:vMerge w:val="restart"/>
          </w:tcPr>
          <w:p>
            <w:pPr>
              <w:jc w:val="right"/>
              <w:ind w:right="195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74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40" w:type="dxa"/>
            <w:vAlign w:val="bottom"/>
            <w:tcBorders>
              <w:bottom w:val="single" w:sz="8" w:color="9A9A9A"/>
            </w:tcBorders>
          </w:tcPr>
          <w:p>
            <w:pPr>
              <w:spacing w:after="0"/>
              <w:rPr>
                <w:sz w:val="10"/>
                <w:szCs w:val="10"/>
                <w:color w:val="auto"/>
              </w:rPr>
            </w:pPr>
          </w:p>
        </w:tc>
        <w:tc>
          <w:tcPr>
            <w:tcW w:w="3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-659765</wp:posOffset>
            </wp:positionV>
            <wp:extent cx="68580" cy="1714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-659765</wp:posOffset>
            </wp:positionV>
            <wp:extent cx="68580" cy="1714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38" w:name="page39"/>
    <w:bookmarkEnd w:id="38"/>
    <w:p>
      <w:pPr>
        <w:ind w:left="5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During the nine months ended September 30, 2022, operating activities used $172.6 million of cash, primarily due to our net loss of $196.7 million, partially offset by non-cash charges of $16.1 million. Net cash provided by changes in our operating assets and liabilities consisted of a $10.4 million increase in accounts payable, offset by a $27.6 million decrease in accrued expenses, a $22.4 million decrease in prepaid expenses and other current assets, and a $3.1 million decrease in other non-current assets. The increase in accounts payable and decrease in accrued expenses was primarily due to the timing of vendor invoicing and payments. The decrease in prepaids expenses and other current assets and in other non-current assets was primarily due to our utilization of WuXi manufacturing deposits.</w:t>
      </w:r>
    </w:p>
    <w:p>
      <w:pPr>
        <w:spacing w:after="0" w:line="87"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During the nine months ended September 30, 2021, operating activities used $111.5 million of cash, primarily due to our net loss of $143.7 million, partially offset by non-cash charges of $10.6 million. Net cash provided by changes in our operating assets and liabilities consisted of a $8.9 million increase in accounts payable and a $30.1 million increase in accrued expenses, partially offset by a $11.3 million increase in prepaid expenses and other current assets and a $6.0 million increase in other non-current assets. The increases in accounts payable and accrued expenses were primarily due to amounts owed to vendors in connection with our research and development activities, including increased external costs associated with clinical trials and manufacturing, as well as increases in accrued employee bonuses. The increase in prepaid expenses and other current assets and other non-current assets was primarily due to prepayments for external research and development activities and prepayments for insurance premiums.</w:t>
      </w:r>
    </w:p>
    <w:p>
      <w:pPr>
        <w:spacing w:after="0" w:line="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0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during the nine months ended September 30, 2022 consisted of $140.3 million in purchases of marketable securities and $0.5 million in purchases of property and equipment, offset by $49.0 million in maturities of marketable securities.</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during the nine months ended September 30, 2021 consisted of $188.6 million in purchases of marketable securities.</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during the nine months ended September 30, 2022 primarily consisted of $0.2 million from exercises of stock options and $0.1 million from issuance of common stock under the employee stock purchase plan.</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during the nine months ended September 30, 2021 consisted of $328.3 million from sales of our common stock and $335.2 million of net proceeds from the issuance of our Series C Preferred Stock in April 2021.</w:t>
      </w:r>
    </w:p>
    <w:p>
      <w:pPr>
        <w:spacing w:after="0" w:line="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0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expenses could increase in connection with our ongoing activities, particularly as we advance the non-clinical and preclinical studies and the clinical trials of our product candidates, including any associated manufacturing activities, and potential commercialization efforts. Our funding requirements and timing and amount of our operating expenditures will depend on many factors, including:</w:t>
      </w:r>
    </w:p>
    <w:p>
      <w:pPr>
        <w:spacing w:after="0" w:line="61" w:lineRule="exact"/>
        <w:rPr>
          <w:sz w:val="20"/>
          <w:szCs w:val="20"/>
          <w:color w:val="auto"/>
        </w:rPr>
      </w:pPr>
    </w:p>
    <w:p>
      <w:pPr>
        <w:ind w:left="1140" w:hanging="504"/>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in the development of our product candidates;</w:t>
      </w:r>
    </w:p>
    <w:p>
      <w:pPr>
        <w:spacing w:after="0" w:line="10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discovery, non-clinical studies, preclinical development, laboratory testing and clinical trials for our product candidates and associated development programs;</w:t>
      </w:r>
    </w:p>
    <w:p>
      <w:pPr>
        <w:spacing w:after="0" w:line="40"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develop, in-license or acquire other product candidates and technologies in our pipeline;</w:t>
      </w:r>
    </w:p>
    <w:p>
      <w:pPr>
        <w:spacing w:after="0" w:line="103" w:lineRule="exact"/>
        <w:rPr>
          <w:rFonts w:ascii="Times New Roman" w:cs="Times New Roman" w:eastAsia="Times New Roman" w:hAnsi="Times New Roman"/>
          <w:sz w:val="18"/>
          <w:szCs w:val="18"/>
          <w:color w:val="auto"/>
        </w:rPr>
      </w:pPr>
    </w:p>
    <w:p>
      <w:pPr>
        <w:jc w:val="both"/>
        <w:ind w:left="1140" w:hanging="504"/>
        <w:spacing w:after="0" w:line="258"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manufacturing and validation activities associated with our current product candidates with the development and manufacturing of our future product candidates and other programs as we advance them through preclinical and clinical development;</w:t>
      </w:r>
    </w:p>
    <w:p>
      <w:pPr>
        <w:spacing w:after="0" w:line="61"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product candidates that we may pursue;</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03"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research and development capabilities and establish a commercial infrastructure for any product candidates for which we may obtain regulatory approval or EUA;</w:t>
      </w:r>
    </w:p>
    <w:p>
      <w:pPr>
        <w:spacing w:after="0" w:line="67"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costs of securing sufficient capacity for clinical and commercial supply of our current and potential future product candidates, or the raw material components thereof;</w:t>
      </w:r>
    </w:p>
    <w:p>
      <w:pPr>
        <w:spacing w:after="0" w:line="54"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 for any of our product candidates for which we receive marketing approval or EUA;</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0" w:right="339" w:bottom="1440" w:gutter="0" w:footer="0" w:header="0"/>
        </w:sectPr>
      </w:pPr>
    </w:p>
    <w:bookmarkStart w:id="39" w:name="page40"/>
    <w:bookmarkEnd w:id="39"/>
    <w:p>
      <w:pPr>
        <w:ind w:left="1140" w:hanging="504"/>
        <w:spacing w:after="0" w:line="282"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necessary to obtain regulatory approvals, if any, for products in the United States and other jurisdictions, and the costs of post-marketing studies that could be required by regulatory authorities in jurisdictions where approval is obtained;</w:t>
      </w:r>
    </w:p>
    <w:p>
      <w:pPr>
        <w:spacing w:after="0" w:line="40" w:lineRule="exact"/>
        <w:rPr>
          <w:rFonts w:ascii="Times New Roman" w:cs="Times New Roman" w:eastAsia="Times New Roman" w:hAnsi="Times New Roman"/>
          <w:sz w:val="18"/>
          <w:szCs w:val="18"/>
          <w:color w:val="auto"/>
        </w:rPr>
      </w:pPr>
    </w:p>
    <w:p>
      <w:pPr>
        <w:ind w:left="1140" w:right="20" w:hanging="504"/>
        <w:spacing w:after="0" w:line="266"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w:t>
      </w:r>
    </w:p>
    <w:p>
      <w:pPr>
        <w:spacing w:after="0" w:line="67" w:lineRule="exact"/>
        <w:rPr>
          <w:rFonts w:ascii="Times New Roman" w:cs="Times New Roman" w:eastAsia="Times New Roman" w:hAnsi="Times New Roman"/>
          <w:sz w:val="18"/>
          <w:szCs w:val="18"/>
          <w:color w:val="auto"/>
        </w:rPr>
      </w:pPr>
    </w:p>
    <w:p>
      <w:pPr>
        <w:ind w:left="1140" w:right="20" w:hanging="504"/>
        <w:spacing w:after="0" w:line="266"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continuation of our existing licensing and collaboration arrangements and entry into new collaborations and licensing arrangements, if at all;</w:t>
      </w:r>
    </w:p>
    <w:p>
      <w:pPr>
        <w:spacing w:after="0" w:line="54"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and ability to hire additional research, clinical, development, scientific and manufacturing personnel;</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we incur in maintaining business operations;</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implement additional internal systems and infrastructure;</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product and market developments;</w:t>
      </w:r>
    </w:p>
    <w:p>
      <w:pPr>
        <w:spacing w:after="0" w:line="90"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product candidates for which we receive marketing approval;</w:t>
      </w:r>
    </w:p>
    <w:p>
      <w:pPr>
        <w:spacing w:after="0" w:line="90"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 and</w:t>
      </w:r>
    </w:p>
    <w:p>
      <w:pPr>
        <w:spacing w:after="0" w:line="90" w:lineRule="exact"/>
        <w:rPr>
          <w:rFonts w:ascii="Times New Roman" w:cs="Times New Roman" w:eastAsia="Times New Roman" w:hAnsi="Times New Roman"/>
          <w:sz w:val="18"/>
          <w:szCs w:val="18"/>
          <w:color w:val="auto"/>
        </w:rPr>
      </w:pPr>
    </w:p>
    <w:p>
      <w:pPr>
        <w:jc w:val="both"/>
        <w:ind w:left="1140" w:right="20" w:hanging="504"/>
        <w:spacing w:after="0" w:line="236"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progression of the COVID-19 pandemic and emergence of potential outbreaks of other coronaviruses, including the impact of any business interruptions to our operations or to those of our contract manufacturers, suppliers or other vendors resulting from the COVID-19 pandemic or other similar public health crises.</w:t>
      </w:r>
    </w:p>
    <w:p>
      <w:pPr>
        <w:spacing w:after="0" w:line="51" w:lineRule="exact"/>
        <w:rPr>
          <w:sz w:val="20"/>
          <w:szCs w:val="20"/>
          <w:color w:val="auto"/>
        </w:rPr>
      </w:pPr>
    </w:p>
    <w:p>
      <w:pPr>
        <w:jc w:val="both"/>
        <w:ind w:firstLine="509"/>
        <w:spacing w:after="0" w:line="236" w:lineRule="auto"/>
        <w:rPr>
          <w:sz w:val="20"/>
          <w:szCs w:val="20"/>
          <w:color w:val="auto"/>
        </w:rPr>
      </w:pPr>
      <w:r>
        <w:rPr>
          <w:rFonts w:ascii="Times New Roman" w:cs="Times New Roman" w:eastAsia="Times New Roman" w:hAnsi="Times New Roman"/>
          <w:sz w:val="18"/>
          <w:szCs w:val="18"/>
          <w:color w:val="auto"/>
        </w:rPr>
        <w:t>As of November 10, 2022, we believe that our existing cash, cash equivalents and marketable securities will enable us to fund our operating expenses and capital expenditure requirements into the second quarter of 2024. We have based this estimate on assumptions that may prove to be wrong, and we could exhaust our available capital resources sooner than we expect.</w:t>
      </w:r>
    </w:p>
    <w:p>
      <w:pPr>
        <w:spacing w:after="0" w:line="64" w:lineRule="exact"/>
        <w:rPr>
          <w:sz w:val="20"/>
          <w:szCs w:val="20"/>
          <w:color w:val="auto"/>
        </w:rPr>
      </w:pPr>
    </w:p>
    <w:p>
      <w:pPr>
        <w:jc w:val="both"/>
        <w:ind w:firstLine="509"/>
        <w:spacing w:after="0" w:line="222"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operations through a combination of equity offerings, government or private-party grants, debt financings, collaborations, strategic alliances and licensing arrangements. To the extent that we raise</w:t>
      </w:r>
    </w:p>
    <w:p>
      <w:pPr>
        <w:spacing w:after="0" w:line="2"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additional capital through the sale of equity or convertible debt securities, your ownership interest will be diluted, and the terms of such securities may include liquidation or other preferences and anti-dilution protections that adversely affect your rights as a common stockholder. Additional debt financing and preferred equity financing, if available, may involve agreements that include covenants limiting or restricting our ability to take specific actions, such</w:t>
      </w:r>
    </w:p>
    <w:p>
      <w:pPr>
        <w:jc w:val="both"/>
        <w:spacing w:after="0" w:line="211" w:lineRule="auto"/>
        <w:rPr>
          <w:sz w:val="20"/>
          <w:szCs w:val="20"/>
          <w:color w:val="auto"/>
        </w:rPr>
      </w:pPr>
      <w:r>
        <w:rPr>
          <w:rFonts w:ascii="Times New Roman" w:cs="Times New Roman" w:eastAsia="Times New Roman" w:hAnsi="Times New Roman"/>
          <w:sz w:val="18"/>
          <w:szCs w:val="18"/>
          <w:color w:val="auto"/>
        </w:rPr>
        <w:t>as incurring debt, making acquisitions or capital expenditures or declaring dividends, which could adversely constrain our ability to conduct our business, and may require the issuance of warrants, which could potentially dilute your ownership interest. If we raise additional funds through collaborations,</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through other sources, when needed, we may be required to delay, limit, reduce or terminate our product development</w:t>
      </w:r>
    </w:p>
    <w:p>
      <w:pPr>
        <w:jc w:val="both"/>
        <w:spacing w:after="0" w:line="226" w:lineRule="auto"/>
        <w:rPr>
          <w:sz w:val="20"/>
          <w:szCs w:val="20"/>
          <w:color w:val="auto"/>
        </w:rPr>
      </w:pPr>
      <w:r>
        <w:rPr>
          <w:rFonts w:ascii="Times New Roman" w:cs="Times New Roman" w:eastAsia="Times New Roman" w:hAnsi="Times New Roman"/>
          <w:sz w:val="18"/>
          <w:szCs w:val="18"/>
          <w:color w:val="auto"/>
        </w:rPr>
        <w:t>programs or any future commercialization efforts or grant rights to develop and market product candidates to third parties that we would otherwise prefer to develop and market ourselves.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three months ended September 30, 2022, there were material changes to our contractual obligations from those described in the 2021</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Form 10-K. In April 2022, the total volume of contractually binding drug substance and drug product batches to be manufactured under the Commercial Manufacturing Agreement was reduced to $51.6 million, a decrease of $107.8 million from the previous commitment of minimum non-cancelable purchase</w:t>
      </w:r>
    </w:p>
    <w:p>
      <w:pPr>
        <w:spacing w:after="0" w:line="1" w:lineRule="exact"/>
        <w:rPr>
          <w:sz w:val="20"/>
          <w:szCs w:val="20"/>
          <w:color w:val="auto"/>
        </w:rPr>
      </w:pPr>
    </w:p>
    <w:p>
      <w:pPr>
        <w:jc w:val="both"/>
        <w:ind w:right="20"/>
        <w:spacing w:after="0" w:line="219" w:lineRule="auto"/>
        <w:rPr>
          <w:sz w:val="20"/>
          <w:szCs w:val="20"/>
          <w:color w:val="auto"/>
        </w:rPr>
      </w:pPr>
      <w:r>
        <w:rPr>
          <w:rFonts w:ascii="Times New Roman" w:cs="Times New Roman" w:eastAsia="Times New Roman" w:hAnsi="Times New Roman"/>
          <w:sz w:val="18"/>
          <w:szCs w:val="18"/>
          <w:color w:val="auto"/>
        </w:rPr>
        <w:t>obligations of $159.4 million. In addition, WuXi agreed to provide us with a credit in the low eight-figures to offset future services rendered by WuXi. In July 2022, we provided notice to WuXi to cancel the contractually binding drug product batches. As of September 30, 2022, approximately $3.5 million was included in accounts payable and accrued expenses pursuant to the Commercial Manufacturing Agreement. As of September 30, 2022, the total</w:t>
      </w:r>
    </w:p>
    <w:p>
      <w:pPr>
        <w:jc w:val="both"/>
        <w:spacing w:after="0" w:line="211" w:lineRule="auto"/>
        <w:rPr>
          <w:sz w:val="20"/>
          <w:szCs w:val="20"/>
          <w:color w:val="auto"/>
        </w:rPr>
      </w:pPr>
      <w:r>
        <w:rPr>
          <w:rFonts w:ascii="Times New Roman" w:cs="Times New Roman" w:eastAsia="Times New Roman" w:hAnsi="Times New Roman"/>
          <w:sz w:val="18"/>
          <w:szCs w:val="18"/>
          <w:color w:val="auto"/>
        </w:rPr>
        <w:t>remaining cost of contractually binding drug substance batches to be manufactured under the Commercial Manufacturing Agreement is $18.1 million. In June 2022, we entered into a two year noncancelable agreement for dedicated laboratory and office space in Newton, Massachusetts. The monthly rental</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payments under the agreement include base rent charges of $0.7 million per year. In September 2022, we amended the Newton, Massachusetts agreement to terminate our initial rent obligation. Pursuant to the amendment, we entered into a separate two year noncancelable agreement for new dedicated</w:t>
      </w:r>
    </w:p>
    <w:p>
      <w:pPr>
        <w:jc w:val="both"/>
        <w:spacing w:after="0" w:line="211" w:lineRule="auto"/>
        <w:rPr>
          <w:sz w:val="20"/>
          <w:szCs w:val="20"/>
          <w:color w:val="auto"/>
        </w:rPr>
      </w:pPr>
      <w:r>
        <w:rPr>
          <w:rFonts w:ascii="Times New Roman" w:cs="Times New Roman" w:eastAsia="Times New Roman" w:hAnsi="Times New Roman"/>
          <w:sz w:val="18"/>
          <w:szCs w:val="18"/>
          <w:color w:val="auto"/>
        </w:rPr>
        <w:t>laboratory and office space on the same campus as the aforementioned Newton, Massachusetts lease. We are expected to take occupancy of the new space during the fourth quarter of 2022. The monthly rental payments under the amended agreement include base rent charges of $1.3 million per year. For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see Note 8 to our condensed consolidated financial statements appearing in this Quarterly Report on Form 10-Q.</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financial statements are prepared in accordance with generally accepted accounting principles in the United States. The preparation of our</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financial statements and related disclosures requires us to make estimates, assumptions and judgments that affect the reported amount of assets, liabilities, revenue, costs and expenses, and related disclosures. Our critical accounting policies and estimates are described under the heading “Management’s</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Discussion and Analysis of Financial Condition and Results of Operations—Critical Accounting Policies and Significant Judgments and Estimates” in our 2021 Form 10-K. If actual results or events differ materially from the estimates, judgments and assumptions used by us in applying these policies, our</w:t>
      </w:r>
    </w:p>
    <w:p>
      <w:pPr>
        <w:jc w:val="both"/>
        <w:spacing w:after="0" w:line="226" w:lineRule="auto"/>
        <w:rPr>
          <w:sz w:val="20"/>
          <w:szCs w:val="20"/>
          <w:color w:val="auto"/>
        </w:rPr>
      </w:pPr>
      <w:r>
        <w:rPr>
          <w:rFonts w:ascii="Times New Roman" w:cs="Times New Roman" w:eastAsia="Times New Roman" w:hAnsi="Times New Roman"/>
          <w:sz w:val="18"/>
          <w:szCs w:val="18"/>
          <w:color w:val="auto"/>
        </w:rPr>
        <w:t>reported financial condition and results of operations could be materially affected. There have been no significant changes to our critical accounting policies and estimates from those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40" w:name="page41"/>
    <w:bookmarkEnd w:id="40"/>
    <w:p>
      <w:pPr>
        <w:jc w:val="both"/>
        <w:spacing w:after="0" w:line="250" w:lineRule="auto"/>
        <w:rPr>
          <w:sz w:val="20"/>
          <w:szCs w:val="20"/>
          <w:color w:val="auto"/>
        </w:rPr>
      </w:pPr>
      <w:r>
        <w:rPr>
          <w:rFonts w:ascii="Times New Roman" w:cs="Times New Roman" w:eastAsia="Times New Roman" w:hAnsi="Times New Roman"/>
          <w:sz w:val="18"/>
          <w:szCs w:val="18"/>
          <w:color w:val="auto"/>
        </w:rPr>
        <w:t>described in the 2021 Form 10-K, except as disclosed in Note 2 to our condensed consolidated financial statements appearing elsewhere in this Quarterly Report on Form 10-Q.</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94" w:lineRule="exact"/>
        <w:rPr>
          <w:sz w:val="20"/>
          <w:szCs w:val="20"/>
          <w:color w:val="auto"/>
        </w:rPr>
      </w:pPr>
    </w:p>
    <w:p>
      <w:pPr>
        <w:jc w:val="both"/>
        <w:ind w:firstLine="509"/>
        <w:spacing w:after="0" w:line="237"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results of operations and cash flows is disclosed in Note 2 to our condensed consolidated financial statements appearing elsewhere in this Quarterly Report on Form 10-Q.</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94" w:lineRule="exact"/>
        <w:rPr>
          <w:sz w:val="20"/>
          <w:szCs w:val="20"/>
          <w:color w:val="auto"/>
        </w:rPr>
      </w:pPr>
    </w:p>
    <w:p>
      <w:pPr>
        <w:jc w:val="both"/>
        <w:ind w:firstLine="509"/>
        <w:spacing w:after="0" w:line="230" w:lineRule="auto"/>
        <w:rPr>
          <w:sz w:val="20"/>
          <w:szCs w:val="20"/>
          <w:color w:val="auto"/>
        </w:rPr>
      </w:pPr>
      <w:r>
        <w:rPr>
          <w:rFonts w:ascii="Times New Roman" w:cs="Times New Roman" w:eastAsia="Times New Roman" w:hAnsi="Times New Roman"/>
          <w:sz w:val="18"/>
          <w:szCs w:val="18"/>
          <w:color w:val="auto"/>
        </w:rPr>
        <w:t>The Jumpstart Our Business Startups Act of 2012 permits an “emerging growth company” such as us to take advantage of an extended transition period to comply with new or revised accounting standards applicable to public companies until those standards would otherwise apply to private</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standard and will do so until such time that we either (i) irrevocably elect to “opt out” of such extended transition period or (ii) no longer qualify as an emerging growth company. We may choose to early adopt any new or revised accounting standards whenever such early adoption is permitted for private companies.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required under this item.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08"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Interim Chief Financial Officer (our principal executive officer and principal financial officer, respectively), evaluated the effectiveness of our disclosure controls and procedures as of September 30, 2022.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2022, our Chief Executive Officer and Interim Chief Financial Officer concluded that, as of such date, our disclosure controls and procedures were effective at the reasonable assurance level.</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94"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the period covered by this Quarterly Report on Form 10-Q that have materially affected, or are reasonably likely to materially affect, our internal control over financial reporting.</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are not currently party to any material legal proceedings. From time to time, we may become involved in litigation or legal proceedings relating to claims arising from the ordinary course of business.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06"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i w:val="1"/>
          <w:iCs w:val="1"/>
          <w:color w:val="auto"/>
        </w:rPr>
        <w:t>The following information sets forth risk factors that could cause our actual results to differ materially from those contained in forward-looking statements we have made in this Quarterly Report on Form 10-Q and those we may make from time to time. You should carefully consider the risks described below, in addition to the other information contained in this Quarterly Report on Form 10-Q and our other public filings. Our business, financial condition or results of operations could be harmed by any of these risks. The risks and uncertainties described below are not the only ones we face. Additional risks not presently known to us or other factors not perceived by us to present significant risks to our business at this time also may impair our business operations.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Needs</w:t>
      </w:r>
    </w:p>
    <w:p>
      <w:pPr>
        <w:spacing w:after="0" w:line="104"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our inception. We expect to incur losses over the next several years and may never achieve or maintain profitability.</w:t>
      </w:r>
    </w:p>
    <w:p>
      <w:pPr>
        <w:spacing w:after="0" w:line="63"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Since our inception, we have incurred significant losses, and we expect to continue to incur significant expenses and operating losses for the foreseeable future. Our net losses were $45.1 million and $196.7 million, respectively, for the three and nine months ended September 30, 2022 and $226.8 million for the year ended December 31, 2021. As of September 30, 2022, we had an accumulated deficit of $488.9 million. Since our inception, we have financed our operations with net proceeds of $464.7 million raised in our private placements of preferred stock, including the sale of our Series C preferred stock in April 2021, and approximately $327.5 million of net proceeds (after deducting underwriting discounts and offering expenses) from our IPO in August 2021. We have no products approved for commercialization and have never generated any revenue from product sales.</w:t>
      </w:r>
    </w:p>
    <w:p>
      <w:pPr>
        <w:spacing w:after="0" w:line="87"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All of our product candidates are still in clinical and preclinical testing. We expect to continue to incur significant expenses and operating losses over the next several years. Our net losses may fluctuate significantly from quarter to quarter and year to year. Our expenses could increase substantially as we:</w:t>
      </w:r>
    </w:p>
    <w:p>
      <w:pPr>
        <w:spacing w:after="0" w:line="82" w:lineRule="exact"/>
        <w:rPr>
          <w:sz w:val="20"/>
          <w:szCs w:val="20"/>
          <w:color w:val="auto"/>
        </w:rPr>
      </w:pPr>
    </w:p>
    <w:p>
      <w:pPr>
        <w:ind w:left="1140" w:hanging="504"/>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conduct clinical trials of NVD200, adintrevimab or any other product candidate;</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product candidates in new indications or patient populations;</w:t>
      </w:r>
    </w:p>
    <w:p>
      <w:pPr>
        <w:spacing w:after="0" w:line="103"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advance the preclinical development of our other product candidates and our preclinical and discovery programs, including development and screening of additional antibodies;</w:t>
      </w:r>
    </w:p>
    <w:p>
      <w:pPr>
        <w:spacing w:after="0" w:line="6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for any product candidates that successfully complete clinical trials;</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marketing approvals or Emergency Use Authorization (“EUA”) and reimbursement for our product candidates;</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product candidates, intellectual property and/or technologies;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validate our commercial-scale current good manufacturing practices (“cGMP”) manufacturing process;</w:t>
      </w:r>
    </w:p>
    <w:p>
      <w:pPr>
        <w:spacing w:after="0" w:line="103"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material under cGMP at our contracted manufacturing facilities for clinical trials and potential EUA, regulatory approval and commercial sales;</w:t>
      </w:r>
    </w:p>
    <w:p>
      <w:pPr>
        <w:spacing w:after="0" w:line="6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enforce, defend and protect our intellectual property portfolio;</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regulatory requirements established by the applicable regulatory authorities;</w:t>
      </w:r>
    </w:p>
    <w:p>
      <w:pPr>
        <w:spacing w:after="0" w:line="10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 candidates for which we may obtain regulatory approval or EUA;</w:t>
      </w:r>
    </w:p>
    <w:p>
      <w:pPr>
        <w:spacing w:after="0" w:line="40" w:lineRule="exact"/>
        <w:rPr>
          <w:rFonts w:ascii="Times New Roman" w:cs="Times New Roman" w:eastAsia="Times New Roman" w:hAnsi="Times New Roman"/>
          <w:sz w:val="18"/>
          <w:szCs w:val="18"/>
          <w:color w:val="auto"/>
        </w:rPr>
      </w:pPr>
    </w:p>
    <w:p>
      <w:pPr>
        <w:ind w:left="1140" w:right="20" w:hanging="504"/>
        <w:spacing w:after="0" w:line="266" w:lineRule="auto"/>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and retain additional personnel, including research, clinical, development, manufacturing quality control, quality assurance, regulatory and scientific personnel;</w:t>
      </w:r>
    </w:p>
    <w:p>
      <w:pPr>
        <w:spacing w:after="0" w:line="67"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corporate development, management information systems and administrative personnel, including personnel to support our product development and planned future commercialization efforts; and</w:t>
      </w:r>
    </w:p>
    <w:p>
      <w:pPr>
        <w:spacing w:after="0" w:line="54"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and other expenses in operating as a public company.</w:t>
      </w:r>
    </w:p>
    <w:p>
      <w:pPr>
        <w:spacing w:after="0" w:line="10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To date, we have not generated any revenue from product sales. To become and remain profitable, we must succeed in developing and eventually commercializing product candidates that generate significant revenue. This will require us to be successful in a range of challenging activities, including completing preclinical testing and clinical trials of our product candidates, validating manufacturing</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43" w:name="page44"/>
    <w:bookmarkEnd w:id="43"/>
    <w:p>
      <w:pPr>
        <w:jc w:val="both"/>
        <w:spacing w:after="0" w:line="250" w:lineRule="auto"/>
        <w:rPr>
          <w:sz w:val="20"/>
          <w:szCs w:val="20"/>
          <w:color w:val="auto"/>
        </w:rPr>
      </w:pPr>
      <w:r>
        <w:rPr>
          <w:rFonts w:ascii="Times New Roman" w:cs="Times New Roman" w:eastAsia="Times New Roman" w:hAnsi="Times New Roman"/>
          <w:sz w:val="18"/>
          <w:szCs w:val="18"/>
          <w:color w:val="auto"/>
        </w:rPr>
        <w:t>processes, obtaining regulatory approval or EUA, and manufacturing, distributing, marketing, and selling any product candidates for which we may obtain regulatory approval or EUA, as well as discovering and developing additional product candidates. All of our product candidates are in clinical or preclinical development. We may never succeed in these activities and, even if we do, may never generate any revenue or revenue that is significant enough to achieve profitability.</w:t>
      </w:r>
    </w:p>
    <w:p>
      <w:pPr>
        <w:spacing w:after="0" w:line="83"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product candidate development, we are unable to accurately predict the timing or amount of expenses or when, or if, we will be able to achieve profitability. If we are required by regulatory authorities to perform clinical trials or preclinical studies in addition to those currently expected, or if there are any delays in the initiation and completion of our clinical trials or the development of any of our product candidates, our expenses could increase.</w:t>
      </w:r>
    </w:p>
    <w:p>
      <w:pPr>
        <w:spacing w:after="0" w:line="69"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Even if we achieve profitability, we may not be able to sustain or increase profitability on a quarterly or annual basis. Our failure to become and remain profitable would depress the value of our company and could impair our ability to raise capital, expand our business, maintain our development efforts, obtain product approvals, diversify our offerings or continue our operations. A decline in the value of our company could also cause you to lose all or part of your investment.</w:t>
      </w:r>
    </w:p>
    <w:p>
      <w:pPr>
        <w:spacing w:after="0" w:line="65" w:lineRule="exact"/>
        <w:rPr>
          <w:sz w:val="20"/>
          <w:szCs w:val="20"/>
          <w:color w:val="auto"/>
        </w:rPr>
      </w:pPr>
    </w:p>
    <w:p>
      <w:pPr>
        <w:jc w:val="both"/>
        <w:ind w:right="20"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no history of commercializing products, which may make it difficult for an investor to evaluate the success of our business to date and to assess our future viability.</w:t>
      </w:r>
    </w:p>
    <w:p>
      <w:pPr>
        <w:spacing w:after="0" w:line="63"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We are a clinical-stage biopharmaceutical company with a limited operating history. We commenced operations in June 2020, and our operations to date have been largely focused on organizing and staffing our company, business planning, raising capital, acquiring our technology and product candidates, and developing and manufacturing our clinical and preclinical product candidates, including undertaking preclinical studies, developing and validating our manufacturing process, and conducting clinical trials. To date, we have not yet demonstrated our ability to successfully complete pivotal clinical trials, obtain regulatory approvals or an EUA, or conduct sales and marketing activities necessary for successful commercialization, and we may not be successful in doing so. Additionally, if we submit a request for an EUA or submit an application for regulatory approval for any product candidate, we may not be successful in receiving such EUA or regulatory approval. Consequently, any predictions you make about our future success or viability may not be as accurate as they could be if we had a longer operating history or a history of successfully developing and commercializing products.</w:t>
      </w:r>
    </w:p>
    <w:p>
      <w:pPr>
        <w:spacing w:after="0" w:line="7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as a business with a limited operating history, we may encounter unforeseen expenses, difficulties, complications, delays and other known and unknown factors. We will eventually need to transition from a company with a research and clinical focus to a company, if any of our product candidates are approved, capable of supporting commercial activities. We may not be successful in such a transition.</w:t>
      </w:r>
    </w:p>
    <w:p>
      <w:pPr>
        <w:spacing w:after="0" w:line="57"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to meet our financial obligations and to pursue our business objectives. If we are unable to raise capital when needed, we could be forced to curtail our planned operations and the pursuit of our growth strategy.</w:t>
      </w:r>
    </w:p>
    <w:p>
      <w:pPr>
        <w:spacing w:after="0" w:line="63"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Our operations have consumed substantial amounts of cash since inception, and we expect to continue to incur significant expenses and operating losses over the next several years as we continue to develop our product candidate pipeline and build out our manufacturing capabilities for our product candidates, which, if approved, may not achieve commercial success. Our revenue, if any, will be derived from sales of products that may not be commercially available for a number of years, if at all. If we obtain marketing approval or an EUA for any product candidate that we develop or otherwise acquire, we expect to incur significant commercialization expenses related to product sales, marketing, distribution and manufacturing. We also expect an increase in our expenses associated with creating additional infrastructure to support operations as a public company. Accordingly, we will need to obtain substantial additional funding in order to continue our operations.</w:t>
      </w:r>
    </w:p>
    <w:p>
      <w:pPr>
        <w:spacing w:after="0" w:line="73"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As of September 30, 2022, we had cash, cash equivalents and marketable securities of $418.7 million. As of November 10, 2022, we believe that our existing cash, cash equivalents and marketable securities will be sufficient to fund our operating expenses and capital expenditure requirements into the second quarter of 2024. This estimate is based on assumptions that may prove to be wrong, and we could exhaust our available capital resources sooner than we expect. We plan to use our cash, cash equivalents and marketable securities to fund clinical development, manufacturing supply and initial commercialization costs for our product candidates, to fund clinical development and manufacturing supply costs of our next generation of antibody candidates to treat and prevent COVID-19, and for working capital and other general corporate purposes, including development of additional programs in our pipeline. Our existing cash, cash equivalents and marketable securities may not be sufficient to fund any of our product candidates through regulatory approval or EUA. Changes may occur beyond our control that would cause us to consume our available capital before that time, including changes in and progress of our development activities, acquisitions of additional product candidates and changes in regulation. The timing and amount of our funding requirements will depend on many factors, including:</w:t>
      </w:r>
    </w:p>
    <w:p>
      <w:pPr>
        <w:spacing w:after="0" w:line="78" w:lineRule="exact"/>
        <w:rPr>
          <w:sz w:val="20"/>
          <w:szCs w:val="20"/>
          <w:color w:val="auto"/>
        </w:rPr>
      </w:pPr>
    </w:p>
    <w:p>
      <w:pPr>
        <w:ind w:left="1140" w:hanging="504"/>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in the development of our product candidates;</w:t>
      </w:r>
    </w:p>
    <w:p>
      <w:pPr>
        <w:spacing w:after="0" w:line="10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discovery, non-clinical studies, preclinical development, laboratory testing and clinical trials for our product candidates and associated development programs;</w:t>
      </w:r>
    </w:p>
    <w:p>
      <w:pPr>
        <w:spacing w:after="0" w:line="40"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develop, in-license or acquire other product candidates and technologies in our pipeline;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44" w:name="page45"/>
    <w:bookmarkEnd w:id="44"/>
    <w:p>
      <w:pPr>
        <w:jc w:val="both"/>
        <w:ind w:left="1140" w:hanging="504"/>
        <w:spacing w:after="0" w:line="258" w:lineRule="auto"/>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manufacturing and validation activities associated with our current product candidates and with the development and manufacturing of our future product candidates and other programs as we advance them through preclinical and clinical development;</w:t>
      </w:r>
    </w:p>
    <w:p>
      <w:pPr>
        <w:spacing w:after="0" w:line="61"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product candidates that we may pursue;</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03"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research and development capabilities and establish a commercial infrastructure for any product candidates for which we may obtain regulatory approval or EUA;</w:t>
      </w:r>
    </w:p>
    <w:p>
      <w:pPr>
        <w:spacing w:after="0" w:line="67"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costs of securing sufficient capacity for clinical and commercial supply of our potential future product candidates, or the raw material components thereof;</w:t>
      </w:r>
    </w:p>
    <w:p>
      <w:pPr>
        <w:spacing w:after="0" w:line="54"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 for any of our product candidates for which we receive marketing approval or EUA;</w:t>
      </w:r>
    </w:p>
    <w:p>
      <w:pPr>
        <w:spacing w:after="0" w:line="67"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necessary to obtain regulatory approvals, if any, for products in the United States and other jurisdictions, and the costs of post-marketing studies that could be required by regulatory authorities in jurisdictions where approval is obtained;</w:t>
      </w:r>
    </w:p>
    <w:p>
      <w:pPr>
        <w:spacing w:after="0" w:line="54" w:lineRule="exact"/>
        <w:rPr>
          <w:rFonts w:ascii="Times New Roman" w:cs="Times New Roman" w:eastAsia="Times New Roman" w:hAnsi="Times New Roman"/>
          <w:sz w:val="18"/>
          <w:szCs w:val="18"/>
          <w:color w:val="auto"/>
        </w:rPr>
      </w:pPr>
    </w:p>
    <w:p>
      <w:pPr>
        <w:ind w:left="1140" w:right="20" w:hanging="504"/>
        <w:spacing w:after="0" w:line="282" w:lineRule="auto"/>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w:t>
      </w:r>
    </w:p>
    <w:p>
      <w:pPr>
        <w:spacing w:after="0" w:line="40" w:lineRule="exact"/>
        <w:rPr>
          <w:rFonts w:ascii="Times New Roman" w:cs="Times New Roman" w:eastAsia="Times New Roman" w:hAnsi="Times New Roman"/>
          <w:sz w:val="18"/>
          <w:szCs w:val="18"/>
          <w:color w:val="auto"/>
        </w:rPr>
      </w:pPr>
    </w:p>
    <w:p>
      <w:pPr>
        <w:ind w:left="1140" w:right="20" w:hanging="504"/>
        <w:spacing w:after="0" w:line="266" w:lineRule="auto"/>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continuation of our existing licensing and collaboration arrangements and entry into new collaborations and licensing arrangements, if at all;</w:t>
      </w:r>
    </w:p>
    <w:p>
      <w:pPr>
        <w:spacing w:after="0" w:line="6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and ability to hire additional research, clinical, development, scientific and manufacturing personnel;</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we incur in maintaining business operations;</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implement additional internal systems and infrastructure;</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product and market developments;</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product candidates for which we receive marketing approval or EUA;</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 and</w:t>
      </w:r>
    </w:p>
    <w:p>
      <w:pPr>
        <w:spacing w:after="0" w:line="117" w:lineRule="exact"/>
        <w:rPr>
          <w:rFonts w:ascii="Times New Roman" w:cs="Times New Roman" w:eastAsia="Times New Roman" w:hAnsi="Times New Roman"/>
          <w:sz w:val="18"/>
          <w:szCs w:val="18"/>
          <w:color w:val="auto"/>
        </w:rPr>
      </w:pPr>
    </w:p>
    <w:p>
      <w:pPr>
        <w:jc w:val="both"/>
        <w:ind w:left="1140" w:right="20" w:hanging="504"/>
        <w:spacing w:after="0" w:line="250" w:lineRule="auto"/>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progression of the COVID-19 pandemic and emergence of potential outbreaks of other coronaviruses, including the impact of any business interruptions to our operations or to those of our contract manufacturers, suppliers or other vendors resulting from the COVID-19 pandemic or other similar public health crises.</w:t>
      </w:r>
    </w:p>
    <w:p>
      <w:pPr>
        <w:spacing w:after="0" w:line="69"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We will require additional capital to achieve our business objectives. Additional funds may not be available on a timely basis, on favorable terms or at all, and such funds, if raised, may not be sufficient to enable us to continue to implement our long-term business strategy. Any additional fundraising efforts may divert our management from their day-to-day activities, which may adversely affect our ability to develop and commercialize our product candidates. Further, our ability to raise additional capital may be adversely impacted by potential worsening global economic conditions, including higher inflation rates, changes in interest rates and the recent disruptions to and volatility in the credit and financial markets in the United States and worldwide resulting, in part, from the ongoing COVID-19 pandemic. If we are unable to raise sufficient additional capital, we could be forced to curtail our planned operations and the pursuit of our growth strategy.</w:t>
      </w:r>
    </w:p>
    <w:p>
      <w:pPr>
        <w:spacing w:after="0" w:line="83" w:lineRule="exact"/>
        <w:rPr>
          <w:sz w:val="20"/>
          <w:szCs w:val="20"/>
          <w:color w:val="auto"/>
        </w:rPr>
      </w:pPr>
    </w:p>
    <w:p>
      <w:pPr>
        <w:jc w:val="both"/>
        <w:ind w:right="20"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50"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8"/>
          <w:szCs w:val="18"/>
          <w:color w:val="auto"/>
        </w:rPr>
        <w:t>Until such time, if ever, as we can generate substantial revenue, we may finance our cash needs through a combination of equity offerings, government or private-party grants, debt financings and license and collaboration agreements. We do not currently have any other committed external source of funds. To the extent that we raise additional capital through the sale of equity or convertible debt securities, your ownership interest will be diluted, and the terms of such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45" w:name="page46"/>
    <w:bookmarkEnd w:id="45"/>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be required to relinquish valuable rights to our technologies, future revenue streams or product candidates, grant licenses on terms that may not be favorable to us or commit to future payment streams.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of our Product Candidates</w:t>
      </w:r>
    </w:p>
    <w:p>
      <w:pPr>
        <w:spacing w:after="0" w:line="104"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an EUA from the FDA or comparable foreign regulators due to the emergence of variants, such as the currently circulating Omicron sublineages, which have shown reduced in vitro susceptibility to adintrevimab.</w:t>
      </w:r>
    </w:p>
    <w:p>
      <w:pPr>
        <w:spacing w:after="0" w:line="35" w:lineRule="exact"/>
        <w:rPr>
          <w:sz w:val="20"/>
          <w:szCs w:val="20"/>
          <w:color w:val="auto"/>
        </w:rPr>
      </w:pPr>
    </w:p>
    <w:p>
      <w:pPr>
        <w:jc w:val="both"/>
        <w:ind w:right="20" w:firstLine="509"/>
        <w:spacing w:after="0" w:line="251" w:lineRule="auto"/>
        <w:rPr>
          <w:sz w:val="20"/>
          <w:szCs w:val="20"/>
          <w:color w:val="auto"/>
        </w:rPr>
      </w:pPr>
      <w:r>
        <w:rPr>
          <w:rFonts w:ascii="Times New Roman" w:cs="Times New Roman" w:eastAsia="Times New Roman" w:hAnsi="Times New Roman"/>
          <w:sz w:val="18"/>
          <w:szCs w:val="18"/>
          <w:color w:val="auto"/>
        </w:rPr>
        <w:t xml:space="preserve">While we intend to continue to engage with the FDA and to monitor the evolution of SARS-CoV-2 and the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activity of adintrevimab against predominant variants in the United States to determine the optimal timing for an EUA request, we cannot be certain that adintrevimab will neutralize future variants and that we will submit an EUA for adintrevimab or whether an EUA will be granted if we do submit such request.</w:t>
      </w:r>
    </w:p>
    <w:p>
      <w:pPr>
        <w:spacing w:after="0" w:line="78"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All of our product candidates are currently in clinical and preclinical development. If we are unable to successfully develop, receive regulatory approval or EUA for and commercialize our product candidates for the indications we seek, or successfully develop any other product candidates, or experience significant delays in doing so, our business will be harmed.</w:t>
      </w:r>
    </w:p>
    <w:p>
      <w:pPr>
        <w:spacing w:after="0" w:line="81"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We currently have no products approved for commercial sale, and all of our product candidates are currently in clinical and preclinical development. In February 2021, we initiated a Phase 1 clinical trial evaluating adintrevimab. We have also advanced adintrevimab into global Phase 2/3 trials for the prevention and treatment of COVID-19 and reported preliminary safety and efficacy data (pre-Omicron) for both trials in March 2022. We plan to initiate clinical trials with NVD200 during the first quarter of 2023. We have not previously conducted any later stage or pivotal clinical trials, have limited experience in preparing, submitting and prosecuting regulatory filings and have not previously submitted a biologics license application (“BLA”) for any product candidate.</w:t>
      </w:r>
    </w:p>
    <w:p>
      <w:pPr>
        <w:spacing w:after="0" w:line="87"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Our ability to generate revenue from our product candidates, which may not occur for several years, if ever, will depend heavily on the successful development, regulatory approval or granting of EUA for the prevention and/or treatment of COVID-19, obtaining of manufacturing supply, capacity and expertise and eventual commercialization of our product candidates. In the absence of a Public Health Emergency, we will not be able to receive an EUA. The success of NVD200, adintrevimab or any other product candidates that we develop or otherwise may acquire will depend on several factors, including:</w:t>
      </w:r>
    </w:p>
    <w:p>
      <w:pPr>
        <w:spacing w:after="0" w:line="69" w:lineRule="exact"/>
        <w:rPr>
          <w:sz w:val="20"/>
          <w:szCs w:val="20"/>
          <w:color w:val="auto"/>
        </w:rPr>
      </w:pPr>
    </w:p>
    <w:p>
      <w:pPr>
        <w:ind w:left="1140" w:hanging="504"/>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status of emerging variants where NVD200, adintrevimab or any other product candidate has limited to no activity against the virus;</w:t>
      </w:r>
    </w:p>
    <w:p>
      <w:pPr>
        <w:spacing w:after="0" w:line="103" w:lineRule="exact"/>
        <w:rPr>
          <w:rFonts w:ascii="Times New Roman" w:cs="Times New Roman" w:eastAsia="Times New Roman" w:hAnsi="Times New Roman"/>
          <w:sz w:val="18"/>
          <w:szCs w:val="18"/>
          <w:color w:val="auto"/>
        </w:rPr>
      </w:pPr>
    </w:p>
    <w:p>
      <w:pPr>
        <w:jc w:val="both"/>
        <w:ind w:left="1140" w:hanging="504"/>
        <w:spacing w:after="0" w:line="258"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SARS-CoV-2 VOCs could reduce the activity and effectiveness of antibodies as a potential prevention of or treatment for symptomatic COVID-19 and we may not be successful in identifying new antibodies that are suitable either as monotherapy or as combination therapy to mitigate the risk of reduced activity against future SARS-CoV-2 variants;</w:t>
      </w:r>
    </w:p>
    <w:p>
      <w:pPr>
        <w:spacing w:after="0" w:line="61"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need for therapies for the prevention and treatment of COVID-19, including due to the continuation and severity of the pandemic, the development of SARS-CoV-2 into an endemic disease or the inability of other available therapies to address COVID-19;</w:t>
      </w:r>
    </w:p>
    <w:p>
      <w:pPr>
        <w:spacing w:after="0" w:line="6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discovery, preclinical and clinical development activities;</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10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acceptable investigational new drug applications with the FDA, or comparable foreign applications that allow commencement of our planned clinical trials or future clinical trials for our product candidates;</w:t>
      </w:r>
    </w:p>
    <w:p>
      <w:pPr>
        <w:spacing w:after="0" w:line="40"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financial and other resources to complete the necessary preclinical studies and clinical trials, manufacture the product candidates and complete associated regulatory activities;</w:t>
      </w:r>
    </w:p>
    <w:p>
      <w:pPr>
        <w:spacing w:after="0" w:line="67" w:lineRule="exact"/>
        <w:rPr>
          <w:rFonts w:ascii="Times New Roman" w:cs="Times New Roman" w:eastAsia="Times New Roman" w:hAnsi="Times New Roman"/>
          <w:sz w:val="18"/>
          <w:szCs w:val="18"/>
          <w:color w:val="auto"/>
        </w:rPr>
      </w:pPr>
    </w:p>
    <w:p>
      <w:pPr>
        <w:jc w:val="both"/>
        <w:ind w:left="1140" w:hanging="504"/>
        <w:spacing w:after="0" w:line="250"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agreements with third-party manufacturers for clinical supply for our clinical trials and commercial manufacturing and successfully develop, obtain regulatory approval or EUA for, and then successfully commercialize our product candidates;</w:t>
      </w:r>
    </w:p>
    <w:p>
      <w:pPr>
        <w:spacing w:after="0" w:line="82"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and timely completion of clinical trials, including our ability to generate positive data from any such clinical trials;</w:t>
      </w:r>
    </w:p>
    <w:p>
      <w:pPr>
        <w:spacing w:after="0" w:line="103"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the discovery and development of any additional development programs and product candidates we identify in-house or acquire through collaborations;</w:t>
      </w:r>
    </w:p>
    <w:p>
      <w:pPr>
        <w:spacing w:after="0" w:line="54"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timely marketing approvals or EUAs from applicable regulatory authorities;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46" w:name="page47"/>
    <w:bookmarkEnd w:id="46"/>
    <w:p>
      <w:pPr>
        <w:ind w:left="1140" w:hanging="504"/>
        <w:spacing w:after="0" w:line="282" w:lineRule="auto"/>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expanding sales, marketing and distribution capabilities and launching commercial sales of products, if approved or an EUA is obtained, whether alone or in collaboration with others;</w:t>
      </w:r>
    </w:p>
    <w:p>
      <w:pPr>
        <w:spacing w:after="0" w:line="40" w:lineRule="exact"/>
        <w:rPr>
          <w:rFonts w:ascii="Times New Roman" w:cs="Times New Roman" w:eastAsia="Times New Roman" w:hAnsi="Times New Roman"/>
          <w:sz w:val="18"/>
          <w:szCs w:val="18"/>
          <w:color w:val="auto"/>
        </w:rPr>
      </w:pPr>
    </w:p>
    <w:p>
      <w:pPr>
        <w:ind w:left="1140" w:right="20" w:hanging="504"/>
        <w:spacing w:after="0" w:line="266" w:lineRule="auto"/>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and maintain required state licenses for distribution of our products, if authorized or approved or an EUA is obtained, or other distribution disruptions;</w:t>
      </w:r>
    </w:p>
    <w:p>
      <w:pPr>
        <w:spacing w:after="0" w:line="67"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benefits and use of our products, including method of administration, if approved, by patients, the medical community and third-party payors, for their approved indications;</w:t>
      </w:r>
    </w:p>
    <w:p>
      <w:pPr>
        <w:spacing w:after="0" w:line="54"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adverse events experienced with our product candidates;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perceived advantages, cost, safety and efficacy of alternative therapies for any product candidate that we develop;</w:t>
      </w:r>
    </w:p>
    <w:p>
      <w:pPr>
        <w:spacing w:after="0" w:line="103"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sufficiency of government funding for the purchase and/or reimbursement of products for the diagnosis, prevention and treatment of COVID-19;</w:t>
      </w:r>
    </w:p>
    <w:p>
      <w:pPr>
        <w:spacing w:after="0" w:line="54"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collaboration, license or other arrangement, including the terms and timing of any milestone payments thereunder;</w:t>
      </w:r>
    </w:p>
    <w:p>
      <w:pPr>
        <w:spacing w:after="0" w:line="40"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 trademark and trade secret protection and regulatory exclusivity for our product candidates, if and when approved or an EUA is obtained, and otherwise protecting our rights in our intellectual property portfolio;</w:t>
      </w:r>
    </w:p>
    <w:p>
      <w:pPr>
        <w:spacing w:after="0" w:line="67" w:lineRule="exact"/>
        <w:rPr>
          <w:rFonts w:ascii="Times New Roman" w:cs="Times New Roman" w:eastAsia="Times New Roman" w:hAnsi="Times New Roman"/>
          <w:sz w:val="18"/>
          <w:szCs w:val="18"/>
          <w:color w:val="auto"/>
        </w:rPr>
      </w:pPr>
    </w:p>
    <w:p>
      <w:pPr>
        <w:jc w:val="both"/>
        <w:ind w:left="1140" w:hanging="504"/>
        <w:spacing w:after="0" w:line="250" w:lineRule="auto"/>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compliance with regulatory requirements, including Good Clinical Practices (“GCPs”), current Good Laboratory Practices, and cGMPs, and to comply effectively with other rules, regulations and procedures applicable to the development and sale of pharmaceutical products;</w:t>
      </w:r>
    </w:p>
    <w:p>
      <w:pPr>
        <w:spacing w:after="0" w:line="82"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significant and changing government regulation, regulatory guidance and requirements and evolving treatment guidelines;</w:t>
      </w:r>
    </w:p>
    <w:p>
      <w:pPr>
        <w:spacing w:after="0" w:line="103"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third-party coverage and adequate reimbursement and patients’ willingness to pay out-of-pocket in the absence of such coverage and adequate reimbursement;</w:t>
      </w:r>
    </w:p>
    <w:p>
      <w:pPr>
        <w:spacing w:after="0" w:line="6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 continued acceptable safety, tolerability and efficacy profile of the products following approval or EUA; and</w:t>
      </w:r>
    </w:p>
    <w:p>
      <w:pPr>
        <w:spacing w:after="0" w:line="103"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business interruptions to our operations or those of third parties with which we work, particularly in light of the current COVID-19 pandemic.</w:t>
      </w:r>
    </w:p>
    <w:p>
      <w:pPr>
        <w:spacing w:after="0" w:line="68"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If we are not successful with respect to one or more of these factors in a timely manner or at all, we could experience significant delays or an inability to successfully commercialize the product candidates we develop, which would materially harm our business. If we do not receive marketing approval or EUA for any product candidate we develop, we may not be able to continue our operations.</w:t>
      </w:r>
    </w:p>
    <w:p>
      <w:pPr>
        <w:spacing w:after="0" w:line="65" w:lineRule="exact"/>
        <w:rPr>
          <w:sz w:val="20"/>
          <w:szCs w:val="20"/>
          <w:color w:val="auto"/>
        </w:rPr>
      </w:pPr>
    </w:p>
    <w:p>
      <w:pPr>
        <w:jc w:val="both"/>
        <w:ind w:right="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our product candidates represent novel approaches to the prevention and treatment of disease, there are many uncertainties regarding the development, market acceptance, third-party reimbursement coverage and commercial potential of our product candidates.</w:t>
      </w:r>
    </w:p>
    <w:p>
      <w:pPr>
        <w:spacing w:after="0" w:line="37"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COVID-19 is a relatively new disease and the prevention and treatment of this disease is evolving. Another party may be successful in producing a more efficacious prophylaxis or treatment for COVID-19, which may make it more difficult for us to obtain funding or lead to decreased demand for our potential products. Many small and large companies are developing therapies for the prevention and/or treatment of COVID-19, including antibodies, vaccines, antivirals, and other products. Some of these are being marketed and others are further along in the development and commercialization process than we are and several of these companies have access to larger pools of capital, including government funding, and broader infrastructure that may make them more successful at developing, manufacturing or commercializing their products globally for the prevention and/or treatment of COVID-19. The success or failure of other companies, or perceived success or failure, may impact our ability to obtain future funding or to successfully commercialize our products for COVID-19 prevention and/or treatment.</w:t>
      </w:r>
    </w:p>
    <w:p>
      <w:pPr>
        <w:spacing w:after="0" w:line="78" w:lineRule="exact"/>
        <w:rPr>
          <w:sz w:val="20"/>
          <w:szCs w:val="20"/>
          <w:color w:val="auto"/>
        </w:rPr>
      </w:pPr>
    </w:p>
    <w:p>
      <w:pPr>
        <w:jc w:val="both"/>
        <w:ind w:firstLine="509"/>
        <w:spacing w:after="0" w:line="222" w:lineRule="auto"/>
        <w:rPr>
          <w:sz w:val="20"/>
          <w:szCs w:val="20"/>
          <w:color w:val="auto"/>
        </w:rPr>
      </w:pPr>
      <w:r>
        <w:rPr>
          <w:rFonts w:ascii="Times New Roman" w:cs="Times New Roman" w:eastAsia="Times New Roman" w:hAnsi="Times New Roman"/>
          <w:sz w:val="18"/>
          <w:szCs w:val="18"/>
          <w:color w:val="auto"/>
        </w:rPr>
        <w:t>To date no monoclonal antibody has been approved for prevention (pre- or post-exposure) or treatment of COVID-19. The FDA has issued an EUA for tixagevimab co-packaged with cilgavimab for pre-exposure prophylaxis of COVID-19 in adults and pediatric individuals (12 years of age and older</w:t>
      </w:r>
    </w:p>
    <w:p>
      <w:pPr>
        <w:spacing w:after="0" w:line="2"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weighing at least 40 kg) and recommended a doubling of the dose due to the Omicron BA.1 and BA.1.1 variants. In addition, the FDA has issued EUAs for casirivimab/imdevimab and bamlanivimab/etesevimab for post-exposure prophylaxis of COVID-19 in individuals who are at high risk for disease</w:t>
      </w:r>
    </w:p>
    <w:p>
      <w:pPr>
        <w:jc w:val="both"/>
        <w:spacing w:after="0" w:line="211" w:lineRule="auto"/>
        <w:rPr>
          <w:sz w:val="20"/>
          <w:szCs w:val="20"/>
          <w:color w:val="auto"/>
        </w:rPr>
      </w:pPr>
      <w:r>
        <w:rPr>
          <w:rFonts w:ascii="Times New Roman" w:cs="Times New Roman" w:eastAsia="Times New Roman" w:hAnsi="Times New Roman"/>
          <w:sz w:val="18"/>
          <w:szCs w:val="18"/>
          <w:color w:val="auto"/>
        </w:rPr>
        <w:t>progression and who are not fully vaccinated or not expected to mount an immune response to vaccine and who have been exposed to an individual with SARS-CoV-2; however, due to lack of activity against the currently circulating Omicron variant, these antibodies are no longer authorized for use under an</w:t>
      </w:r>
    </w:p>
    <w:p>
      <w:pPr>
        <w:spacing w:after="0" w:line="1"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EUA. In addition, four monoclonal antibody products, casirivimab/imdevimab, bamlanivimab/etesevimab, sotrovimab, and bebtelovimab have received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47" w:name="page48"/>
    <w:bookmarkEnd w:id="47"/>
    <w:p>
      <w:pPr>
        <w:jc w:val="both"/>
        <w:spacing w:after="0" w:line="250" w:lineRule="auto"/>
        <w:rPr>
          <w:sz w:val="20"/>
          <w:szCs w:val="20"/>
          <w:color w:val="auto"/>
        </w:rPr>
      </w:pPr>
      <w:r>
        <w:rPr>
          <w:rFonts w:ascii="Times New Roman" w:cs="Times New Roman" w:eastAsia="Times New Roman" w:hAnsi="Times New Roman"/>
          <w:sz w:val="18"/>
          <w:szCs w:val="18"/>
          <w:color w:val="auto"/>
        </w:rPr>
        <w:t>an EUA from the FDA for the treatment of COVID-19 in patients at high risk of disease progression and at this time only bebtelovimab is authorized for use considering limited to no activity of other antibodies against the predominant variant (BA.5) in the U.S.</w:t>
      </w:r>
    </w:p>
    <w:p>
      <w:pPr>
        <w:spacing w:after="0" w:line="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Because the use of engineered monoclonal antibodies is a relatively new and expanding area of novel therapeutic interventions, there are many</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uncertainties related to development, marketing, reimbursement and the commercial potential for our product candidates. There can be no assurance as to the length of the clinical trials, the number of patients the FDA or other comparable foreign regulatory authorities will require to be enrolled in the trials in</w:t>
      </w:r>
    </w:p>
    <w:p>
      <w:pPr>
        <w:spacing w:after="0" w:line="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order to establish the safety, efficacy, purity and potency of antibody products or that the design of or data generated in these trials will be acceptable to the FDA or other comparable foreign regulatory authorities to support EUA, or similar authorization outside of the U.S., or marketing approval.</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addition, the FDA or other comparable foreign regulatory authorities may take longer than usual to come to a decision on any EUA, BLA or</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marketing authorization that we submit and may ultimately determine that there is insufficient data, information or experience with our product candidates to support an authorization or approval decision. The FDA or other comparable foreign regulatory authorities may also require that we conduct additional</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post-marketing studies or implement risk management programs, such as Risk Evaluation and Mitigation Strategies (“REMS”), until more experience with our product candidates is obtained. Finally, after increased usage, we may find that our product candidates do not have the intended effect or have unanticipated side effects, potentially jeopardizing initial or continuing regulatory authorization or approval and commercial prospects.</w:t>
      </w:r>
    </w:p>
    <w:p>
      <w:pPr>
        <w:spacing w:after="0" w:line="52" w:lineRule="exact"/>
        <w:rPr>
          <w:sz w:val="20"/>
          <w:szCs w:val="20"/>
          <w:color w:val="auto"/>
        </w:rPr>
      </w:pPr>
    </w:p>
    <w:p>
      <w:pPr>
        <w:jc w:val="both"/>
        <w:ind w:firstLine="509"/>
        <w:spacing w:after="0" w:line="232" w:lineRule="auto"/>
        <w:rPr>
          <w:sz w:val="20"/>
          <w:szCs w:val="20"/>
          <w:color w:val="auto"/>
        </w:rPr>
      </w:pPr>
      <w:r>
        <w:rPr>
          <w:rFonts w:ascii="Times New Roman" w:cs="Times New Roman" w:eastAsia="Times New Roman" w:hAnsi="Times New Roman"/>
          <w:sz w:val="18"/>
          <w:szCs w:val="18"/>
          <w:color w:val="auto"/>
        </w:rPr>
        <w:t>The success of our business depends in part upon our ability to develop engineered monoclonal antibodies that can broadly neutralize SARS-CoV-2, SARS-CoV and additional pre-emergent coronaviruses. We may fail to deliver monoclonal antibodies that are effective in the prevention or treatment of symptomatic COVID-19. Even if we are able to identify and develop such antibodies, we cannot ensure that such product candidates will achieve authorization or marketing approval or EUA to safely and effectively prevent or treat symptomatic COVID-19 or other future coronavirus diseases.</w:t>
      </w:r>
    </w:p>
    <w:p>
      <w:pPr>
        <w:spacing w:after="0" w:line="77"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If we uncover any previously unknown risks related to our antibodies, or if we experience unanticipated expenses, problems or delays in developing our product candidates, we may be unable to achieve our strategy of building a pipeline of monoclonal antibodies. Further, competitors who are developing products with similar technology may experience problems with their products that could identify problems that would potentially harm our business.</w:t>
      </w:r>
    </w:p>
    <w:p>
      <w:pPr>
        <w:spacing w:after="0" w:line="69" w:lineRule="exact"/>
        <w:rPr>
          <w:sz w:val="20"/>
          <w:szCs w:val="20"/>
          <w:color w:val="auto"/>
        </w:rPr>
      </w:pPr>
    </w:p>
    <w:p>
      <w:pPr>
        <w:jc w:val="both"/>
        <w:ind w:firstLine="509"/>
        <w:spacing w:after="0" w:line="222" w:lineRule="auto"/>
        <w:rPr>
          <w:sz w:val="20"/>
          <w:szCs w:val="20"/>
          <w:color w:val="auto"/>
        </w:rPr>
      </w:pPr>
      <w:r>
        <w:rPr>
          <w:rFonts w:ascii="Times New Roman" w:cs="Times New Roman" w:eastAsia="Times New Roman" w:hAnsi="Times New Roman"/>
          <w:sz w:val="18"/>
          <w:szCs w:val="18"/>
          <w:color w:val="auto"/>
        </w:rPr>
        <w:t>There is no assurance that the approaches offered by our product candidates will gain broad acceptance among doctors or patients or that governmental agencies or third-party medical insurers will be willing to provide reimbursement coverage for our proposed product candidates. Since our</w:t>
      </w:r>
    </w:p>
    <w:p>
      <w:pPr>
        <w:spacing w:after="0" w:line="2"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current product candidates and any future product candidates will represent novel approaches to treating various conditions, it may be difficult, in any event, to accurately estimate the potential revenues from these product candidates. Accordingly, we may spend significant capital trying to obtain approval</w:t>
      </w:r>
    </w:p>
    <w:p>
      <w:pPr>
        <w:jc w:val="both"/>
        <w:spacing w:after="0" w:line="211" w:lineRule="auto"/>
        <w:rPr>
          <w:sz w:val="20"/>
          <w:szCs w:val="20"/>
          <w:color w:val="auto"/>
        </w:rPr>
      </w:pPr>
      <w:r>
        <w:rPr>
          <w:rFonts w:ascii="Times New Roman" w:cs="Times New Roman" w:eastAsia="Times New Roman" w:hAnsi="Times New Roman"/>
          <w:sz w:val="18"/>
          <w:szCs w:val="18"/>
          <w:color w:val="auto"/>
        </w:rPr>
        <w:t>for product candidates that have an uncertain commercial market. The market for any products that we successfully develop will also depend on the cost of the product. If we do not successfully develop and commercialize products based upon our approach or find suitable and economical sources for materials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used in the production of our products, we will not become profitable, which would materially and adversely affect the value of our common stock.</w:t>
      </w:r>
    </w:p>
    <w:p>
      <w:pPr>
        <w:spacing w:after="0" w:line="70" w:lineRule="exact"/>
        <w:rPr>
          <w:sz w:val="20"/>
          <w:szCs w:val="20"/>
          <w:color w:val="auto"/>
        </w:rPr>
      </w:pPr>
    </w:p>
    <w:p>
      <w:pPr>
        <w:jc w:val="both"/>
        <w:ind w:firstLine="509"/>
        <w:spacing w:after="0" w:line="236" w:lineRule="auto"/>
        <w:rPr>
          <w:sz w:val="20"/>
          <w:szCs w:val="20"/>
          <w:color w:val="auto"/>
        </w:rPr>
      </w:pPr>
      <w:r>
        <w:rPr>
          <w:rFonts w:ascii="Times New Roman" w:cs="Times New Roman" w:eastAsia="Times New Roman" w:hAnsi="Times New Roman"/>
          <w:sz w:val="18"/>
          <w:szCs w:val="18"/>
          <w:color w:val="auto"/>
        </w:rPr>
        <w:t>In addition, our monoclonal antibodies may be provided to patients in combination with other agents provided by third parties or by us. The cost of such combination therapy may increase the overall cost of therapy, which may affect our ability to obtain reimbursement coverage for the combination therapy from governmental or private third-party medical insurers.</w:t>
      </w:r>
    </w:p>
    <w:p>
      <w:pPr>
        <w:spacing w:after="0" w:line="60" w:lineRule="exact"/>
        <w:rPr>
          <w:sz w:val="20"/>
          <w:szCs w:val="20"/>
          <w:color w:val="auto"/>
        </w:rPr>
      </w:pPr>
    </w:p>
    <w:p>
      <w:pPr>
        <w:jc w:val="both"/>
        <w:ind w:right="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Newly emerging and future SARS-CoV-2 variants could reduce the activity and effectiveness of antibodies as a potential prevention of or treatment for symptomatic COVID-19.</w:t>
      </w:r>
    </w:p>
    <w:p>
      <w:pPr>
        <w:spacing w:after="0" w:line="24" w:lineRule="exact"/>
        <w:rPr>
          <w:sz w:val="20"/>
          <w:szCs w:val="20"/>
          <w:color w:val="auto"/>
        </w:rPr>
      </w:pPr>
    </w:p>
    <w:p>
      <w:pPr>
        <w:jc w:val="both"/>
        <w:ind w:firstLine="509"/>
        <w:spacing w:after="0" w:line="230" w:lineRule="auto"/>
        <w:rPr>
          <w:sz w:val="20"/>
          <w:szCs w:val="20"/>
          <w:color w:val="auto"/>
        </w:rPr>
      </w:pPr>
      <w:r>
        <w:rPr>
          <w:rFonts w:ascii="Times New Roman" w:cs="Times New Roman" w:eastAsia="Times New Roman" w:hAnsi="Times New Roman"/>
          <w:sz w:val="18"/>
          <w:szCs w:val="18"/>
          <w:color w:val="auto"/>
        </w:rPr>
        <w:t>Multiple variants of the virus that causes COVID-19 have been documented in the United States and globally during this pandemic. Although we have shown in pre-clinical studies that adintrevimab has the potential to broadly neutralize SARS-CoV-2 and the previously predominantly circulating</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 xml:space="preserve">variants, including Alpha, Beta, Delta, and Gamma,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analyses to evaluate neutralizing activity of adintrevimab against the Omicron variant and its sublineages generated data showing reduced neutralizing activity of adintrevimab against the Omicron BA.1 and BA.1.1 sublineages compared to a</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reference strain and a lack of neutralizing activity against the currently circulating Omicron sublineages. We have modified adintrevimab to improve binding to the Omicron variant and its sublineages, and our combination product candidate, NVD200, includes the re-engineered version of adintrevimab.</w:t>
      </w:r>
    </w:p>
    <w:p>
      <w:pPr>
        <w:jc w:val="both"/>
        <w:spacing w:after="0" w:line="226" w:lineRule="auto"/>
        <w:rPr>
          <w:sz w:val="20"/>
          <w:szCs w:val="20"/>
          <w:color w:val="auto"/>
        </w:rPr>
      </w:pPr>
      <w:r>
        <w:rPr>
          <w:rFonts w:ascii="Times New Roman" w:cs="Times New Roman" w:eastAsia="Times New Roman" w:hAnsi="Times New Roman"/>
          <w:sz w:val="18"/>
          <w:szCs w:val="18"/>
          <w:color w:val="auto"/>
        </w:rPr>
        <w:t>We believe such modifications may be able to enhance neutralization potency against current and future novel variants, but such efforts may not be successful against newly emerging or future variants, in order to support an EUA or regulatory approval.</w:t>
      </w:r>
    </w:p>
    <w:p>
      <w:pPr>
        <w:spacing w:after="0" w:line="63" w:lineRule="exact"/>
        <w:rPr>
          <w:sz w:val="20"/>
          <w:szCs w:val="20"/>
          <w:color w:val="auto"/>
        </w:rPr>
      </w:pPr>
    </w:p>
    <w:p>
      <w:pPr>
        <w:jc w:val="both"/>
        <w:ind w:firstLine="509"/>
        <w:spacing w:after="0" w:line="226" w:lineRule="auto"/>
        <w:rPr>
          <w:sz w:val="20"/>
          <w:szCs w:val="20"/>
          <w:color w:val="auto"/>
        </w:rPr>
      </w:pPr>
      <w:r>
        <w:rPr>
          <w:rFonts w:ascii="Times New Roman" w:cs="Times New Roman" w:eastAsia="Times New Roman" w:hAnsi="Times New Roman"/>
          <w:sz w:val="18"/>
          <w:szCs w:val="18"/>
          <w:color w:val="auto"/>
        </w:rPr>
        <w:t>New SARS-CoV-2 variants could be less susceptible to such modifications and their mechanisms of action, or the results shown in pre-clinical studies may not be replicated in clinical studies. Further, we may not be able to address reductions in neutralization potency with adjustments to the dose or dosing frequency. This would significantly and adversely affect our ability to complete our clinical trials, obtain authorization or approval of and to</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commercialize NVD200 or any future product candidates. In addition, if our planned dosing of NVD200 were to be increased in response to reduction in neutralizing activity against dominant circulating SARS-CoV-2 variants or for other reasons, it could impact drug supply and pricing, which could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adversely affect our commercial prospects.</w:t>
      </w:r>
    </w:p>
    <w:p>
      <w:pPr>
        <w:spacing w:after="0" w:line="66" w:lineRule="exact"/>
        <w:rPr>
          <w:sz w:val="20"/>
          <w:szCs w:val="20"/>
          <w:color w:val="auto"/>
        </w:rPr>
      </w:pPr>
    </w:p>
    <w:p>
      <w:pPr>
        <w:jc w:val="both"/>
        <w:ind w:right="20" w:firstLine="50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Our integrated discovery platform approach may not produce durable, broadly neutralizing, or safe antibodies in an adequate time period to address a changing virus.</w:t>
      </w:r>
    </w:p>
    <w:p>
      <w:pPr>
        <w:spacing w:after="0" w:line="35" w:lineRule="exact"/>
        <w:rPr>
          <w:sz w:val="20"/>
          <w:szCs w:val="20"/>
          <w:color w:val="auto"/>
        </w:rPr>
      </w:pPr>
    </w:p>
    <w:p>
      <w:pPr>
        <w:jc w:val="both"/>
        <w:ind w:firstLine="509"/>
        <w:spacing w:after="0" w:line="232" w:lineRule="auto"/>
        <w:rPr>
          <w:sz w:val="20"/>
          <w:szCs w:val="20"/>
          <w:color w:val="auto"/>
        </w:rPr>
      </w:pPr>
      <w:r>
        <w:rPr>
          <w:rFonts w:ascii="Times New Roman" w:cs="Times New Roman" w:eastAsia="Times New Roman" w:hAnsi="Times New Roman"/>
          <w:sz w:val="18"/>
          <w:szCs w:val="18"/>
          <w:color w:val="auto"/>
        </w:rPr>
        <w:t xml:space="preserve">Our integrated discovery platform approach is designed to produce candidate antibodies providing broad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neutralization against past and current variants of concern and their sublineages. We may not be successful in developing product candidates, or developing product candidates in an adequate time period, to target a changing virus. If we do develop product candidates, they may not be durable enough to increase the probability of providing a longer period of protection than other antibody solutions or be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48" w:name="page49"/>
    <w:bookmarkEnd w:id="48"/>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high-functioning and long-lasting with a high barrier to viral escape. Antibodies may not be effective or safe to administer prior to exposure to SARS-CoV-2 to prevent disease or, once sick, to treat disease. disease or, once sick, to treat disease.</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Preclinical studies and clinical trials are expensive, time-consuming, difficult to design and implement and involve an uncertain outcome.</w:t>
      </w:r>
    </w:p>
    <w:p>
      <w:pPr>
        <w:spacing w:after="0" w:line="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b w:val="1"/>
          <w:bCs w:val="1"/>
          <w:i w:val="1"/>
          <w:iCs w:val="1"/>
          <w:color w:val="auto"/>
        </w:rPr>
        <w:t>Further, we may encounter substantial delays in completing the development of our product candidates. If we are not able to obtain required regulatory approvals or EUAs, we will not be able to commercialize our product candidates, and our ability to generate product revenue will be adversely affected.</w:t>
      </w:r>
    </w:p>
    <w:p>
      <w:pPr>
        <w:spacing w:after="0" w:line="63" w:lineRule="exact"/>
        <w:rPr>
          <w:sz w:val="20"/>
          <w:szCs w:val="20"/>
          <w:color w:val="auto"/>
        </w:rPr>
      </w:pPr>
    </w:p>
    <w:p>
      <w:pPr>
        <w:jc w:val="both"/>
        <w:ind w:firstLine="509"/>
        <w:spacing w:after="0" w:line="226" w:lineRule="auto"/>
        <w:rPr>
          <w:sz w:val="20"/>
          <w:szCs w:val="20"/>
          <w:color w:val="auto"/>
        </w:rPr>
      </w:pPr>
      <w:r>
        <w:rPr>
          <w:rFonts w:ascii="Times New Roman" w:cs="Times New Roman" w:eastAsia="Times New Roman" w:hAnsi="Times New Roman"/>
          <w:sz w:val="18"/>
          <w:szCs w:val="18"/>
          <w:color w:val="auto"/>
        </w:rPr>
        <w:t>All of our product candidates are in clinical and preclinical development and their risk of failure is high. The clinical trials and manufacturing of our product candidates are, and the manufacturing and marketing of our products, if approved, will be, subject to extensive and rigorous review and regulation by numerous government authorities in the United States and in other countries where we intend to test and market our product candidates. Before</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obtaining regulatory approvals for the commercial sale of any of our product candidates, we must demonstrate through lengthy, complex and expensive preclinical testing and clinical trials that our product candidates are both safe and effective for use in each target indication. In particular, because our</w:t>
      </w:r>
    </w:p>
    <w:p>
      <w:pPr>
        <w:spacing w:after="0" w:line="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product candidates are subject to regulation as biological products, we will need to demonstrate that they are safe, pure and potent for use in their target indications. Each product candidate must demonstrate an adequate risk versus benefit profile in its intended patient population and for its intended use.</w:t>
      </w:r>
    </w:p>
    <w:p>
      <w:pPr>
        <w:spacing w:after="0" w:line="64" w:lineRule="exact"/>
        <w:rPr>
          <w:sz w:val="20"/>
          <w:szCs w:val="20"/>
          <w:color w:val="auto"/>
        </w:rPr>
      </w:pPr>
    </w:p>
    <w:p>
      <w:pPr>
        <w:jc w:val="both"/>
        <w:ind w:firstLine="509"/>
        <w:spacing w:after="0" w:line="222" w:lineRule="auto"/>
        <w:rPr>
          <w:sz w:val="20"/>
          <w:szCs w:val="20"/>
          <w:color w:val="auto"/>
        </w:rPr>
      </w:pPr>
      <w:r>
        <w:rPr>
          <w:rFonts w:ascii="Times New Roman" w:cs="Times New Roman" w:eastAsia="Times New Roman" w:hAnsi="Times New Roman"/>
          <w:sz w:val="18"/>
          <w:szCs w:val="18"/>
          <w:color w:val="auto"/>
        </w:rPr>
        <w:t>Clinical testing is expensive and can take many years to complete, and its outcome is inherently uncertain and depends upon numerous factors, including the substantial discretion of the regulatory authorities. In addition, approval policies, regulations or the type and amount of clinical data necessary</w:t>
      </w:r>
    </w:p>
    <w:p>
      <w:pPr>
        <w:spacing w:after="0" w:line="2"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to gain approval may change during the course of a product candidate’s clinical development and may vary among jurisdictions. We cannot guarantee that any clinical trials will be conducted as planned or completed on schedule, if at all. Failure can occur at any time during the clinical trial process. Even if our future clinical trials are completed as planned, we cannot be certain that their results will support the safety and effectiveness of our product candidates for</w:t>
      </w:r>
    </w:p>
    <w:p>
      <w:pPr>
        <w:jc w:val="both"/>
        <w:spacing w:after="0" w:line="226" w:lineRule="auto"/>
        <w:rPr>
          <w:sz w:val="20"/>
          <w:szCs w:val="20"/>
          <w:color w:val="auto"/>
        </w:rPr>
      </w:pPr>
      <w:r>
        <w:rPr>
          <w:rFonts w:ascii="Times New Roman" w:cs="Times New Roman" w:eastAsia="Times New Roman" w:hAnsi="Times New Roman"/>
          <w:sz w:val="18"/>
          <w:szCs w:val="18"/>
          <w:color w:val="auto"/>
        </w:rPr>
        <w:t>their targeted indications or support continued clinical development of such product candidates. Our current or future clinical trial results may not be successful.</w:t>
      </w:r>
    </w:p>
    <w:p>
      <w:pPr>
        <w:spacing w:after="0" w:line="76"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In addition, even if such trials are successfully completed, we cannot guarantee that the FDA, the European Medicines Agency (“EMA”), or other foreign regulatory authorities will interpret the results as we do, and more trials could be required before we submit our product candidates for approval. Moreover, results acceptable to support approval in one jurisdiction may be deemed inadequate by another regulatory authority to support regulatory approval in that other jurisdiction. To the extent that the results of the trials are not satisfactory to the FDA, EMA or other foreign regulatory authorities for support of a marketing application, we may be required to expend significant resources, which may not be available to us, to conduct additional preclinical studies or trials for our product candidates either prior to or post-approval, or they may object to elements of our clinical development program, requiring their alteration.</w:t>
      </w:r>
    </w:p>
    <w:p>
      <w:pPr>
        <w:spacing w:after="0" w:line="73"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Of the large number of products in development, only a small percentage successfully complete the FDA’s or comparable foreign regulatory authorities’ approval processes and are commercialized. Even if we eventually complete clinical testing and receive approval of a new drug application, BLA or foreign marketing application for our product candidates, the FDA or the comparable foreign regulatory authorities may grant approval or other marketing authorization contingent on the performance of costly additional clinical trials, including post-market clinical trials. The FDA or the comparable foreign regulatory authorities also may approve or authorize for marketing a product candidate for a more limited indication or patient population than we originally request, and the FDA or comparable foreign regulatory authorities may not approve or authorize the labeling that we believe is necessary or desirable for the successful commercialization of a product candidate. Any delay in obtaining, or inability to obtain, applicable regulatory approval or other marketing authorization would delay or prevent commercialization of that product candidate and would adversely impact our business and prospects.</w:t>
      </w:r>
    </w:p>
    <w:p>
      <w:pPr>
        <w:spacing w:after="0" w:line="71"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Furthermore, even if we obtain regulatory approval for our product candidates, we may still need to develop a commercial organization, establish a commercially viable pricing structure and obtain approval for coverage and adequate reimbursement from commercial and government payors, including government health administration authorities. If we are unable to successfully commercialize our product candidates, we may not be able to generate sufficient revenue to continue our business.</w:t>
      </w:r>
    </w:p>
    <w:p>
      <w:pPr>
        <w:spacing w:after="0" w:line="65" w:lineRule="exact"/>
        <w:rPr>
          <w:sz w:val="20"/>
          <w:szCs w:val="20"/>
          <w:color w:val="auto"/>
        </w:rPr>
      </w:pPr>
    </w:p>
    <w:p>
      <w:pPr>
        <w:jc w:val="both"/>
        <w:ind w:right="20"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have and may experience delays in beginning or conducting clinical trials or numerous unforeseen events before, during or as a result of clinical trials that could delay or prevent our ability to complete clinical trials, receive marketing approval or commercialize our product candidates.</w:t>
      </w:r>
    </w:p>
    <w:p>
      <w:pPr>
        <w:spacing w:after="0" w:line="63"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We have and may again in the future experience delays in conducting clinical trials, and we do not know whether our clinical trials will begin on time, need to be redesigned, recruit and enroll patients on time or be completed on schedule, or at all. We may experience numerous unforeseen events before, during or after the conduct of our clinical trials that could delay or prevent our ability to complete such trials or receive marketing approval for or commercialize our product candidates, or that could significantly increase the cost of such trials, including:</w:t>
      </w:r>
    </w:p>
    <w:p>
      <w:pPr>
        <w:spacing w:after="0" w:line="67" w:lineRule="exact"/>
        <w:rPr>
          <w:sz w:val="20"/>
          <w:szCs w:val="20"/>
          <w:color w:val="auto"/>
        </w:rPr>
      </w:pPr>
    </w:p>
    <w:p>
      <w:pPr>
        <w:ind w:left="1140" w:hanging="504"/>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inability to generate sufficient preclinical, toxicology, or other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data to support the initiation of clinical trials;</w:t>
      </w:r>
    </w:p>
    <w:p>
      <w:pPr>
        <w:spacing w:after="0" w:line="105"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sufficiently developing, characterizing or controlling a manufacturing process suitable for advanced clinical trials;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49" w:name="page50"/>
    <w:bookmarkEnd w:id="49"/>
    <w:p>
      <w:pPr>
        <w:ind w:left="504" w:hanging="504"/>
        <w:spacing w:after="0"/>
        <w:tabs>
          <w:tab w:leader="none" w:pos="50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developing suitable assays for screening patients for eligibility for trials with respect to certain product candidates;</w:t>
      </w:r>
    </w:p>
    <w:p>
      <w:pPr>
        <w:spacing w:after="0" w:line="117" w:lineRule="exact"/>
        <w:rPr>
          <w:rFonts w:ascii="Times New Roman" w:cs="Times New Roman" w:eastAsia="Times New Roman" w:hAnsi="Times New Roman"/>
          <w:sz w:val="18"/>
          <w:szCs w:val="18"/>
          <w:color w:val="auto"/>
        </w:rPr>
      </w:pPr>
    </w:p>
    <w:p>
      <w:pPr>
        <w:ind w:left="504" w:hanging="504"/>
        <w:spacing w:after="0"/>
        <w:tabs>
          <w:tab w:leader="none" w:pos="50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with the FDA, EMA or other regulatory authorities as to the design or implementation of our clinical trials;</w:t>
      </w:r>
    </w:p>
    <w:p>
      <w:pPr>
        <w:spacing w:after="0" w:line="103" w:lineRule="exact"/>
        <w:rPr>
          <w:rFonts w:ascii="Times New Roman" w:cs="Times New Roman" w:eastAsia="Times New Roman" w:hAnsi="Times New Roman"/>
          <w:sz w:val="18"/>
          <w:szCs w:val="18"/>
          <w:color w:val="auto"/>
        </w:rPr>
      </w:pPr>
    </w:p>
    <w:p>
      <w:pPr>
        <w:ind w:left="504" w:hanging="504"/>
        <w:spacing w:after="0"/>
        <w:tabs>
          <w:tab w:leader="none" w:pos="50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obtaining regulatory authorization to commence a clinical trial;</w:t>
      </w:r>
    </w:p>
    <w:p>
      <w:pPr>
        <w:spacing w:after="0" w:line="103" w:lineRule="exact"/>
        <w:rPr>
          <w:rFonts w:ascii="Times New Roman" w:cs="Times New Roman" w:eastAsia="Times New Roman" w:hAnsi="Times New Roman"/>
          <w:sz w:val="18"/>
          <w:szCs w:val="18"/>
          <w:color w:val="auto"/>
        </w:rPr>
      </w:pPr>
    </w:p>
    <w:p>
      <w:pPr>
        <w:ind w:left="504" w:hanging="504"/>
        <w:spacing w:after="0" w:line="282" w:lineRule="auto"/>
        <w:tabs>
          <w:tab w:leader="none" w:pos="50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reaching an agreement on acceptable terms with clinical trial sites or prospective contract research organizations (“CROs”), the terms of which can be subject to extensive negotiation and may vary significantly among different clinical trial sites;</w:t>
      </w:r>
    </w:p>
    <w:p>
      <w:pPr>
        <w:spacing w:after="0" w:line="40" w:lineRule="exact"/>
        <w:rPr>
          <w:rFonts w:ascii="Times New Roman" w:cs="Times New Roman" w:eastAsia="Times New Roman" w:hAnsi="Times New Roman"/>
          <w:sz w:val="18"/>
          <w:szCs w:val="18"/>
          <w:color w:val="auto"/>
        </w:rPr>
      </w:pPr>
    </w:p>
    <w:p>
      <w:pPr>
        <w:ind w:left="504" w:hanging="504"/>
        <w:spacing w:after="0"/>
        <w:tabs>
          <w:tab w:leader="none" w:pos="50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obtaining institutional review board (“IRB”) approval at each trial site;</w:t>
      </w:r>
    </w:p>
    <w:p>
      <w:pPr>
        <w:spacing w:after="0" w:line="103" w:lineRule="exact"/>
        <w:rPr>
          <w:rFonts w:ascii="Times New Roman" w:cs="Times New Roman" w:eastAsia="Times New Roman" w:hAnsi="Times New Roman"/>
          <w:sz w:val="18"/>
          <w:szCs w:val="18"/>
          <w:color w:val="auto"/>
        </w:rPr>
      </w:pPr>
    </w:p>
    <w:p>
      <w:pPr>
        <w:ind w:left="504" w:hanging="504"/>
        <w:spacing w:after="0"/>
        <w:tabs>
          <w:tab w:leader="none" w:pos="50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recruiting suitable patients to participate in a clinical trial;</w:t>
      </w:r>
    </w:p>
    <w:p>
      <w:pPr>
        <w:spacing w:after="0" w:line="117" w:lineRule="exact"/>
        <w:rPr>
          <w:rFonts w:ascii="Times New Roman" w:cs="Times New Roman" w:eastAsia="Times New Roman" w:hAnsi="Times New Roman"/>
          <w:sz w:val="18"/>
          <w:szCs w:val="18"/>
          <w:color w:val="auto"/>
        </w:rPr>
      </w:pPr>
    </w:p>
    <w:p>
      <w:pPr>
        <w:ind w:left="504" w:hanging="504"/>
        <w:spacing w:after="0"/>
        <w:tabs>
          <w:tab w:leader="none" w:pos="50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having patients complete a clinical trial or return for post-treatment follow-up;</w:t>
      </w:r>
    </w:p>
    <w:p>
      <w:pPr>
        <w:spacing w:after="0" w:line="103" w:lineRule="exact"/>
        <w:rPr>
          <w:rFonts w:ascii="Times New Roman" w:cs="Times New Roman" w:eastAsia="Times New Roman" w:hAnsi="Times New Roman"/>
          <w:sz w:val="18"/>
          <w:szCs w:val="18"/>
          <w:color w:val="auto"/>
        </w:rPr>
      </w:pPr>
    </w:p>
    <w:p>
      <w:pPr>
        <w:ind w:left="504" w:hanging="504"/>
        <w:spacing w:after="0"/>
        <w:tabs>
          <w:tab w:leader="none" w:pos="50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findings from inspections of clinical trial sites or operations by applicable regulatory authorities, or the imposition of a clinical hold;</w:t>
      </w:r>
    </w:p>
    <w:p>
      <w:pPr>
        <w:spacing w:after="0" w:line="103" w:lineRule="exact"/>
        <w:rPr>
          <w:rFonts w:ascii="Times New Roman" w:cs="Times New Roman" w:eastAsia="Times New Roman" w:hAnsi="Times New Roman"/>
          <w:sz w:val="18"/>
          <w:szCs w:val="18"/>
          <w:color w:val="auto"/>
        </w:rPr>
      </w:pPr>
    </w:p>
    <w:p>
      <w:pPr>
        <w:ind w:left="504" w:hanging="504"/>
        <w:spacing w:after="0"/>
        <w:tabs>
          <w:tab w:leader="none" w:pos="50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CROs or other third parties deviating from trial protocol or dropping out of a trial;</w:t>
      </w:r>
    </w:p>
    <w:p>
      <w:pPr>
        <w:spacing w:after="0" w:line="103" w:lineRule="exact"/>
        <w:rPr>
          <w:rFonts w:ascii="Times New Roman" w:cs="Times New Roman" w:eastAsia="Times New Roman" w:hAnsi="Times New Roman"/>
          <w:sz w:val="18"/>
          <w:szCs w:val="18"/>
          <w:color w:val="auto"/>
        </w:rPr>
      </w:pPr>
    </w:p>
    <w:p>
      <w:pPr>
        <w:ind w:left="504" w:hanging="504"/>
        <w:spacing w:after="0" w:line="282" w:lineRule="auto"/>
        <w:tabs>
          <w:tab w:leader="none" w:pos="50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in accordance with the applicable regulatory requirements, including the FDA’s regulations and GCP requirements, or applicable regulatory requirements in other countries;</w:t>
      </w:r>
    </w:p>
    <w:p>
      <w:pPr>
        <w:spacing w:after="0" w:line="40" w:lineRule="exact"/>
        <w:rPr>
          <w:rFonts w:ascii="Times New Roman" w:cs="Times New Roman" w:eastAsia="Times New Roman" w:hAnsi="Times New Roman"/>
          <w:sz w:val="18"/>
          <w:szCs w:val="18"/>
          <w:color w:val="auto"/>
        </w:rPr>
      </w:pPr>
    </w:p>
    <w:p>
      <w:pPr>
        <w:ind w:left="504" w:hanging="504"/>
        <w:spacing w:after="0" w:line="266" w:lineRule="auto"/>
        <w:tabs>
          <w:tab w:leader="none" w:pos="50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patient safety concerns that arise during the course of a trial, including the occurrence of adverse events associated with the product candidate that are viewed to outweigh its potential benefits;</w:t>
      </w:r>
    </w:p>
    <w:p>
      <w:pPr>
        <w:spacing w:after="0" w:line="67" w:lineRule="exact"/>
        <w:rPr>
          <w:rFonts w:ascii="Times New Roman" w:cs="Times New Roman" w:eastAsia="Times New Roman" w:hAnsi="Times New Roman"/>
          <w:sz w:val="18"/>
          <w:szCs w:val="18"/>
          <w:color w:val="auto"/>
        </w:rPr>
      </w:pPr>
    </w:p>
    <w:p>
      <w:pPr>
        <w:ind w:left="504" w:hanging="504"/>
        <w:spacing w:after="0"/>
        <w:tabs>
          <w:tab w:leader="none" w:pos="50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recruit and/or successfully contract with a sufficient number of clinical trial sites;</w:t>
      </w:r>
    </w:p>
    <w:p>
      <w:pPr>
        <w:spacing w:after="0" w:line="103" w:lineRule="exact"/>
        <w:rPr>
          <w:rFonts w:ascii="Times New Roman" w:cs="Times New Roman" w:eastAsia="Times New Roman" w:hAnsi="Times New Roman"/>
          <w:sz w:val="18"/>
          <w:szCs w:val="18"/>
          <w:color w:val="auto"/>
        </w:rPr>
      </w:pPr>
    </w:p>
    <w:p>
      <w:pPr>
        <w:ind w:left="504" w:hanging="504"/>
        <w:spacing w:after="0"/>
        <w:tabs>
          <w:tab w:leader="none" w:pos="50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manufacturing sufficient quantities of product candidate for use in clinical trials;</w:t>
      </w:r>
    </w:p>
    <w:p>
      <w:pPr>
        <w:spacing w:after="0" w:line="103" w:lineRule="exact"/>
        <w:rPr>
          <w:rFonts w:ascii="Times New Roman" w:cs="Times New Roman" w:eastAsia="Times New Roman" w:hAnsi="Times New Roman"/>
          <w:sz w:val="18"/>
          <w:szCs w:val="18"/>
          <w:color w:val="auto"/>
        </w:rPr>
      </w:pPr>
    </w:p>
    <w:p>
      <w:pPr>
        <w:ind w:left="504" w:hanging="504"/>
        <w:spacing w:after="0" w:line="282" w:lineRule="auto"/>
        <w:tabs>
          <w:tab w:leader="none" w:pos="50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suspensions or terminations by IRBs at the institutions where such trials are being conducted, by the independent Data Monitoring Committee for such trial or by the FDA or other regulatory authorities due to a number of factors, including those described above;</w:t>
      </w:r>
    </w:p>
    <w:p>
      <w:pPr>
        <w:spacing w:after="0" w:line="40" w:lineRule="exact"/>
        <w:rPr>
          <w:rFonts w:ascii="Times New Roman" w:cs="Times New Roman" w:eastAsia="Times New Roman" w:hAnsi="Times New Roman"/>
          <w:sz w:val="18"/>
          <w:szCs w:val="18"/>
          <w:color w:val="auto"/>
        </w:rPr>
      </w:pPr>
    </w:p>
    <w:p>
      <w:pPr>
        <w:ind w:left="504" w:hanging="504"/>
        <w:spacing w:after="0" w:line="266" w:lineRule="auto"/>
        <w:tabs>
          <w:tab w:leader="none" w:pos="50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or guidance, or feedback from regulatory authorities that requires us to modify the design or conduct of our clinical trials;</w:t>
      </w:r>
    </w:p>
    <w:p>
      <w:pPr>
        <w:spacing w:after="0" w:line="67" w:lineRule="exact"/>
        <w:rPr>
          <w:rFonts w:ascii="Times New Roman" w:cs="Times New Roman" w:eastAsia="Times New Roman" w:hAnsi="Times New Roman"/>
          <w:sz w:val="18"/>
          <w:szCs w:val="18"/>
          <w:color w:val="auto"/>
        </w:rPr>
      </w:pPr>
    </w:p>
    <w:p>
      <w:pPr>
        <w:ind w:left="504" w:right="20" w:hanging="504"/>
        <w:spacing w:after="0" w:line="266" w:lineRule="auto"/>
        <w:tabs>
          <w:tab w:leader="none" w:pos="50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produce negative or inconclusive results, and we may decide, or regulators may require us, to conduct additional clinical trials or abandon development programs;</w:t>
      </w:r>
    </w:p>
    <w:p>
      <w:pPr>
        <w:spacing w:after="0" w:line="54" w:lineRule="exact"/>
        <w:rPr>
          <w:rFonts w:ascii="Times New Roman" w:cs="Times New Roman" w:eastAsia="Times New Roman" w:hAnsi="Times New Roman"/>
          <w:sz w:val="18"/>
          <w:szCs w:val="18"/>
          <w:color w:val="auto"/>
        </w:rPr>
      </w:pPr>
    </w:p>
    <w:p>
      <w:pPr>
        <w:jc w:val="both"/>
        <w:ind w:left="504" w:hanging="504"/>
        <w:spacing w:after="0" w:line="250" w:lineRule="auto"/>
        <w:tabs>
          <w:tab w:leader="none" w:pos="50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 especially if regulatory bodies require the completion of non-inferiority or superiority trials or the sample size needs to be increased based on the outcome rates observed during early trial conduct, enrollment in these clinical trials may be slower than we anticipate, or participants may drop out of these clinical trials at a higher rate than we anticipate;</w:t>
      </w:r>
    </w:p>
    <w:p>
      <w:pPr>
        <w:spacing w:after="0" w:line="69" w:lineRule="exact"/>
        <w:rPr>
          <w:rFonts w:ascii="Times New Roman" w:cs="Times New Roman" w:eastAsia="Times New Roman" w:hAnsi="Times New Roman"/>
          <w:sz w:val="18"/>
          <w:szCs w:val="18"/>
          <w:color w:val="auto"/>
        </w:rPr>
      </w:pPr>
    </w:p>
    <w:p>
      <w:pPr>
        <w:ind w:left="504" w:hanging="504"/>
        <w:spacing w:after="0" w:line="282" w:lineRule="auto"/>
        <w:tabs>
          <w:tab w:leader="none" w:pos="50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enrollment in clinical trials may be impacted by the rate of infection prevalence in the relevant communities, which can change once a trial is initiated;</w:t>
      </w:r>
    </w:p>
    <w:p>
      <w:pPr>
        <w:spacing w:after="0" w:line="40" w:lineRule="exact"/>
        <w:rPr>
          <w:rFonts w:ascii="Times New Roman" w:cs="Times New Roman" w:eastAsia="Times New Roman" w:hAnsi="Times New Roman"/>
          <w:sz w:val="18"/>
          <w:szCs w:val="18"/>
          <w:color w:val="auto"/>
        </w:rPr>
      </w:pPr>
    </w:p>
    <w:p>
      <w:pPr>
        <w:ind w:left="504" w:hanging="504"/>
        <w:spacing w:after="0" w:line="266" w:lineRule="auto"/>
        <w:tabs>
          <w:tab w:leader="none" w:pos="50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screen failure rate for clinical trials of our product candidates may be higher than we anticipate, requiring us to screen larger numbers of patients than originally planned;</w:t>
      </w:r>
    </w:p>
    <w:p>
      <w:pPr>
        <w:spacing w:after="0" w:line="67" w:lineRule="exact"/>
        <w:rPr>
          <w:rFonts w:ascii="Times New Roman" w:cs="Times New Roman" w:eastAsia="Times New Roman" w:hAnsi="Times New Roman"/>
          <w:sz w:val="18"/>
          <w:szCs w:val="18"/>
          <w:color w:val="auto"/>
        </w:rPr>
      </w:pPr>
    </w:p>
    <w:p>
      <w:pPr>
        <w:ind w:left="504" w:right="20" w:hanging="504"/>
        <w:spacing w:after="0" w:line="266" w:lineRule="auto"/>
        <w:tabs>
          <w:tab w:leader="none" w:pos="50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meet their contractual obligations to us in a timely manner, or at all;</w:t>
      </w:r>
    </w:p>
    <w:p>
      <w:pPr>
        <w:spacing w:after="0" w:line="54" w:lineRule="exact"/>
        <w:rPr>
          <w:rFonts w:ascii="Times New Roman" w:cs="Times New Roman" w:eastAsia="Times New Roman" w:hAnsi="Times New Roman"/>
          <w:sz w:val="18"/>
          <w:szCs w:val="18"/>
          <w:color w:val="auto"/>
        </w:rPr>
      </w:pPr>
    </w:p>
    <w:p>
      <w:pPr>
        <w:jc w:val="both"/>
        <w:ind w:left="504" w:hanging="504"/>
        <w:spacing w:after="0" w:line="247" w:lineRule="auto"/>
        <w:tabs>
          <w:tab w:leader="none" w:pos="50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investigators might have to suspend or terminate clinical trials of our product candidates for various reasons, including non-compliance with regulatory requirements, a finding that our product candidates have undesirable side effects or other unexpected characteristics, or a finding that the participants are being exposed to unacceptable health risks; for example, we conducted our STAMP treatment trial at sites outside of the United States; in the future, the applicable foreign regulatory authorities may determine that a placebo-controlled trial would expose patients to unacceptable health risks (because alternative effective therapies are or may become available in these regions during the conduct of the trial), which could delay enrollment of our trial and the authorization or approval of our products;</w:t>
      </w:r>
    </w:p>
    <w:p>
      <w:pPr>
        <w:spacing w:after="0" w:line="71" w:lineRule="exact"/>
        <w:rPr>
          <w:rFonts w:ascii="Times New Roman" w:cs="Times New Roman" w:eastAsia="Times New Roman" w:hAnsi="Times New Roman"/>
          <w:sz w:val="18"/>
          <w:szCs w:val="18"/>
          <w:color w:val="auto"/>
        </w:rPr>
      </w:pPr>
    </w:p>
    <w:p>
      <w:pPr>
        <w:ind w:left="504" w:hanging="504"/>
        <w:spacing w:after="0"/>
        <w:tabs>
          <w:tab w:leader="none" w:pos="50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 and we may not have funds to cover the costs;</w:t>
      </w:r>
    </w:p>
    <w:p>
      <w:pPr>
        <w:spacing w:after="0" w:line="225"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64770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4"/>
          </w:cols>
          <w:pgMar w:left="956" w:top="432" w:right="339" w:bottom="1440" w:gutter="0" w:footer="0" w:header="0"/>
        </w:sectPr>
      </w:pPr>
    </w:p>
    <w:bookmarkStart w:id="50" w:name="page51"/>
    <w:bookmarkEnd w:id="50"/>
    <w:p>
      <w:pPr>
        <w:ind w:left="1140" w:hanging="504"/>
        <w:spacing w:after="0" w:line="282" w:lineRule="auto"/>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 or may not be able to be procured or distributed as needed;</w:t>
      </w:r>
    </w:p>
    <w:p>
      <w:pPr>
        <w:spacing w:after="0" w:line="40"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revise the requirements for approving our product candidates, or such requirements may not be as we anticipate; and</w:t>
      </w:r>
    </w:p>
    <w:p>
      <w:pPr>
        <w:spacing w:after="0" w:line="10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collaborators that conduct clinical trials may face any of the above issues, and may conduct clinical trials in ways they view as advantageous to them but that are suboptimal for us.</w:t>
      </w:r>
    </w:p>
    <w:p>
      <w:pPr>
        <w:spacing w:after="0" w:line="4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product candidates beyond those that we currently contemplate, if we are unable to successfully and timely complete clinical trials of our product candidates or other testing, if the results of these trials or tests are not positive or are only modestly positive or if there are safety concerns, we may:</w:t>
      </w:r>
    </w:p>
    <w:p>
      <w:pPr>
        <w:spacing w:after="0" w:line="61" w:lineRule="exact"/>
        <w:rPr>
          <w:sz w:val="20"/>
          <w:szCs w:val="20"/>
          <w:color w:val="auto"/>
        </w:rPr>
      </w:pPr>
    </w:p>
    <w:p>
      <w:pPr>
        <w:ind w:left="1140" w:hanging="504"/>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unplanned costs;</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 or not obtain marketing approval at all;</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in some countries and not in others;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for indications or patient populations that are not as broad as intended or desired;</w:t>
      </w:r>
    </w:p>
    <w:p>
      <w:pPr>
        <w:spacing w:after="0" w:line="103"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with labeling that includes significant use or distribution restrictions or safety warnings, including boxed warnings or REMS;</w:t>
      </w:r>
    </w:p>
    <w:p>
      <w:pPr>
        <w:spacing w:after="0" w:line="6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changes in the way the product is administered; or</w:t>
      </w:r>
    </w:p>
    <w:p>
      <w:pPr>
        <w:spacing w:after="0" w:line="10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regulatory authorities withdraw or suspend their approval of the product or to impose restrictions on its distribution after obtaining marketing approval.</w:t>
      </w:r>
    </w:p>
    <w:p>
      <w:pPr>
        <w:spacing w:after="0" w:line="40"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All of our product candidates will require extensive clinical testing before we are prepared to submit a BLA or marketing authorization application (“MAA”), for regulatory approval. We cannot predict with any certainty if or when we might complete the clinical development for our product candidates and submit a BLA or MAA for regulatory approval of any of our product candidates or whether any such BLA or MAA will be approved. We may also seek feedback from the FDA, EMA or other regulatory authorities on our clinical development program, and the FDA, EMA or other regulatory authorities may not provide such feedback on a timely basis, or such feedback may not be favorable, which could further delay our development programs.</w:t>
      </w:r>
    </w:p>
    <w:p>
      <w:pPr>
        <w:spacing w:after="0" w:line="87"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We cannot predict with any certainty whether or when we might complete a given clinical trial. If we experience delays in the commencement or completion of our clinical trials, or if we terminate a clinical trial prior to completion, the commercial prospects of our product candidates could be harmed, and our ability to generate revenues from our product candidates may be delayed or lost. In addition, any delays in our clinical trials could increase our costs, slow down the development and approval process and jeopardize our ability to commence product sales and generate revenues. Any of these occurrences may harm our business, financial condition and results of operations. In addition, many of the factors that cause, or lead to, a delay in the commencement or completion of clinical trials may also ultimately lead to the denial of regulatory approval of our product candidates.</w:t>
      </w:r>
    </w:p>
    <w:p>
      <w:pPr>
        <w:spacing w:after="0" w:line="70" w:lineRule="exact"/>
        <w:rPr>
          <w:sz w:val="20"/>
          <w:szCs w:val="20"/>
          <w:color w:val="auto"/>
        </w:rPr>
      </w:pPr>
    </w:p>
    <w:p>
      <w:pPr>
        <w:jc w:val="both"/>
        <w:ind w:firstLine="509"/>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the Public Health Emergency will continue to be in place for an extended period of time and that the product candidates we are developing for COVID-19 could be granted an EUA by the FDA or similar authorization by regulatory authorities outside of the United States if we decide to apply for such an authorization. If we do not apply for such an authorization or, if we do apply and no authorization is granted or, once granted, it is terminated, we will be unable to sell our product candidates in the near future and instead, will be required to pursue solely the traditional regulatory approval processes of the FDA and comparable foreign authorities, which are lengthy, time consuming and inherently unpredictable. If we are not able to obtain required regulatory approval for our product candidates, our business will be substantially harmed.</w:t>
      </w:r>
    </w:p>
    <w:p>
      <w:pPr>
        <w:spacing w:after="0" w:line="71"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8"/>
          <w:szCs w:val="18"/>
          <w:color w:val="auto"/>
        </w:rPr>
        <w:t>We may seek an EUA for the prevention and/or treatment of COVID-19 from the FDA or similar authorization from regulatory authorities outside of the United States, such as conditional marketing authorization from the EMA. If we apply for an EUA and it is granted, an EUA will authorize us to market and sell our COVID-19 monoclonal antibody under certain conditions of authorization as long as the Public Health Emergency exists. The FDA expects that companies that receive an EUA for COVID-19 antibodies will proceed to licensure of their products under a full BLA. The FDA may issue an EUA during a public health emergency if the agency determines that the potential benefits of a product outweigh the potential risks and if other regulatory criteria are met.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51" w:name="page52"/>
    <w:bookmarkEnd w:id="51"/>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There is no guarantee that we will apply for an EUA for NVD200, adintrevimab or any other product candidates, or other similar authorization or, if we do apply, that we will be able to obtain an EUA or such. If an EUA or other authorization is granted, we will rely on the FDA or other applicable regulatory authority policies and guidance governing products authorized in this manner in connection with the marketing and sale of our product. If these policies and guidance change unexpectedly and/or materially or if we misinterpret them, potential sales of our product could be adversely impacted. An EUA authorizing the marketing and sale of our product will terminate upon expiration of the public health emergency, which is a determination made by the Secretary of the Department of Health and Human Services (“HHS”). The FDA may also terminate an EUA if safety issues or other concerns about our product, such as loss of neutralizing activity against dominant circulating SARS-CoV-2 variants, arise or if we fail to comply with the conditions of authorization. We cannot predict how long the Public Health Emergency will remain in effect, the future dominant circulating SARS-CoV-2 variant(s), or the length of time a variant will circulate.</w:t>
      </w:r>
    </w:p>
    <w:p>
      <w:pPr>
        <w:spacing w:after="0" w:line="77"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If we apply for an EUA or similar authorization from regulatory authorities outside of the United States, the failure to obtain such authorization or the termination of such an authorization, if obtained, would adversely impact our ability to market and sell our COVID-19 antibody, which could adversely impact our business, financial condition and results of operations. The time required to obtain approval or other marketing authorizations by the FDA and comparable foreign authorities is unpredictable, and it typically takes many years following the commencement of clinical trials and depends upon numerous factors, including the substantial discretion of the regulatory authorities. In addition, approval policies, regulations, and the type and amount of clinical data necessary to gain approval may change during the course of a product candidate’s clinical development and may vary among jurisdictions. We have not obtained regulatory authorization or approval for any product candidate, and it is possible that we may never obtain regulatory authorization or approval for any product candidates we may seek to develop in the future. Neither we nor any current or future collaborator is permitted to market any drug product candidates in the United States until we receive regulatory authorization with an EUA or approval of a BLA from the FDA, and we cannot market it in the European Union until we receive marketing authorization from the EMA, or other required regulatory approval in other countries. To date, we have had discussions with the FDA and Health Canada and have received scientific advice from the Medicines and Healthcare products Regulatory Agency, the Swedish Medical Products Agency, the Paul Ehrlich Institute, and the EMA regarding clinical development programs or regulatory approval for any product candidate within the United States, Canada, United Kingdom, Sweden, Germany and European Union, respectively. We have had no discussions with other comparable foreign authorities regarding clinical development programs or regulatory approval for any product candidate outside of these jurisdictions.</w:t>
      </w:r>
    </w:p>
    <w:p>
      <w:pPr>
        <w:spacing w:after="0" w:line="82"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Prior to obtaining approval to commercialize any drug product candidate in the United States or abroad, we must demonstrate with substantial evidence from well-controlled clinical trials, and to the satisfaction of the FDA, EMA or other foreign regulatory agencies, that such product candidate is safe, pure and effective for their intended uses. Results from preclinical studies and clinical trials can be interpreted in different ways. Even if we believe the preclinical or clinical data for our product candidates are promising, such data may not be sufficient to support approval by the FDA and other regulatory authorities. The FDA may also require us to conduct additional preclinical studies or clinical trials for our product candidates either prior to or after approval, or it may object to elements of our clinical development programs.</w:t>
      </w:r>
    </w:p>
    <w:p>
      <w:pPr>
        <w:spacing w:after="0" w:line="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product candidates could fail to receive regulatory approval for many reasons, including the following:</w:t>
      </w:r>
    </w:p>
    <w:p>
      <w:pPr>
        <w:spacing w:after="0" w:line="104" w:lineRule="exact"/>
        <w:rPr>
          <w:sz w:val="20"/>
          <w:szCs w:val="20"/>
          <w:color w:val="auto"/>
        </w:rPr>
      </w:pPr>
    </w:p>
    <w:p>
      <w:pPr>
        <w:ind w:left="1140" w:hanging="504"/>
        <w:spacing w:after="0" w:line="266" w:lineRule="auto"/>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 or with our interpretation of data from preclinical studies or clinical trials;</w:t>
      </w:r>
    </w:p>
    <w:p>
      <w:pPr>
        <w:spacing w:after="0" w:line="67"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safe and effective for its proposed indication;</w:t>
      </w:r>
    </w:p>
    <w:p>
      <w:pPr>
        <w:spacing w:after="0" w:line="54" w:lineRule="exact"/>
        <w:rPr>
          <w:rFonts w:ascii="Times New Roman" w:cs="Times New Roman" w:eastAsia="Times New Roman" w:hAnsi="Times New Roman"/>
          <w:sz w:val="18"/>
          <w:szCs w:val="18"/>
          <w:color w:val="auto"/>
        </w:rPr>
      </w:pPr>
    </w:p>
    <w:p>
      <w:pPr>
        <w:ind w:left="1140" w:right="20" w:hanging="504"/>
        <w:spacing w:after="0" w:line="282" w:lineRule="auto"/>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40"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0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collect sufficient data from clinical trials of our product candidates to support the submission and filing of a BLA with the FDA, MAA with the EMA or other submission;</w:t>
      </w:r>
    </w:p>
    <w:p>
      <w:pPr>
        <w:spacing w:after="0" w:line="40"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bioresearch monitoring, FDA inspection or comparable foreign regulatory authorities inspection;</w:t>
      </w:r>
    </w:p>
    <w:p>
      <w:pPr>
        <w:spacing w:after="0" w:line="103"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an FDA or comparable foreign regulatory authorities' inspection of our third-party contract manufacturing or testing facilities for which we contract and test clinical and commercial supplies;</w:t>
      </w:r>
    </w:p>
    <w:p>
      <w:pPr>
        <w:spacing w:after="0" w:line="67" w:lineRule="exact"/>
        <w:rPr>
          <w:rFonts w:ascii="Times New Roman" w:cs="Times New Roman" w:eastAsia="Times New Roman" w:hAnsi="Times New Roman"/>
          <w:sz w:val="18"/>
          <w:szCs w:val="18"/>
          <w:color w:val="auto"/>
        </w:rPr>
      </w:pPr>
    </w:p>
    <w:p>
      <w:pPr>
        <w:ind w:left="1140" w:right="20" w:hanging="504"/>
        <w:spacing w:after="0" w:line="266" w:lineRule="auto"/>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find our contract manufacturing related activities (e.g., process validation, product characterization, product stability and expiry, and comparability establishment) insufficient for approval; and</w:t>
      </w:r>
    </w:p>
    <w:p>
      <w:pPr>
        <w:spacing w:after="0" w:line="54"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authorities may significantly change in a manner rendering our clinical data insufficient for approval.</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52" w:name="page53"/>
    <w:bookmarkEnd w:id="52"/>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In addition, the FDA, EMA and other regulatory authorities may change their policies, issue additional regulations or revise existing regulations, or take other actions, which may prevent or delay approval of our future products under development on a timely basis. Such policy or regulatory changes could impose additional requirements upon us that could delay our ability to obtain approvals, increase the costs of compliance or restrict our ability to maintain any marketing authorizations we may have obtained.</w:t>
      </w:r>
    </w:p>
    <w:p>
      <w:pPr>
        <w:spacing w:after="0" w:line="79"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Success in preclinical studies or earlier clinical trials may not be indicative of results in future clinical trials. Our product candidates may not have favorable results in later clinical trials, if any, or receive regulatory approval.</w:t>
      </w:r>
    </w:p>
    <w:p>
      <w:pPr>
        <w:spacing w:after="0" w:line="50"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Success in preclinical testing and early clinical trials does not ensure that later clinical trials will generate the same results or otherwise provide adequate data to demonstrate the efficacy and safety of a product candidate. Preclinical tests and Phase 1 and Phase 2 clinical trials are primarily designed to test safety, to study pharmacokinetics and pharmacodynamics and to understand the side effects of product candidates at various doses and schedules. Success in preclinical or animal studies and early clinical trials does not ensure that later large-scale efficacy trials will be successful, nor does it predict final results. For example, we may be unable to identify suitable animal disease models for our product candidates, which could delay or frustrate our ability to proceed into clinical trials or obtain marketing approval. Our product candidates may fail to show the desired safety and efficacy in clinical development despite having progressed through preclinical studies and initial clinical trials.</w:t>
      </w:r>
    </w:p>
    <w:p>
      <w:pPr>
        <w:spacing w:after="0" w:line="73"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Many companies in the pharmaceutical and biotechnology industries have suffered significant setbacks in late-stage clinical trials even after achieving promising results in preclinical testing and earlier-stage clinical trials. Data obtained from preclinical and clinical activities are subject to varying interpretations, which may delay, limit or prevent regulatory approval. In addition, we may experience regulatory delays or rejections as a result of many factors, including changes in regulatory policy during the period of our product candidate development. Any such delays could negatively impact our business, financial condition, results of operations and prospects.</w:t>
      </w:r>
    </w:p>
    <w:p>
      <w:pPr>
        <w:spacing w:after="0" w:line="65"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results from our clinical trials that we announce or publish from time to time may change as more data become available and are subject to audit and verification procedures that could result in material changes in the final data.</w:t>
      </w:r>
    </w:p>
    <w:p>
      <w:pPr>
        <w:spacing w:after="0" w:line="63"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From time to time, we may publish interim, top-line or preliminary results from our clinical trials. Interim results from clinical trials that we may complete are subject to the risk that one or more of the clinical outcomes may materially change as patient enrollment continues and more patient data become available. Preliminary or top-line results also remain subject to audit and verification procedures that may result in the final data being materially different from the preliminary data we previously published. As a result, interim and preliminary data should be viewed with caution until the final data are available. Differences between preliminary, top-line or interim data and final data could significantly harm our business prospects and may cause the trading price of our common stock to fluctuate significantly.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w:t>
      </w:r>
    </w:p>
    <w:p>
      <w:pPr>
        <w:spacing w:after="0" w:line="79"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development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Any information we determine not to disclose may ultimately be deemed meaningful by you or others with respect to future decisions, conclusions, views, activities or otherwise regarding a particular product candidate or our business. If the interim, top-line or preliminary data that we report differ from actual results, or if others, including regulatory authorities, disagree with the conclusions reached, our ability to obtain approval for, and commercialize, product candidates may be harmed, which could significantly harm our business prospects.</w:t>
      </w:r>
    </w:p>
    <w:p>
      <w:pPr>
        <w:spacing w:after="0" w:line="73"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preclinical studies and clinical trials may fail to demonstrate substantial evidence of the safety and efficacy of our product candidates, or serious adverse or unacceptable side effects may be identified during the development of our product candidates, which could prevent, delay or limit the scope of regulatory approval of our product candidates, limit their commercialization, increase our costs or necessitate the abandonment or limitation of the development of some of our product candidates.</w:t>
      </w:r>
    </w:p>
    <w:p>
      <w:pPr>
        <w:spacing w:after="0" w:line="66"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To obtain the requisite regulatory approvals for the commercial sale of our product candidates, we must demonstrate through lengthy, complex and expensive preclinical testing and clinical trials that our product candidates are safe, pure and potent for use in each target indication. These trials are expensive and time consuming, and their outcomes are inherently uncertain. Failures can occur at any time during the development process. Preclinical studies and clinical trials often fail to demonstrate safety or efficacy of the product candidate studied for the target indication, and most product candidates that begin clinical trials are never approved.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53" w:name="page54"/>
    <w:bookmarkEnd w:id="53"/>
    <w:p>
      <w:pPr>
        <w:jc w:val="both"/>
        <w:ind w:firstLine="509"/>
        <w:spacing w:after="0" w:line="247" w:lineRule="auto"/>
        <w:rPr>
          <w:sz w:val="20"/>
          <w:szCs w:val="20"/>
          <w:color w:val="auto"/>
        </w:rPr>
      </w:pPr>
      <w:r>
        <w:rPr>
          <w:rFonts w:ascii="Times New Roman" w:cs="Times New Roman" w:eastAsia="Times New Roman" w:hAnsi="Times New Roman"/>
          <w:sz w:val="18"/>
          <w:szCs w:val="18"/>
          <w:color w:val="auto"/>
        </w:rPr>
        <w:t>We may fail to demonstrate with substantial evidence from adequate and well-controlled trials, and to the satisfaction of the FDA or comparable foreign regulatory authorities, that our product candidates are safe and effective for their intended uses. In addition, the FDA or comparable foreign regulatory authorities may determine that antibody monotherapy products are not sufficient and that combination antibody therapies should become the standard of care. The current clinical data available from the STAMP and EVADE trials may be insufficient to support a BLA or marketing authorization and we may not be able to generate additional data if the FDA or comparable foreign regulatory authorities require additional trials in support of a BLA or marketing authorization.</w:t>
      </w:r>
    </w:p>
    <w:p>
      <w:pPr>
        <w:spacing w:after="0" w:line="72"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8"/>
          <w:szCs w:val="18"/>
          <w:color w:val="auto"/>
        </w:rPr>
        <w:t>If our product candidates are associated with undesirable effects in preclinical studies or clinical trials or have characteristics that are unexpected, we may decide or be required to perform additional preclinical studies or to halt or delay further clinical development of our product candidates or to limit their development to more narrow uses or subpopulations in which the undesirable side effects or other characteristics are less prevalent, less severe or more acceptable from a risk-benefit perspective, which may limit the commercial use for the product candidate, if approved. Some side effects may not be appropriately recognized or managed by the treating medical staff, as toxicities resulting from monoclonal antibody therapy targeting an exogenous target, as with our product candidates, can be nonspecific.</w:t>
      </w:r>
    </w:p>
    <w:p>
      <w:pPr>
        <w:spacing w:after="0" w:line="72"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If any such adverse events occur, our clinical trials could be suspended or terminated. If we cannot demonstrate that any adverse events were not caused by the drug, the FDA, EMA or foreign regulatory authorities could order us to cease further development of, or deny approval of, our product candidates for any or all targeted indications, or require that we conduct additional animal or human studies regarding the safety and efficacy of our product candidates that we have not planned or anticipated. Such findings could further result in regulatory authorities failing to provide marketing authorization for our product candidates or limiting the scope of the approved indication, if approved. Many product candidates that initially showed promise in early-stage testing have later been found to cause side effects that prevented further development of the product candidate. Even if we are able to demonstrate that all future serious adverse events are not product-related, such occurrences could affect patient recruitment or the ability of enrolled patients to complete the trial. Moreover, if we elect, or are required, to not initiate, delay, suspend or terminate any future clinical trial of any of our product candidates, the commercial prospects of such product candidates may be harmed and our ability to generate product revenues from any of these product candidates may be delayed or eliminated. Any of these occurrences may harm our ability to develop other product candidates and may harm our business, financial condition and prospects significantly.</w:t>
      </w:r>
    </w:p>
    <w:p>
      <w:pPr>
        <w:spacing w:after="0" w:line="9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Additionally, if one or more of our product candidates receives marketing approval, and we or others identify undesirable side effects caused by such products, a number of potentially significant negative consequences could result, including:</w:t>
      </w:r>
    </w:p>
    <w:p>
      <w:pPr>
        <w:spacing w:after="0" w:line="54" w:lineRule="exact"/>
        <w:rPr>
          <w:sz w:val="20"/>
          <w:szCs w:val="20"/>
          <w:color w:val="auto"/>
        </w:rPr>
      </w:pPr>
    </w:p>
    <w:p>
      <w:pPr>
        <w:ind w:left="1140" w:hanging="504"/>
        <w:spacing w:after="0" w:line="266" w:lineRule="auto"/>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suspend, withdraw or limit approvals of such product, or seek an injunction against its manufacture or distribution;</w:t>
      </w:r>
    </w:p>
    <w:p>
      <w:pPr>
        <w:spacing w:after="0" w:line="6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w:t>
      </w:r>
    </w:p>
    <w:p>
      <w:pPr>
        <w:spacing w:after="0" w:line="103"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 or other requirements subject to a REMS;</w:t>
      </w:r>
    </w:p>
    <w:p>
      <w:pPr>
        <w:spacing w:after="0" w:line="6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a product is administered or conduct additional trials;</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to remove the product from the market;</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achieve or maintain third-party payor coverage and adequate reimbursement;</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fines, injunctions or the imposition of civil or criminal penalties; and</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and physician or patient acceptance of our products may suffer.</w:t>
      </w:r>
    </w:p>
    <w:p>
      <w:pPr>
        <w:spacing w:after="0" w:line="117"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There can be no assurance that we will resolve any issues related to any product-related adverse events to the satisfaction of the FDA or foreign regulatory agency in a timely manner or at all. Moreover, any of these events could prevent us from achieving or maintaining market acceptance of the particular product candidate, if approved, and could significantly harm our business, results of operations and prospects.</w:t>
      </w:r>
    </w:p>
    <w:p>
      <w:pPr>
        <w:spacing w:after="0" w:line="78"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Lack of awareness or negative public opinion of monoclonal antibody therapies and increased regulatory scrutiny of monoclonal antibody therapies to prevent or treat COVID-19 may adversely impact the development or commercial success of our product candidates.</w:t>
      </w:r>
    </w:p>
    <w:p>
      <w:pPr>
        <w:spacing w:after="0" w:line="50"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The clinical and commercial success of our monoclonal antibody therapies will depend in part on public acceptance of the use of monoclonal antibody therapies to prevent of treat COVID-19. Any adverse public attitudes about the use of monoclonal antibody therapies may adversely impact our ability to enroll clinical trials. Moreover, our success will depend upon physicians prescribing, and their patients’ willingness to receive, treatments that involve the use of product candidates we may develop in lieu of, or in addition to, existing treatments with which they are already familiar and for which greater clinical data may be available.</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54" w:name="page55"/>
    <w:bookmarkEnd w:id="54"/>
    <w:p>
      <w:pPr>
        <w:jc w:val="both"/>
        <w:ind w:firstLine="509"/>
        <w:spacing w:after="0" w:line="247" w:lineRule="auto"/>
        <w:rPr>
          <w:sz w:val="20"/>
          <w:szCs w:val="20"/>
          <w:color w:val="auto"/>
        </w:rPr>
      </w:pPr>
      <w:r>
        <w:rPr>
          <w:rFonts w:ascii="Times New Roman" w:cs="Times New Roman" w:eastAsia="Times New Roman" w:hAnsi="Times New Roman"/>
          <w:sz w:val="18"/>
          <w:szCs w:val="18"/>
          <w:color w:val="auto"/>
        </w:rPr>
        <w:t>More restrictive government regulations or negative public opinion would have a negative effect on our business or financial condition and may delay or impair the development and commercialization of our product candidates or demand for any products once approved. Adverse events in our or others’ clinical trials, even if not ultimately attributable to our product candidates, and the resulting publicity could result in increased governmental regulation, unfavorable public perception, potential regulatory delays in the testing or approval of our product candidates, stricter labeling requirements for those product candidates that are approved and a decrease in demand for any such product candidates, all of which would have a negative impact on our business and operations.</w:t>
      </w:r>
    </w:p>
    <w:p>
      <w:pPr>
        <w:spacing w:after="0" w:line="68"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delays or difficulties in the enrollment and/or retention of patients in clinical trials, or we may pause, delay or terminate enrollment of our clinical trials, which could in turn delay or prevent our receipt of necessary regulatory approvals.</w:t>
      </w:r>
    </w:p>
    <w:p>
      <w:pPr>
        <w:spacing w:after="0" w:line="37"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Successful and timely completion of clinical trials will require that we enroll, and maintain the enrollment of, a sufficient number of patients. Patient enrollment, a significant factor in the timing of clinical trials, is affected by many factors, including the size and nature of the patient population and competition for patients eligible for our clinical trials with competitors that may have ongoing clinical trials for product candidates that are under development to treat the same indications as one or more of our product candidates, or approved products for the conditions for which we are developing our product candidates.</w:t>
      </w:r>
    </w:p>
    <w:p>
      <w:pPr>
        <w:spacing w:after="0" w:line="73"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 xml:space="preserve">Further, we may determine that enrollment in a clinical trial should be paused, delayed or terminated in order to revise trial protocols in light of preliminary data generated by the trial or new data generated in other studies. For example, following our review of data generated in external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analyses examining the neutralizing activity of adintrevimab against the Omicron SARS-CoV-2 BA.1 variant in both authentic and pseudovirus assays, in January 2022 we paused enrollment of new patients in both our EVADE and STAMP clinical trials to assess dosing strategy and revise our trial protocols in light of the global spread of the Omicron variant and its sublineages. Trials may be subject to delays as a result of patient enrollment taking longer than anticipated or patient withdrawal. We may not be able to initiate or continue clinical trials for our product candidates if we are unable to locate and enroll a sufficient number of eligible patients to participate in these trials as required by the FDA or foreign regulatory authorities. We cannot predict how successful we will be at enrolling patients in future clinical trials. Patient enrollment is affected by other factors, including:</w:t>
      </w:r>
    </w:p>
    <w:p>
      <w:pPr>
        <w:spacing w:after="0" w:line="71" w:lineRule="exact"/>
        <w:rPr>
          <w:sz w:val="20"/>
          <w:szCs w:val="20"/>
          <w:color w:val="auto"/>
        </w:rPr>
      </w:pPr>
    </w:p>
    <w:p>
      <w:pPr>
        <w:ind w:left="1140" w:hanging="504"/>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and difficulty of diagnosing the disease under investigation;</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contraction of the public health crisis caused by COVID-19;</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and exclusion criteria for the trial in question;</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patient population and process for identifying patients;</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infection prevalence may have on enrollment;</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trial protocol, including but not limited to the use of a placebo control or active comparator;</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 in the trial, including relating to monoclonal antibody and/or vaccine approaches;</w:t>
      </w:r>
    </w:p>
    <w:p>
      <w:pPr>
        <w:spacing w:after="0" w:line="103" w:lineRule="exact"/>
        <w:rPr>
          <w:rFonts w:ascii="Times New Roman" w:cs="Times New Roman" w:eastAsia="Times New Roman" w:hAnsi="Times New Roman"/>
          <w:sz w:val="18"/>
          <w:szCs w:val="18"/>
          <w:color w:val="auto"/>
        </w:rPr>
      </w:pPr>
    </w:p>
    <w:p>
      <w:pPr>
        <w:ind w:left="1140" w:right="20" w:hanging="504"/>
        <w:spacing w:after="0" w:line="282" w:lineRule="auto"/>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competing commercially available therapies and other competing therapeutic candidates’ clinical trials for the disease or condition under investigation;</w:t>
      </w:r>
    </w:p>
    <w:p>
      <w:pPr>
        <w:spacing w:after="0" w:line="40"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be enrolled in our clinical trials;</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national and/or employer COVID-19 vaccine mandates;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clinical trials;</w:t>
      </w:r>
    </w:p>
    <w:p>
      <w:pPr>
        <w:spacing w:after="0" w:line="103" w:lineRule="exact"/>
        <w:rPr>
          <w:rFonts w:ascii="Times New Roman" w:cs="Times New Roman" w:eastAsia="Times New Roman" w:hAnsi="Times New Roman"/>
          <w:sz w:val="18"/>
          <w:szCs w:val="18"/>
          <w:color w:val="auto"/>
        </w:rPr>
      </w:pPr>
    </w:p>
    <w:p>
      <w:pPr>
        <w:jc w:val="both"/>
        <w:ind w:left="1140" w:hanging="504"/>
        <w:spacing w:after="0" w:line="258" w:lineRule="auto"/>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disruptions caused by the COVID-19 pandemic, including difficulties in initiating clinical sites, enrolling and retaining participants, diversion of healthcare resources away from clinical trials, vaccine mandate policies, travel or quarantine policies that may be implemented, our ability to import and export clinical trial supplies, raw materials and commercial supply and other factors;</w:t>
      </w:r>
    </w:p>
    <w:p>
      <w:pPr>
        <w:spacing w:after="0" w:line="61"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 and</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104"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Our inability to enroll, or maintain the enrollment of, a sufficient number of patients for clinical trials would result in significant delays and could require us to abandon one or more clinical trials altogether. Enrollment pauses or delays in these clinical trials may result in increased development costs for our product candidates, which would cause the value of our company to decline and limit our ability to obtain additional financing. Furthermore, we expect to rely on CROs and clinical trial sites to ensure the proper and timely conduct of our clinical trials and we will have limited influence over their performance.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55" w:name="page56"/>
    <w:bookmarkEnd w:id="55"/>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Breakthrough therapy designation by the FDA for any product candidate may not lead to a faster development or regulatory review or approval process, and it does not increase the likelihood that the product candidate will receive marketing approval.</w:t>
      </w:r>
    </w:p>
    <w:p>
      <w:pPr>
        <w:spacing w:after="0" w:line="37"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We may, in the future, apply for breakthrough therapy designation, or the equivalent thereof in foreign jurisdictions (where available), for our product candidates. A breakthrough therapy is defined as a product candidate that is intended, alone or in combination with one or more other drugs, to treat a serious or life-threatening disease or condition, and preliminary clinical evidence indicates that the product candidate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 candidates designated as breakthrough therapies by the FDA are also eligible for priority review if supported by clinical data at the time of the submission of the BLA.</w:t>
      </w:r>
    </w:p>
    <w:p>
      <w:pPr>
        <w:spacing w:after="0" w:line="78"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8"/>
          <w:szCs w:val="18"/>
          <w:color w:val="auto"/>
        </w:rPr>
        <w:t>Designation as a breakthrough therapy is within the discretion of the FDA. Accordingly, even if we believe that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product candidates considered for approval under conventional FDA procedures and it would not assure ultimate approval by the FDA. In addition, even if one or more of our product candidates qualify as breakthrough therapies, the FDA may later decide that the product candidate no longer meets the conditions for qualification or it may decide that the time period for FDA review or approval will not be shortened.</w:t>
      </w:r>
    </w:p>
    <w:p>
      <w:pPr>
        <w:spacing w:after="0" w:line="68"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37"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Because we have limited financial and management resources, we must focus on development programs and product candidates that we identify for specific indications. As such, we are currently focused on advancing antibodies into clinical trials for the prevention and treatment of COVID-19 and other infectious diseases. Our resource allocation decisions may cause us to fail to capitalize on viable commercial products or profitable market opportunities. Our spending on current and future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69"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plan to conduct and may in the future conduct additional clinical trials for our product candidates outside the United States, and the FDA and similar foreign regulatory authorities may not accept data from such trials conducted in locations outside of their jurisdiction.</w:t>
      </w:r>
    </w:p>
    <w:p>
      <w:pPr>
        <w:spacing w:after="0" w:line="63"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We are currently conducting, and intend to conduct in the future, clinical trials outside the United States. The acceptance of trial data from clinical trials conducted outside the United States by the FDA may be subject to certain conditions or may not be accepted at all. In cases where data from clinical trials conducted outside the United States are intended to serve as the sole basis for marketing approval in the United States, the FDA will generally not approve the application on the basis of foreign data alone unless (i) the data are applicable to the U.S. population and U.S. medical practice; (ii) the trials were performed by clinical investigators of recognized competence in accordance with GCP standards,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or any similar foreign regulatory authority will accept data from trials conducted outside of the United States or the applicable jurisdiction. If the FDA or any similar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spacing w:after="0" w:line="77" w:lineRule="exact"/>
        <w:rPr>
          <w:sz w:val="20"/>
          <w:szCs w:val="20"/>
          <w:color w:val="auto"/>
        </w:rPr>
      </w:pPr>
    </w:p>
    <w:p>
      <w:pPr>
        <w:jc w:val="both"/>
        <w:ind w:right="20"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build a pipeline of additional product candidates through internal efforts or through partnerships for discovery of novel antibody product candidates.</w:t>
      </w:r>
    </w:p>
    <w:p>
      <w:pPr>
        <w:spacing w:after="0" w:line="50"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8"/>
          <w:szCs w:val="18"/>
          <w:color w:val="auto"/>
        </w:rPr>
        <w:t>We may not be able to continue to identify and develop new product candidates in addition to our current pipeline. Even if we are successful in continuing to build our pipeline, the potential product candidates that we identify may not be suitable for clinical development. For example, product candidates may be shown to have harmful side effects or other characteristics that indicate that they are unlikely to be successfully developed, much less receive marketing approval and achieve market acceptance. If we do not successfully develop and commercialize product candidates based upon our approach, we will not be able to obtain product revenue in future periods, which likely would result in significant harm to our financial position and adversely affect our stock price.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56" w:name="page57"/>
    <w:bookmarkEnd w:id="56"/>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may be adversely affected by the evolving and ongoing COVID-19 global pandemic.</w:t>
      </w:r>
    </w:p>
    <w:p>
      <w:pPr>
        <w:spacing w:after="0" w:line="121"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The evolving and constantly changing impact of COVID-19, which was declared a global pandemic by the World Health Organization (“WHO”), will directly affect the potential commercial prospects of our product candidates for the prevention and treatment of COVID-19. The severity of the disease and the global pandemic, the availability, administration and acceptance of vaccines, monoclonal antibodies, antiviral agents and other therapies, potential vaccine mandate policies, and the potential development of “herd immunity” by the global population will affect the design and enrollment of our clinical trials, the potential regulatory authorization or approval of our product candidates and the commercialization of our product candidates, if approved.</w:t>
      </w:r>
    </w:p>
    <w:p>
      <w:pPr>
        <w:spacing w:after="0" w:line="73"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In addition, our business and operations may be more broadly adversely affected by the COVID-19 pandemic. The COVID-19 pandemic has resulted in travel and other restrictions in order to reduce the spread of the disease, including public health directives and orders that, among other things and for various periods of time, directed individuals to shelter at their places of residence, directed businesses and governmental agencies to cease non-essential operations at physical locations, prohibited certain non-essential gatherings and events and ordered cessation of non-essential travel. Future remote work policies and similar government orders or other restrictions on the conduct of business operations related to the COVID-19 pandemic may negatively impact productivity and may disrupt our ongoing research and development activities as well as our clinical programs and timelines, the magnitude of which will depend, in part, on the length and severity of the restrictions and other limitations on our ability to conduct our business in the ordinary course. Further, such orders also may impact the availability or cost of materials, which would disrupt our supply chain and manufacturing efforts and could affect our ability to conduct ongoing and planned clinical trials and preparatory activities. Additionally, on September 9, 2021, President Biden issued an executive order obligating parties that contract with the federal government to require their employees to be fully vaccinated against COVID-19, with limited exceptions for certain accommodations, and on November 5, 2021 the Department of Labor’s Occupational Safety and Health Administration (“OSHA”) issued an emergency temporary standard (the “ETS”) requiring all private employers with 100 or more workers to mandate COVID-19 vaccination or produce a weekly test for all employees. Although the executive order has been the subject of legal challenges and is currently enjoined nationwide, there can be no assurance that the executive order will not be upheld and enforced or that President Biden will not issue another executive order. Further, while the ETS was withdrawn effective January 26, 2022, OSHA has not withdrawn the ETS as a proposed rule. As a company that is likely to have 100 employees at the time such rule may become a final standard, we would be required to mandate COVID-19 vaccination of our workforce or require our unvaccinated employees to be tested weekly if the proposed rule becomes a final standard or if the executive order is upheld in the courts and we were to contract with the federal government. We or our suppliers may incur increased costs, labor disruptions or employee attrition as a result of these mandates. If we or other companies in our supply chain lose employees, it may be difficult in the current competitive labor market to find replacement employees, and this could have a material adverse effect on our business and results of operations.</w:t>
      </w:r>
    </w:p>
    <w:p>
      <w:pPr>
        <w:spacing w:after="0" w:line="82"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To date, we have experienced some delays in our development activities as a result of the COVID-19 pandemic. In the future, we anticipate there could be additional or even significant disruptions, delays or uncertainties in our development activities as a result of the COVID-19 pandemic, including the ongoing shutdowns in China, as outbreaks occur and progress and some of our CROs, CDMOs and other service providers continue to be impacted. In December 2020, shipment of adintrevimab clinical supply by WuXi Biologics (Hong Kong) Limited (“WuXi”) was delayed due to the introduction by the Chinese government of a new procedure for the approval of the export of products for the treatment of COVID-19. However, this type of delay is not anticipated to occur in the future, now that this export procedure has been implemented. In addition, we may experience related disruptions in the future that could severely impact our clinical trials, including:</w:t>
      </w:r>
    </w:p>
    <w:p>
      <w:pPr>
        <w:spacing w:after="0" w:line="87" w:lineRule="exact"/>
        <w:rPr>
          <w:sz w:val="20"/>
          <w:szCs w:val="20"/>
          <w:color w:val="auto"/>
        </w:rPr>
      </w:pPr>
    </w:p>
    <w:p>
      <w:pPr>
        <w:ind w:left="1140" w:right="20" w:hanging="504"/>
        <w:spacing w:after="0" w:line="266" w:lineRule="auto"/>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difficulties or a suspension in clinical site initiation, including difficulties in recruiting clinical site investigators and clinical site staff;</w:t>
      </w:r>
    </w:p>
    <w:p>
      <w:pPr>
        <w:spacing w:after="0" w:line="54"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in clinical trial enrollment due to emergence of variant(s) against which adintrevimab is not anticipated to have activity;</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in our ability to manufacture and deliver drug supply for trials due to capacity constraints or lack of raw materials;</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to our ability to supply clinical trial material to clinical trial sites due to supply chain challenges;</w:t>
      </w:r>
    </w:p>
    <w:p>
      <w:pPr>
        <w:spacing w:after="0" w:line="10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40" w:lineRule="exact"/>
        <w:rPr>
          <w:rFonts w:ascii="Times New Roman" w:cs="Times New Roman" w:eastAsia="Times New Roman" w:hAnsi="Times New Roman"/>
          <w:sz w:val="18"/>
          <w:szCs w:val="18"/>
          <w:color w:val="auto"/>
        </w:rPr>
      </w:pPr>
    </w:p>
    <w:p>
      <w:pPr>
        <w:jc w:val="both"/>
        <w:ind w:left="1140" w:hanging="504"/>
        <w:spacing w:after="0" w:line="250" w:lineRule="auto"/>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regulations (including potential vaccine mandates) as part of a response to the COVID-19 outbreak that may require us to change the ways in which our clinical trials are conducted, which may result in unexpected costs, or to discontinue the clinical trials altogether;</w:t>
      </w:r>
    </w:p>
    <w:p>
      <w:pPr>
        <w:spacing w:after="0" w:line="82" w:lineRule="exact"/>
        <w:rPr>
          <w:rFonts w:ascii="Times New Roman" w:cs="Times New Roman" w:eastAsia="Times New Roman" w:hAnsi="Times New Roman"/>
          <w:sz w:val="18"/>
          <w:szCs w:val="18"/>
          <w:color w:val="auto"/>
        </w:rPr>
      </w:pPr>
    </w:p>
    <w:p>
      <w:pPr>
        <w:ind w:left="1140" w:right="20" w:hanging="504"/>
        <w:spacing w:after="0" w:line="266" w:lineRule="auto"/>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key clinical trial activities, such as clinical trial site monitoring, and the ability or willingness of subjects to travel to trial sites due to limitations on travel imposed or recommended by federal or state governments, employers and others;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57" w:name="page58"/>
    <w:bookmarkEnd w:id="57"/>
    <w:p>
      <w:pPr>
        <w:ind w:left="1140" w:hanging="504"/>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around patient enrollment rates due to unpredictable and variable regional rates of infection;</w:t>
      </w:r>
    </w:p>
    <w:p>
      <w:pPr>
        <w:spacing w:after="0" w:line="117"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in employee resources that would otherwise be focused on the conduct of our clinical trials, including because of sickness of employees or their families or the desire of employees to avoid contact with large groups of people;</w:t>
      </w:r>
    </w:p>
    <w:p>
      <w:pPr>
        <w:spacing w:after="0" w:line="54" w:lineRule="exact"/>
        <w:rPr>
          <w:rFonts w:ascii="Times New Roman" w:cs="Times New Roman" w:eastAsia="Times New Roman" w:hAnsi="Times New Roman"/>
          <w:sz w:val="18"/>
          <w:szCs w:val="18"/>
          <w:color w:val="auto"/>
        </w:rPr>
      </w:pPr>
    </w:p>
    <w:p>
      <w:pPr>
        <w:ind w:left="1140" w:right="20" w:hanging="504"/>
        <w:spacing w:after="0" w:line="282" w:lineRule="auto"/>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necessary interactions with local regulators, ethics committees and other important agencies and contractors due to limitations in employee resources or forced furlough of government employees; and</w:t>
      </w:r>
    </w:p>
    <w:p>
      <w:pPr>
        <w:spacing w:after="0" w:line="40"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and other regulatory authorities to accept data from clinical trials in these affected geographies.</w:t>
      </w:r>
    </w:p>
    <w:p>
      <w:pPr>
        <w:spacing w:after="0" w:line="104"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The spread of COVID-19, which has caused a broad impact globally, may materially affect us economically. While the potential economic impact brought by, and the duration of, the COVID-19 pandemic may be difficult to assess or predict, a widespread pandemic could result in significant disruption of global financial markets, reducing our ability to access capital, which could in the future negatively affect our liquidity. In addition, a recession or market correction resulting from the spread of COVID-19 could materially affect our business and the value of our common stock.</w:t>
      </w:r>
    </w:p>
    <w:p>
      <w:pPr>
        <w:spacing w:after="0" w:line="69"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The global COVID-19 pandemic continues to rapidly evolve, particularly with regard to the rapid global spread of the Omicron variant and its sublineages. The extent to which the COVID-19 pandemic impacts our business and operations, including our clinical development and regulatory efforts, will depend on future developments that are highly uncertain and cannot be predicted with confidence as of the date of this Quarterly Report, such as the ultimate geographic spread of the disease and the neutralizing activity of NVD200, adintrevimab and any other product candidates against the dominant circulating variant(s) at any given time, the duration of the outbreak, the duration and effect of business disruptions and the short-term effects and ultimate effectiveness of the travel restrictions, quarantines, social distancing requirements and business closures in the United States and other countries to contain and treat the disease. Accordingly, we do not yet know the full extent of potential delays or impacts on our business, our clinical and regulatory activities, healthcare systems or the global economy as a whole. However, these impacts could adversely affect our business, financial condition, results of operations and growth prospects.</w:t>
      </w:r>
    </w:p>
    <w:p>
      <w:pPr>
        <w:spacing w:after="0" w:line="77"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In addition, to the extent the ongoing COVID-19 pandemic adversely affects our business, financial condition and results of operations, it may also have the effect of heightening many of the other risks and uncertainties described in this “Risk Factors” section.</w:t>
      </w:r>
    </w:p>
    <w:p>
      <w:pPr>
        <w:spacing w:after="0" w:line="36"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market opportunities for any current or future product candidate we develop, if approved, may be limited to those patients who are ineligible for established therapies or for whom prior therapies have failed, and may be small.</w:t>
      </w:r>
    </w:p>
    <w:p>
      <w:pPr>
        <w:spacing w:after="0" w:line="63"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Any revenue we are able to generate in the future from product sales will be dependent, in part, upon the size of the market in the United States and any other jurisdiction for which we gain regulatory approval and have commercial rights. If the markets or patient subsets that we are targeting are not as significant as we estimate, we may not generate significant revenues from sales of such products, even if approved.</w:t>
      </w:r>
    </w:p>
    <w:p>
      <w:pPr>
        <w:spacing w:after="0" w:line="69"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The potentially addressable patient population for our current or future product candidates may be limited, if and when approved. Further, even if any of our product candidates are approved by the FDA or comparable foreign regulators, their approved indications may be limited to a subset of the indications that we targeted. Even if we obtain significant market share for any product candidate, if and when approved, if the potential target populations are small, we may never achieve profitability without obtaining marketing approval for additional indications, including to be used as first- or second-line therapy.</w:t>
      </w:r>
    </w:p>
    <w:p>
      <w:pPr>
        <w:spacing w:after="0" w:line="65"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develop NVD200, adintrevimab and future product candidates for use in combination with other therapies or third-party product candidates, which exposes us to additional regulatory risks.</w:t>
      </w:r>
    </w:p>
    <w:p>
      <w:pPr>
        <w:spacing w:after="0" w:line="63"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We may develop NVD200, adintrevimab and future product candidates for use in combination with one or more currently authorized or approved therapies to prevent or treat COVID-19, or with therapies that may be authorized or approved in the future. Even if any product candidate we develop were to receive marketing approval or be commercialized for use in combination with other existing therapies, we would continue to be subject to the risk that the FDA, EMA or comparable foreign regulatory authorities could revoke approval of the therapy used in combination with our product candidate or that safety, efficacy, manufacturing or supply issues could arise with these existing therapies. This could result in our own products being removed from the market or being less successful commercially. Combination antibody therapies appear to be favored by the FDA over monotherapy, and in the future the FDA, EMA and comparable foreign regulatory authorities may determine that monotherapy products should not be approved, eliminating our ability to commercialize NVD200, adintrevimab or any other product candidate as a monotherapy treatment.</w:t>
      </w:r>
    </w:p>
    <w:p>
      <w:pPr>
        <w:spacing w:after="0" w:line="78"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8"/>
          <w:szCs w:val="18"/>
          <w:color w:val="auto"/>
        </w:rPr>
        <w:t>We may also evaluate NVD200, adintrevimab or any future product candidate in combination with one or more other third-party product candidates that have not yet been approved for marketing by the FDA, EMA or comparable foreign regulatory authorities. If so, we will not be able to market and sell NVD200, adintrevimab or any product candidate we develop in combination with any such unapproved therapies that do not ultimately obtain marketing approval. If the FDA or comparable foreign regulatory authorities do not approve these other product candidates, or revoke their approval of, or if safety, efficacy, manufacturing or supply issues arise with, the biologics or antivirals we choose to evaluate in combination with NVD200, adintrevimab or any product candidate we develop, we may be unable to obtain approval of or market any such product candidate.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58" w:name="page59"/>
    <w:bookmarkEnd w:id="58"/>
    <w:p>
      <w:pPr>
        <w:jc w:val="both"/>
        <w:ind w:firstLine="50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The United Kingdom’s withdrawal from the European Union may adversely impact our ability to obtain regulatory approvals of our product candidates in the European Union, result in restrictions or imposition of taxes and duties for importing our product candidates into the European Union and require us to incur additional expenses in order to develop, manufacture and commercialize our product candidates in the European Union.</w:t>
      </w:r>
    </w:p>
    <w:p>
      <w:pPr>
        <w:spacing w:after="0" w:line="60"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Following the result of a referendum in 2016, the United Kingdom left the European Union on January 31, 2020, commonly referred to as Brexit. Pursuant to the formal withdrawal arrangements agreed to by the United Kingdom and the European Union, as of January 1, 2021, the United Kingdom is no longer subject to the transition period (the “Transition Period”) during which European Union rules continued to apply. A trade and cooperation agreement (the “Trade Cooperation Agreement”) that outlines the post-Transition Period trading relationship between the United Kingdom and the European Union was agreed to in December 2020 and was formally entered into on May 1, 2021.</w:t>
      </w:r>
    </w:p>
    <w:p>
      <w:pPr>
        <w:spacing w:after="0" w:line="69"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Since a significant proportion of the regulatory framework in the United Kingdom applicable to our business and our product candidates is derived from European Union directives and regulations, Brexit has had, and will continue to have, a material impact on the regulatory regime with respect to the development, manufacture, importation, approval and commercialization of our product candidates in the United Kingdom. For example, Great Britain is no longer covered by the centralized procedures for obtaining European Union-wide marketing authorizations from the EMA, and a separate marketing authorization will be required to market our product candidates in the United Kingdom. Any delay in obtaining, or an inability to obtain, any marketing approvals, as a result of Brexit or otherwise, would delay or prevent us from commercializing our product candidates in the United Kingdom or the European Union and limit our ability to generate revenue and achieve and sustain profitability. While the Trade and Cooperation Agreement provides for the tariff-free trade of medicinal products between the United Kingdom and the European Union, there are additional non-tariff costs to such trade that did not exist prior to the end of the Transition Period and frequent delays in the transit of goods between the United Kingdom and the European Union. Further, should the United Kingdom diverge from the European Union from a regulatory perspective in relation to medicinal products, tariffs could be put into place in the future. We could therefore, both now and in the future, face significant additional expenses (when compared to prior to the end of the Transition Period) to operate our business, which could significantly and materially harm or delay our ability to generate revenues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impacted nations and the United Kingdom. It is also possible that Brexit may negatively affect our ability to attract and retain employees, particularly those from the European Union.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Manufacturing of our Product Candidates</w:t>
      </w:r>
    </w:p>
    <w:p>
      <w:pPr>
        <w:spacing w:after="0" w:line="104"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Monoclonal antibody therapies are complex and difficult to manufacture, and we rely on contract manufacturers for access to capacity. We could experience manufacturing problems, may be unable to access desired manufacturing capacity within desired timeframes, or may be unable to access raw materials due to global supply chain shortages or otherwise, that result in delays in the development or commercialization of our product candidates or otherwise harm our business.</w:t>
      </w:r>
    </w:p>
    <w:p>
      <w:pPr>
        <w:spacing w:after="0" w:line="6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manufacture of monoclonal antibody and other protein-based therapies are technically complex and necessitates substantial expertise and capital investment. Production difficulties caused by unforeseen events may delay the availability of material for our clinical trials or commercialization efforts.</w:t>
      </w:r>
    </w:p>
    <w:p>
      <w:pPr>
        <w:spacing w:after="0" w:line="61"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The manufacturers of pharmaceutical products must comply with strictly enforced cGMP requirements, state and federal regulations, as well as foreign requirements when applicable. Any failure of us or our contract manufacturing organizations to adhere to or document compliance to such regulatory requirements could lead to a delay or interruption in the availability of product for clinical trials or commercial use, or enforcement action from the FDA, EMA or other foreign or state regulatory authorities. If we or our manufacturers were to fail to comply with the FDA, EMA or other foreign or state regulatory authorities, it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 candidates. Our potential future dependence upon others for the manufacture of our product candidates may also adversely affect our future profit margins, if any, and our ability to commercialize any product candidates that receive regulatory approval on a timely and competitive basis.</w:t>
      </w:r>
    </w:p>
    <w:p>
      <w:pPr>
        <w:spacing w:after="0" w:line="77"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Biological products are inherently difficult and time-consuming to manufacture. Our program materials are manufactured and tested using technically complex processes and/or methods requiring specialized equipment and facilities and other production constraints, including a number of highly specific raw materials, cell lines and reagents with limited suppliers. Even though we aim to have backup supplies of raw materials, cell lines and reagents whenever possible, we cannot be certain they will be sufficient if our primary sources are unavailable. A shortage of a critical raw material, cell line or reagent, or a technical issue during development, manufacturing or testing, may lead to an inability to manufacture our product candidate, resulting in delays in clinical development or commercialization plans. Any changes in the manufacturing of components of the raw materials we use for manufacturing or testing of our product candidates could result in unanticipated or unfavorable effects in our manufacturing processes or product quality or timelines, resulting in delays.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59" w:name="page60"/>
    <w:bookmarkEnd w:id="59"/>
    <w:p>
      <w:pPr>
        <w:ind w:left="520"/>
        <w:spacing w:after="0"/>
        <w:rPr>
          <w:sz w:val="20"/>
          <w:szCs w:val="20"/>
          <w:color w:val="auto"/>
        </w:rPr>
      </w:pPr>
      <w:r>
        <w:rPr>
          <w:rFonts w:ascii="Times New Roman" w:cs="Times New Roman" w:eastAsia="Times New Roman" w:hAnsi="Times New Roman"/>
          <w:sz w:val="18"/>
          <w:szCs w:val="18"/>
          <w:color w:val="auto"/>
        </w:rPr>
        <w:t>Any delay, failure or inability to manufacture or test on a timely basis can impact the timelines for our clinical trials or our commercialization plans.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delay, failure or inability to manufacture or test can result from:</w:t>
      </w:r>
    </w:p>
    <w:p>
      <w:pPr>
        <w:spacing w:after="0" w:line="85" w:lineRule="exact"/>
        <w:rPr>
          <w:sz w:val="20"/>
          <w:szCs w:val="20"/>
          <w:color w:val="auto"/>
        </w:rPr>
      </w:pPr>
    </w:p>
    <w:p>
      <w:pPr>
        <w:jc w:val="both"/>
        <w:ind w:left="1140" w:hanging="504"/>
        <w:spacing w:after="0" w:line="250" w:lineRule="auto"/>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in the manufacturing process itself, for example by an error in manufacturing process, operator or human error, equipment failure, raw material or reagent failure, failure in any step of the manufacturing process, failure to maintain a cGMP environment or failure in quality systems applicable to manufacture (whether by us or our third-party contract development and manufacturing organization), sterility failures, testing failure or contamination during processing;</w:t>
      </w:r>
    </w:p>
    <w:p>
      <w:pPr>
        <w:spacing w:after="0" w:line="69" w:lineRule="exact"/>
        <w:rPr>
          <w:rFonts w:ascii="Times New Roman" w:cs="Times New Roman" w:eastAsia="Times New Roman" w:hAnsi="Times New Roman"/>
          <w:sz w:val="18"/>
          <w:szCs w:val="18"/>
          <w:color w:val="auto"/>
        </w:rPr>
      </w:pPr>
    </w:p>
    <w:p>
      <w:pPr>
        <w:jc w:val="both"/>
        <w:ind w:left="1140" w:hanging="504"/>
        <w:spacing w:after="0" w:line="258" w:lineRule="auto"/>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lack of reliability or reproducibility in the manufacturing process itself leading to variability in process execution or in product quality, which may lead to regulatory authorities placing a hold on a clinical trial or commercial supply and distribution or requesting further information on the process, which could in turn result in delays to the clinical trials or commercial supply and distributions;</w:t>
      </w:r>
    </w:p>
    <w:p>
      <w:pPr>
        <w:spacing w:after="0" w:line="47" w:lineRule="exact"/>
        <w:rPr>
          <w:rFonts w:ascii="Times New Roman" w:cs="Times New Roman" w:eastAsia="Times New Roman" w:hAnsi="Times New Roman"/>
          <w:sz w:val="18"/>
          <w:szCs w:val="18"/>
          <w:color w:val="auto"/>
        </w:rPr>
      </w:pPr>
    </w:p>
    <w:p>
      <w:pPr>
        <w:jc w:val="both"/>
        <w:ind w:left="1140" w:hanging="504"/>
        <w:spacing w:after="0" w:line="236" w:lineRule="auto"/>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manufacturing or testing slots within desired timeframes from contract development and manufacturing organizations (including contract testing laboratories that perform cGMP operations), or CDMOs, or to have enough manufacturing slots to manufacture our product candidates to meet clinical or commercial requirements and demands;</w:t>
      </w:r>
    </w:p>
    <w:p>
      <w:pPr>
        <w:spacing w:after="0" w:line="50"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FDA, EMA or other foreign or state regulatory inspection of the manufacturing or testing site;</w:t>
      </w:r>
    </w:p>
    <w:p>
      <w:pPr>
        <w:spacing w:after="0" w:line="90"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procure raw materials and reagents due to global supply chain shortages or otherwise;</w:t>
      </w:r>
    </w:p>
    <w:p>
      <w:pPr>
        <w:spacing w:after="0" w:line="90"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depletion or performance degradation of the cell line starting material; and</w:t>
      </w:r>
    </w:p>
    <w:p>
      <w:pPr>
        <w:spacing w:after="0" w:line="90" w:lineRule="exact"/>
        <w:rPr>
          <w:rFonts w:ascii="Times New Roman" w:cs="Times New Roman" w:eastAsia="Times New Roman" w:hAnsi="Times New Roman"/>
          <w:sz w:val="18"/>
          <w:szCs w:val="18"/>
          <w:color w:val="auto"/>
        </w:rPr>
      </w:pPr>
    </w:p>
    <w:p>
      <w:pPr>
        <w:ind w:left="1140" w:right="20" w:hanging="504"/>
        <w:spacing w:after="0" w:line="250" w:lineRule="auto"/>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close-down of any manufacturing facility used in the manufacture of our product candidates, or the inability to find alternative manufacturing capability in a timely fashion.</w:t>
      </w:r>
    </w:p>
    <w:p>
      <w:pPr>
        <w:spacing w:after="0" w:line="37" w:lineRule="exact"/>
        <w:rPr>
          <w:sz w:val="20"/>
          <w:szCs w:val="20"/>
          <w:color w:val="auto"/>
        </w:rPr>
      </w:pPr>
    </w:p>
    <w:p>
      <w:pPr>
        <w:jc w:val="both"/>
        <w:ind w:firstLine="509"/>
        <w:spacing w:after="0" w:line="233"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are biologics, and the manufacture of our product candidates is complex and subject to extensive regulations. If we or our contract manufacturers fail to comply with such regulations, regulatory authorities may impose sanctions or require remedial measures that could be costly or time-consuming, and our ability to provide supply of our product candidates for clinical trials or any approved products could be delayed or stopped.</w:t>
      </w:r>
    </w:p>
    <w:p>
      <w:pPr>
        <w:spacing w:after="0" w:line="64" w:lineRule="exact"/>
        <w:rPr>
          <w:sz w:val="20"/>
          <w:szCs w:val="20"/>
          <w:color w:val="auto"/>
        </w:rPr>
      </w:pPr>
    </w:p>
    <w:p>
      <w:pPr>
        <w:jc w:val="both"/>
        <w:ind w:firstLine="509"/>
        <w:spacing w:after="0" w:line="222" w:lineRule="auto"/>
        <w:rPr>
          <w:sz w:val="20"/>
          <w:szCs w:val="20"/>
          <w:color w:val="auto"/>
        </w:rPr>
      </w:pPr>
      <w:r>
        <w:rPr>
          <w:rFonts w:ascii="Times New Roman" w:cs="Times New Roman" w:eastAsia="Times New Roman" w:hAnsi="Times New Roman"/>
          <w:sz w:val="18"/>
          <w:szCs w:val="18"/>
          <w:color w:val="auto"/>
        </w:rPr>
        <w:t>All entities involved in the preparation of therapeutics for clinical trials or commercial sale, including our existing contract manufacturers and testing facilities, labeling, packaging and storage facilities, and distributors, are subject to extensive regulation. Components of a finished therapeutic</w:t>
      </w:r>
    </w:p>
    <w:p>
      <w:pPr>
        <w:spacing w:after="0" w:line="2"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product approved for commercial sale or used in clinical trials must be manufactured, tested, and stored in accordance with cGMP. These regulations govern manufacturing processes and procedures (including record keeping) and the implementation and operation of quality systems to control and ensure</w:t>
      </w:r>
    </w:p>
    <w:p>
      <w:pPr>
        <w:jc w:val="both"/>
        <w:spacing w:after="0" w:line="211" w:lineRule="auto"/>
        <w:rPr>
          <w:sz w:val="20"/>
          <w:szCs w:val="20"/>
          <w:color w:val="auto"/>
        </w:rPr>
      </w:pPr>
      <w:r>
        <w:rPr>
          <w:rFonts w:ascii="Times New Roman" w:cs="Times New Roman" w:eastAsia="Times New Roman" w:hAnsi="Times New Roman"/>
          <w:sz w:val="18"/>
          <w:szCs w:val="18"/>
          <w:color w:val="auto"/>
        </w:rPr>
        <w:t>the quality of investigational products and products approved for sale. Poor control of production processes can lead to the introduction of adventitious agents or other contaminants, or to inadvertent changes in the properties or stability of our product candidates that may not be detectable in final product</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testing. We or our contract manufacturers must supply all necessary documentation in support of an EUA, BLA or MAA on a timely basis. Our facilities and quality systems and the facilities and quality systems of some or all of our third-party contractors must pass a pre-approval inspection for compliance with the applicable regulations as a condition of regulatory approval of our product candidates or any of our other potential products. In addition, the</w:t>
      </w:r>
    </w:p>
    <w:p>
      <w:pPr>
        <w:jc w:val="both"/>
        <w:spacing w:after="0" w:line="211" w:lineRule="auto"/>
        <w:rPr>
          <w:sz w:val="20"/>
          <w:szCs w:val="20"/>
          <w:color w:val="auto"/>
        </w:rPr>
      </w:pPr>
      <w:r>
        <w:rPr>
          <w:rFonts w:ascii="Times New Roman" w:cs="Times New Roman" w:eastAsia="Times New Roman" w:hAnsi="Times New Roman"/>
          <w:sz w:val="18"/>
          <w:szCs w:val="18"/>
          <w:color w:val="auto"/>
        </w:rPr>
        <w:t>regulatory authorities may, at any time, audit or inspect us or any of our contract manufacturing, testing, and storage facilities involved with the preparation of our product candidates or our other potential products or the associated quality systems for compliance with the regulations applicable to the activities</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being conducted, and they could put a hold on one or more of our clinical trials (or could delay authorization of an EUA or approval of a BLA or MAA) if the facilities or quality systems of our or any of our CDMOs do not pass such audit or inspections. Certain of our CDMO’s facilities have not yet been</w:t>
      </w:r>
    </w:p>
    <w:p>
      <w:pPr>
        <w:jc w:val="both"/>
        <w:spacing w:after="0" w:line="226" w:lineRule="auto"/>
        <w:rPr>
          <w:sz w:val="20"/>
          <w:szCs w:val="20"/>
          <w:color w:val="auto"/>
        </w:rPr>
      </w:pPr>
      <w:r>
        <w:rPr>
          <w:rFonts w:ascii="Times New Roman" w:cs="Times New Roman" w:eastAsia="Times New Roman" w:hAnsi="Times New Roman"/>
          <w:sz w:val="18"/>
          <w:szCs w:val="18"/>
          <w:color w:val="auto"/>
        </w:rPr>
        <w:t>inspected by regulatory authorities. If any of our CDMO’s facilities do not pass a pre-approval or other plant inspection, FDA or EMA approval (or authorization under EUA) of the products will not be granted.</w:t>
      </w:r>
    </w:p>
    <w:p>
      <w:pPr>
        <w:spacing w:after="0" w:line="63" w:lineRule="exact"/>
        <w:rPr>
          <w:sz w:val="20"/>
          <w:szCs w:val="20"/>
          <w:color w:val="auto"/>
        </w:rPr>
      </w:pPr>
    </w:p>
    <w:p>
      <w:pPr>
        <w:jc w:val="both"/>
        <w:ind w:firstLine="509"/>
        <w:spacing w:after="0" w:line="226" w:lineRule="auto"/>
        <w:rPr>
          <w:sz w:val="20"/>
          <w:szCs w:val="20"/>
          <w:color w:val="auto"/>
        </w:rPr>
      </w:pPr>
      <w:r>
        <w:rPr>
          <w:rFonts w:ascii="Times New Roman" w:cs="Times New Roman" w:eastAsia="Times New Roman" w:hAnsi="Times New Roman"/>
          <w:sz w:val="18"/>
          <w:szCs w:val="18"/>
          <w:color w:val="auto"/>
        </w:rPr>
        <w:t>The regulatory authorities also may, at any time following approval of a product for sale, inspect or audit us or our CDMO’s manufacturing facilities or those of our third-party contractors. If any such inspection or audit identifies a failure to comply with applicable regulations or if compliance discrepancies with our product specifications or violations of applicable regulations occur independent of such an inspection or audit, we or the relevant</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regulatory authority may require remedial measures that may be costly and/or time-consuming for us or a third party to implement and that may include the temporary or permanent suspension of a clinical trial or commercial sales or the temporary or permanent closure of a facility. Any such remedial measures</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imposed upon us or third parties with whom we contract could harm our business. If we or any of our CDMOs fail to maintain regulatory compliance, the FDA or EMA can impose regulatory sanctions, including, among other things, refusal to approve a pending application for a new drug product, or</w:t>
      </w:r>
    </w:p>
    <w:p>
      <w:pPr>
        <w:jc w:val="both"/>
        <w:spacing w:after="0" w:line="211" w:lineRule="auto"/>
        <w:rPr>
          <w:sz w:val="20"/>
          <w:szCs w:val="20"/>
          <w:color w:val="auto"/>
        </w:rPr>
      </w:pPr>
      <w:r>
        <w:rPr>
          <w:rFonts w:ascii="Times New Roman" w:cs="Times New Roman" w:eastAsia="Times New Roman" w:hAnsi="Times New Roman"/>
          <w:sz w:val="18"/>
          <w:szCs w:val="18"/>
          <w:color w:val="auto"/>
        </w:rPr>
        <w:t>revocation of a pre-existing approval. As a result, our business, financial condition and results of operations may be harmed. Additionally, if supply from one approved manufacturer is interrupted, there could be a significant disruption in commercial supply. An alternative manufacturer would need to be</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qualified and approved through a BLA and/or MAA supplement, which could result in further delay. The regulatory agencies may also require additional studies if a new manufacturer is relied upon for commercial production. Switching manufacturers may involve substantial costs and is likely to result in a delay in our desired commercial timelines.</w:t>
      </w:r>
    </w:p>
    <w:p>
      <w:pPr>
        <w:spacing w:after="0" w:line="65" w:lineRule="exact"/>
        <w:rPr>
          <w:sz w:val="20"/>
          <w:szCs w:val="20"/>
          <w:color w:val="auto"/>
        </w:rPr>
      </w:pPr>
    </w:p>
    <w:p>
      <w:pPr>
        <w:jc w:val="both"/>
        <w:ind w:firstLine="509"/>
        <w:spacing w:after="0" w:line="222" w:lineRule="auto"/>
        <w:rPr>
          <w:sz w:val="20"/>
          <w:szCs w:val="20"/>
          <w:color w:val="auto"/>
        </w:rPr>
      </w:pPr>
      <w:r>
        <w:rPr>
          <w:rFonts w:ascii="Times New Roman" w:cs="Times New Roman" w:eastAsia="Times New Roman" w:hAnsi="Times New Roman"/>
          <w:sz w:val="18"/>
          <w:szCs w:val="18"/>
          <w:color w:val="auto"/>
        </w:rPr>
        <w:t>These factors could cause the delay of clinical trials, regulatory submissions, required approvals or commercialization of our product candidates, cause us to incur higher costs and prevent us from commercializing our products successfully, if approved, or could delay commercial supply once</w:t>
      </w:r>
    </w:p>
    <w:p>
      <w:pPr>
        <w:spacing w:after="0" w:line="2" w:lineRule="exact"/>
        <w:rPr>
          <w:sz w:val="20"/>
          <w:szCs w:val="20"/>
          <w:color w:val="auto"/>
        </w:rPr>
      </w:pPr>
    </w:p>
    <w:p>
      <w:pPr>
        <w:jc w:val="both"/>
        <w:ind w:right="20"/>
        <w:spacing w:after="0" w:line="233" w:lineRule="auto"/>
        <w:rPr>
          <w:sz w:val="20"/>
          <w:szCs w:val="20"/>
          <w:color w:val="auto"/>
        </w:rPr>
      </w:pPr>
      <w:r>
        <w:rPr>
          <w:rFonts w:ascii="Times New Roman" w:cs="Times New Roman" w:eastAsia="Times New Roman" w:hAnsi="Times New Roman"/>
          <w:sz w:val="18"/>
          <w:szCs w:val="18"/>
          <w:color w:val="auto"/>
        </w:rPr>
        <w:t>approved. Furthermore, if our suppliers fail to meet contractual requirements, and we are unable to secure one or more replacement suppliers capable of production at a substantially equivalent cost, our clinical trials or commercial launch may be delayed or we could lose potential revenue.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60" w:name="page61"/>
    <w:bookmarkEnd w:id="60"/>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intend to rely on third parties to manufacture, test, label, package and store clinical and commercial supplies of our product candidates.</w:t>
      </w:r>
    </w:p>
    <w:p>
      <w:pPr>
        <w:spacing w:after="0" w:line="121"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We are currently manufacturing, testing, labeling, packaging and storing our product candidates in partnership with CDMOs. We do not own or operate any facilities for product manufacturing, labeling, packaging, storage and distribution or testing. We are dependent on third parties to manufacture, label, package, store, and distribute the clinical and commercial supplies of our current and any future product candidates. We have established a relationship with WuXi to manufacture NVD200 and adintrevimab for supply under EUA (if authorized), BLA or MAA. Certain of our product candidates may have to compete with existing and future products, such as the annual influenza vaccine, that may have a lower price point. The actual cost to manufacture our product candidates could materially and adversely affect the commercial viability of our product candidates.</w:t>
      </w:r>
    </w:p>
    <w:p>
      <w:pPr>
        <w:spacing w:after="0" w:line="87"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The facilities used by our contract manufacturers and contract testing labs to manufacture and test our product candidates must be approved by the FDA pursuant to inspections that will be conducted after we submit our EUA or BLA to the FDA. We do not control the manufacturing process of, and are completely dependent on, our contract manufacturing partners for compliance with the cGMP requirements. If our contract manufacturers cannot successfully manufacture material that conforms to our specifications and the strict regulatory requirements of the FDA or others, we will not be able to secure and/or maintain regulatory approval for our product candidates. In addition, we have limited control over the ability of our contract manufacturers to maintain adequate quality control, quality assurance and qualified personnel, including their ability to adequately separate products within their multi-product manufacturing facilities to prevent cross-contamination.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w:t>
      </w:r>
    </w:p>
    <w:p>
      <w:pPr>
        <w:spacing w:after="0" w:line="79"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We also intend to rely on third-party manufacturers to supply us with sufficient quantities of our product candidates to be used, if approved, for commercialization. If we are not able to meet market demand for any approved product or if we are not able to produce supply at low enough costs, it would negatively impact our ability to generate revenue, harm our reputation, and could have an adverse effect on our business, financial condition, results of operations and prospects.</w:t>
      </w:r>
    </w:p>
    <w:p>
      <w:pPr>
        <w:spacing w:after="0" w:line="83"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We engaged WuXi for development and generation of the production cell line starting material for NVD200 and adintrevimab manufacturing. The cell line expression technology used to generate the cell line is a licensed technology. Only high-level information identifying the general nature of the control elements in the expression vector has been provided to us. Details of the expression technology have not been provided, nor has there been sufficient information provided to enable a freedom-to-operate assessment of the expression technology.</w:t>
      </w:r>
    </w:p>
    <w:p>
      <w:pPr>
        <w:spacing w:after="0" w:line="69"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In addition, we currently rely on WuXi's China-based facilities for NVD200 and adintrevimab clinical and commercial supply, and supply under EUA, if authorized. We will likely continue to rely on foreign CDMOs in the future. Foreign CDMOs may be subject to trade restrictions and other foreign regulatory requirements, which could increase the cost or reduce the supply of material available to us, delay the procurement of such material or delay or prevent the shipment of material out of the foreign country to the United States. Additionally, the biopharmaceutical industry in particular in China is strictly regulated by the Chinese government. Changes to Chinese regulations affecting biopharmaceutical companies are unpredictable and may have a material adverse effect on our partnerships in China, which could have an adverse effect on our business, financial condition, results of operations and prospects.</w:t>
      </w:r>
    </w:p>
    <w:p>
      <w:pPr>
        <w:spacing w:after="0" w:line="7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Further, our reliance on third parties for manufacturing, testing, labeling, packaging and storing our product candidates entails risks to which we would not be subject if we manufactured, tested, labeled, packaged and stored our product candidates ourselves, including:</w:t>
      </w:r>
    </w:p>
    <w:p>
      <w:pPr>
        <w:spacing w:after="0" w:line="68" w:lineRule="exact"/>
        <w:rPr>
          <w:sz w:val="20"/>
          <w:szCs w:val="20"/>
          <w:color w:val="auto"/>
        </w:rPr>
      </w:pPr>
    </w:p>
    <w:p>
      <w:pPr>
        <w:ind w:left="1140" w:hanging="504"/>
        <w:spacing w:after="0"/>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access sufficient manufacturing capacity;</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of our third-party manufacturers to execute our manufacturing procedures and other logistical support requirements appropriately;</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negotiate additional manufacturing agreements with third parties under commercially reasonable terms, if at all;</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termination or nonrenewal of manufacturing agreements with third parties in a manner or at a time that is costly or damaging to us;</w:t>
      </w:r>
    </w:p>
    <w:p>
      <w:pPr>
        <w:spacing w:after="0" w:line="103"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ownership of the intellectual property rights in any improvements made by our third-party manufacturers in the manufacturing process for our product candidates; and</w:t>
      </w:r>
    </w:p>
    <w:p>
      <w:pPr>
        <w:spacing w:after="0" w:line="67" w:lineRule="exact"/>
        <w:rPr>
          <w:rFonts w:ascii="Times New Roman" w:cs="Times New Roman" w:eastAsia="Times New Roman" w:hAnsi="Times New Roman"/>
          <w:sz w:val="18"/>
          <w:szCs w:val="18"/>
          <w:color w:val="auto"/>
        </w:rPr>
      </w:pPr>
    </w:p>
    <w:p>
      <w:pPr>
        <w:ind w:left="1140" w:right="20" w:hanging="504"/>
        <w:spacing w:after="0" w:line="266" w:lineRule="auto"/>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operations of our third-party manufacturers or suppliers by conditions unrelated to our business or operations, including the bankruptcy of the manufacturer or supplier.</w:t>
      </w:r>
    </w:p>
    <w:p>
      <w:pPr>
        <w:spacing w:after="0" w:line="54"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cannot be sure that single-source suppliers for our manufacturing raw materials will remain in business, will not be subject to regulatory actions that impede our procurement of raw materials, or will not be purchased by one of our competitors or another company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61" w:name="page62"/>
    <w:bookmarkEnd w:id="61"/>
    <w:p>
      <w:pPr>
        <w:jc w:val="both"/>
        <w:spacing w:after="0" w:line="250" w:lineRule="auto"/>
        <w:rPr>
          <w:sz w:val="20"/>
          <w:szCs w:val="20"/>
          <w:color w:val="auto"/>
        </w:rPr>
      </w:pPr>
      <w:r>
        <w:rPr>
          <w:rFonts w:ascii="Times New Roman" w:cs="Times New Roman" w:eastAsia="Times New Roman" w:hAnsi="Times New Roman"/>
          <w:sz w:val="18"/>
          <w:szCs w:val="18"/>
          <w:color w:val="auto"/>
        </w:rPr>
        <w:t>that is not interested in continuing to produce these raw materials for our intended purpose. In addition, the lead time needed to establish a relationship with a new supplier can be lengthy and we may experience delays in meeting demand in the event we must switch to a new supplier. The time and effort to qualify a new supplier could result in additional costs, delays resulting in supply disruptions, diversion of resources or reduced manufacturing yields, any of which would adversely impact our business, financial condition and results of operations.</w:t>
      </w:r>
    </w:p>
    <w:p>
      <w:pPr>
        <w:spacing w:after="0" w:line="83"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Any of these events could lead to clinical trial delays or failure to obtain regulatory approval or impact our ability to successfully commercialize our product candidates, if authorized under EUA or approved. Some of these events could be the basis for FDA action, including injunction, request for recall, seizure or total or partial suspension of production.</w:t>
      </w:r>
    </w:p>
    <w:p>
      <w:pPr>
        <w:spacing w:after="0" w:line="82"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In July 2021, we entered into a license agreement with Biocon Biologics Limited (“Biocon”) to combat COVID-19 in Southern Asia. Under the license agreement, we will provide Biocon materials and know-how to manufacture and commercialize an antibody treatment based on adintrevimab in India and select emerging markets. Biocon’s ability to successfully manufacture in those territories may be restricted by foreign regulatory requirements.</w:t>
      </w:r>
    </w:p>
    <w:p>
      <w:pPr>
        <w:spacing w:after="0" w:line="65"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depend on sole-source third-party suppliers for materials that are necessary for the conduct of preclinical studies and manufacture and testing of our product candidates for clinical trials, and the loss of these third-party suppliers and manufacturers or their inability to supply us with sufficient quantities of adequate materials, or to do so at acceptable quality levels and on a timely basis, could harm our business.</w:t>
      </w:r>
    </w:p>
    <w:p>
      <w:pPr>
        <w:spacing w:after="0" w:line="60"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Manufacturing and testing our product candidates require many specialty materials and equipment, some of which are manufactured or supplied by small companies with limited resources and experience to support commercial biologics production. We currently depend on a limited number of vendors for certain materials and equipment used in the manufacture and testing of our product candidates. For example, we are reliant on WuXi as the procurer of the raw materials used in the manufacture of our product candidates, including certain single-source purification resins and cell culture media, which increases the risk of delays in production. In addition, to date, we have relied on WuXi as our only CDMO. The loss of this CDMO or its failure to supply us with material to support our commercial development program on a timely basis could impair our ability to develop our product candidates or otherwise delay the development process, which could adversely affect our business, financial condition and results of operations.</w:t>
      </w:r>
    </w:p>
    <w:p>
      <w:pPr>
        <w:spacing w:after="0" w:line="87"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Some of our CDMO’s raw material suppliers may not have the capacity to support clinical and commercial products manufactured under cGMP by biopharmaceutical firms or may otherwise be ill-equipped to support our needs. We also do not have supply contracts with many of these suppliers directly, and we or our CDMOs may not be able to obtain supply contracts with them on acceptable terms or at all. Accordingly, we or our CDMOs may experience delays in receiving key raw materials and equipment to support clinical or commercial manufacturing.</w:t>
      </w:r>
    </w:p>
    <w:p>
      <w:pPr>
        <w:spacing w:after="0" w:line="69"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For some of these specialty materials, we and our CDMOs rely on and may in the future rely on sole-source vendors or a limited number of vendors. The supply of specialty materials and equipment that are necessary to produce our product candidates could be reduced or interrupted at any time. In such case, identifying and engaging an alternative supplier or manufacturer could result in delay, and we may not be able to find other acceptable suppliers or manufacturers on acceptable terms, or at all. Switching suppliers or manufacturers may involve substantial costs and is likely to result in a delay in our desired clinical and commercial timelines. If key suppliers or manufacturers are lost, or if the supply of the materials is diminished or discontinued, we may not be able to develop, test, manufacture and market our product candidates in a timely and competitive manner, or at all. An inability to continue to source product from any of these suppliers, which could be due to a number of issues, including regulatory actions or requirements affecting the supplier, adverse financial or other strategic developments experienced by a supplier, labor disputes or shortages, unexpected demands or quality issues, could adversely affect our ability to satisfy demand for our product candidates, which could adversely and materially affect our product sales and operating results or our ability to conduct clinical trials, either of which could significantly harm our business.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62" w:name="page63"/>
    <w:bookmarkEnd w:id="62"/>
    <w:p>
      <w:pPr>
        <w:jc w:val="both"/>
        <w:ind w:right="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third parties upon whom we depend may be adversely affected by earthquakes, wildfires or other natural and manmade disasters, and our business continuity and disaster recovery plans may not adequately protect us from a serious disaster.</w:t>
      </w:r>
    </w:p>
    <w:p>
      <w:pPr>
        <w:spacing w:after="0" w:line="37"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Any unplanned event, such as flood, fire, explosion, earthquake, extreme weather condition, medical epidemics or pandemics, power shortage, telecommunication failure, armed conflict, or other natural or manmade accidents or incidents that result in the third parties upon whom we depend from being unable to fully utilize their facilities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wildfires or other natural disasters could further disrupt our operations and have a material and adverse effect on our business, financial condition, results of operations and prospects. If a natural disaster, power outage or other event prevented the third parties upon whom we depend from using all or a significant portion of their manufacturing facilities, or otherwise disrupted operations, it may be difficult or, in certain cases, impossible, for us to continue our business for a substantial period of time. Unforeseen natural or manmade accidents or incidents, such as freezer failure, natural disasters or theft, could also result in loss of cell line starting material.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the third parties on which we rely are unable to operate their facilities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p>
    <w:p>
      <w:pPr>
        <w:spacing w:after="0" w:line="72"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Any contamination or interruption in our manufacturing process, shortages of raw materials or failure of our suppliers of reagents to deliver necessary components could result in delays in our clinical development or commercialization schedules.</w:t>
      </w:r>
    </w:p>
    <w:p>
      <w:pPr>
        <w:spacing w:after="0" w:line="63"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Given the nature of monoclonal antibody manufacturing, there is a risk of contamination, including in the manufacture of raw materials and in the manufacturing of our product candidates, or in the manufacturing or testing facility itself. Any contamination could adversely affect our ability to supply product candidates on schedule and could, therefore, harm our results of operations and cause reputational damage. Some of the raw materials required in our manufacturing process are derived from biologic sources. Such raw materials are difficult to procure and may be subject to contamination or recall. A material shortage, contamination, recall or restriction on the use of biologically derived substances in the manufacture or testing of our product candidates could adversely impact or disrupt the supply of commercial or clinical material, which could adversely affect our development timelines and our business, financial condition, results of operations and prospects.</w:t>
      </w:r>
    </w:p>
    <w:p>
      <w:pPr>
        <w:spacing w:after="0" w:line="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product candidate manufacturing or formulation may result in additional costs or delay.</w:t>
      </w:r>
    </w:p>
    <w:p>
      <w:pPr>
        <w:spacing w:after="0" w:line="108"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As product candidates proceed through preclinical studies to late-stage clinical trials towards potential approval and commercialization, it is common that various aspects of the development program, such as manufacturing methods and formulation, are altered along the way in an effort to optimize processes and product characteristics. Such changes carry the risk that they will not achieve our intended objectives. Any such changes could cause our product candidates to perform differently or impact product stability and expiry and affect the results of planned clinical trials or other future clinical trials conducted with the materials manufactured using altered processes or could impact our planned development or commercialization schedule. Such changes may also require additional testing, FDA notification or FDA approval. This could delay completion of clinical trials, require the conduct of bridging clinical trials or the repetition of one or more clinical trials, increase clinical trial costs, delay approval of our product candidates and jeopardize our ability to commence sales and generate revenue.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Our Product Candidates</w:t>
      </w:r>
    </w:p>
    <w:p>
      <w:pPr>
        <w:spacing w:after="0" w:line="7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Even if any of our product candidates receive marketing approval, they may fail to achieve the degree of market acceptance by physicians, patients, third-party payors and others in the medical community necessary for commercial success.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any of our product candidates receive marketing approval, they may nonetheless fail to gain sufficient market acceptance by physicians, patients,</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third-party payors and others in the medical community. If our product candidates do not achieve an adequate level of acceptance, we may not generate significant revenue and we may not become profitable. The degree of market acceptance of our product candidates, if approved for commercial sale, will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depend on a number of factors, including:</w:t>
      </w:r>
    </w:p>
    <w:p>
      <w:pPr>
        <w:spacing w:after="0" w:line="70" w:lineRule="exact"/>
        <w:rPr>
          <w:sz w:val="20"/>
          <w:szCs w:val="20"/>
          <w:color w:val="auto"/>
        </w:rPr>
      </w:pPr>
    </w:p>
    <w:p>
      <w:pPr>
        <w:ind w:left="1140" w:hanging="504"/>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safety and potential advantages compared to alternative treatments, including oral options;</w:t>
      </w:r>
    </w:p>
    <w:p>
      <w:pPr>
        <w:spacing w:after="0" w:line="90"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products for sale at competitive prices;</w:t>
      </w:r>
    </w:p>
    <w:p>
      <w:pPr>
        <w:spacing w:after="0" w:line="90"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 compared to alternative treatments;</w:t>
      </w:r>
    </w:p>
    <w:p>
      <w:pPr>
        <w:spacing w:after="0" w:line="76" w:lineRule="exact"/>
        <w:rPr>
          <w:rFonts w:ascii="Times New Roman" w:cs="Times New Roman" w:eastAsia="Times New Roman" w:hAnsi="Times New Roman"/>
          <w:sz w:val="18"/>
          <w:szCs w:val="18"/>
          <w:color w:val="auto"/>
        </w:rPr>
      </w:pPr>
    </w:p>
    <w:p>
      <w:pPr>
        <w:ind w:left="1140" w:hanging="504"/>
        <w:spacing w:after="0" w:line="250" w:lineRule="auto"/>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of the FDA, EMA or other foreign regulatory authorities, including any limitations or warnings contained in a product’s approved labeling, including any black box warning or REMS;</w:t>
      </w:r>
    </w:p>
    <w:p>
      <w:pPr>
        <w:spacing w:after="0" w:line="54"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treatments and of physicians to prescribe these treatments;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63" w:name="page64"/>
    <w:bookmarkEnd w:id="63"/>
    <w:p>
      <w:pPr>
        <w:ind w:left="1140" w:hanging="504"/>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a sales force in the United States;</w:t>
      </w:r>
    </w:p>
    <w:p>
      <w:pPr>
        <w:spacing w:after="0" w:line="90"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90"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coverage and adequate reimbursement for any product candidates, once approved;</w:t>
      </w:r>
    </w:p>
    <w:p>
      <w:pPr>
        <w:spacing w:after="0" w:line="90"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76" w:lineRule="exact"/>
        <w:rPr>
          <w:rFonts w:ascii="Times New Roman" w:cs="Times New Roman" w:eastAsia="Times New Roman" w:hAnsi="Times New Roman"/>
          <w:sz w:val="18"/>
          <w:szCs w:val="18"/>
          <w:color w:val="auto"/>
        </w:rPr>
      </w:pPr>
    </w:p>
    <w:p>
      <w:pPr>
        <w:ind w:left="1140" w:right="20" w:hanging="504"/>
        <w:spacing w:after="0" w:line="250" w:lineRule="auto"/>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together with other medications or requirements that our products be used in combination with other products; and</w:t>
      </w:r>
    </w:p>
    <w:p>
      <w:pPr>
        <w:spacing w:after="0" w:line="54"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be effective against emerging variants as a monotherapy or combination therapy.</w:t>
      </w:r>
    </w:p>
    <w:p>
      <w:pPr>
        <w:spacing w:after="0" w:line="8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marketing and distribution capabilities for NVD200, adintrevimab or any other product candidate that may receive regulatory approval, we may not be successful in commercializing those product candidates if and when they are approved.</w:t>
      </w:r>
    </w:p>
    <w:p>
      <w:pPr>
        <w:spacing w:after="0" w:line="37" w:lineRule="exact"/>
        <w:rPr>
          <w:sz w:val="20"/>
          <w:szCs w:val="20"/>
          <w:color w:val="auto"/>
        </w:rPr>
      </w:pPr>
    </w:p>
    <w:p>
      <w:pPr>
        <w:jc w:val="both"/>
        <w:ind w:firstLine="509"/>
        <w:spacing w:after="0" w:line="226" w:lineRule="auto"/>
        <w:rPr>
          <w:sz w:val="20"/>
          <w:szCs w:val="20"/>
          <w:color w:val="auto"/>
        </w:rPr>
      </w:pPr>
      <w:r>
        <w:rPr>
          <w:rFonts w:ascii="Times New Roman" w:cs="Times New Roman" w:eastAsia="Times New Roman" w:hAnsi="Times New Roman"/>
          <w:sz w:val="18"/>
          <w:szCs w:val="18"/>
          <w:color w:val="auto"/>
        </w:rPr>
        <w:t>We will need to establish a commercial infrastructure to support the anticipated marketing and distribution of our product candidates, which we will need to achieve commercial success for NVD200, adintrevimab or any other product candidate for which we may obtain marketing approval. There are risks involved with establishing our commercial infrastructure. For example, hiring a contract sales force or recruiting and training a sales force in the</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future is expensive and time consuming and could delay any product launch. If the commercial launch of a product candidate for which we hire a contract sales force or recruit a sales force and establish marketing capabilities is delayed or does not occur for any reason, we would have prematurely or</w:t>
      </w:r>
    </w:p>
    <w:p>
      <w:pPr>
        <w:spacing w:after="0" w:line="1" w:lineRule="exact"/>
        <w:rPr>
          <w:sz w:val="20"/>
          <w:szCs w:val="20"/>
          <w:color w:val="auto"/>
        </w:rPr>
      </w:pPr>
    </w:p>
    <w:p>
      <w:pPr>
        <w:jc w:val="both"/>
        <w:ind w:right="20"/>
        <w:spacing w:after="0" w:line="233" w:lineRule="auto"/>
        <w:rPr>
          <w:sz w:val="20"/>
          <w:szCs w:val="20"/>
          <w:color w:val="auto"/>
        </w:rPr>
      </w:pPr>
      <w:r>
        <w:rPr>
          <w:rFonts w:ascii="Times New Roman" w:cs="Times New Roman" w:eastAsia="Times New Roman" w:hAnsi="Times New Roman"/>
          <w:sz w:val="18"/>
          <w:szCs w:val="18"/>
          <w:color w:val="auto"/>
        </w:rPr>
        <w:t>unnecessarily incurred these commercialization expenses. This may be costly, and our investment would be lost if we cannot retain or reposition our sales and marketing personnel.</w:t>
      </w:r>
    </w:p>
    <w:p>
      <w:pPr>
        <w:spacing w:after="0" w:line="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Factors that may inhibit our efforts to market our products on our own include:</w:t>
      </w:r>
    </w:p>
    <w:p>
      <w:pPr>
        <w:spacing w:after="0" w:line="104" w:lineRule="exact"/>
        <w:rPr>
          <w:sz w:val="20"/>
          <w:szCs w:val="20"/>
          <w:color w:val="auto"/>
        </w:rPr>
      </w:pPr>
    </w:p>
    <w:p>
      <w:pPr>
        <w:ind w:left="1140" w:hanging="504"/>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and marketing personnel;</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in order to educate physicians about our product candidates, once approved;</w:t>
      </w:r>
    </w:p>
    <w:p>
      <w:pPr>
        <w:spacing w:after="0" w:line="117"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54"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independent sales, marketing and market access organizations.</w:t>
      </w:r>
    </w:p>
    <w:p>
      <w:pPr>
        <w:spacing w:after="0" w:line="117"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If we are unable to establish our own sales, marketing and distribution capabilities and are forced to enter into arrangements with, and rely on, third parties to perform these services, our revenue and our profitability, if any, are likely to be lower than if we had developed such capabilities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83"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affected populations for NVD200, adintrevimab or other product candidates may be smaller than we or third parties currently project, which may affect our ability to enroll our clinical trials as well as the addressable markets for our product candidates.</w:t>
      </w:r>
    </w:p>
    <w:p>
      <w:pPr>
        <w:spacing w:after="0" w:line="50"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Our projections of the number of people who are candidates to receive COVID-19 preventatives and treatments are estimates based on our knowledge and understanding of this disease. These estimates may prove to be incorrect and new studies may further reduce the estimated incidence or prevalence of this disease. The number of COVID-19 patients in the United States, the European Union and elsewhere may turn out to be lower than expected, and patients may not be otherwise amenable to treatment with our product candidates or may become increasingly difficult to identify and access, all of which would adversely affect our ability to enroll our clinical trials and our business, financial condition, results of operations and prospects. Further, even if we obtain approval for our product candidates, the FDA or other regulators may limit their approved indications to more narrow uses or subpopulations within the populations for which we are targeting development of our product candidates.</w:t>
      </w:r>
    </w:p>
    <w:p>
      <w:pPr>
        <w:spacing w:after="0" w:line="73"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A decline, or a widespread perception of a decline, in the spread or severity of the ongoing COVID-19 pandemic, including disease due to variants with relative or absolute resistance to other products, or an increase in available alternative therapies for or widespread immunity to COVID-19, could reduce the total addressable market for our product candidates for the prevention and treatment of COVID-19. Similarly, if new SARS-CoV-2 variants are less impacted by our product candidates and their mechanism of action than expected and such variants become more prevalent in the ongoing pandemic, the number of patients that we will be able to successfully treat with our product candidates, if approved, will be decreased.</w:t>
      </w:r>
    </w:p>
    <w:p>
      <w:pPr>
        <w:spacing w:after="0" w:line="6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total addressable market opportunity for our product candidates will ultimately depend upon a number of factors, including the diagnosis and treatment criteria included in the final label, if approved for sale in specified indications, acceptance by the medical community, patient access, and product pricing and reimbursement. Incidence and prevalence estimates are frequently based on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64" w:name="page65"/>
    <w:bookmarkEnd w:id="64"/>
    <w:p>
      <w:pPr>
        <w:jc w:val="both"/>
        <w:spacing w:after="0" w:line="247" w:lineRule="auto"/>
        <w:rPr>
          <w:sz w:val="20"/>
          <w:szCs w:val="20"/>
          <w:color w:val="auto"/>
        </w:rPr>
      </w:pPr>
      <w:r>
        <w:rPr>
          <w:rFonts w:ascii="Times New Roman" w:cs="Times New Roman" w:eastAsia="Times New Roman" w:hAnsi="Times New Roman"/>
          <w:sz w:val="18"/>
          <w:szCs w:val="18"/>
          <w:color w:val="auto"/>
        </w:rPr>
        <w:t>information and assumptions that are not exact and may not be appropriate, and the methodology is forward-looking and speculative. The process we have used in developing an estimated total addressable market range for the indications we are targeting has involved using a third party to model the future populations susceptible to and immune from SARS-CoV-2, based on assumptions such as vaccine adoption, efficacy, duration of effect, viral infectiousness and other factors we cannot control. Accordingly, these estimates included in this filing may turn out to be inaccurate. Further, the data and statistical information used in this Quarterly Report, and in our other filings with the SEC, including estimates derived from them, may differ from information and estimates made by our competitors or from current or future studies conducted by independent sources.</w:t>
      </w:r>
    </w:p>
    <w:p>
      <w:pPr>
        <w:spacing w:after="0" w:line="68"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Off-label use or misuse of our products may harm our reputation in the marketplace, result in injuries that lead to costly product liability suits, and/or subject us to penalties if we fail to comply with regulatory requirements or experience unanticipated problems with any product.</w:t>
      </w:r>
    </w:p>
    <w:p>
      <w:pPr>
        <w:spacing w:after="0" w:line="37"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If our product candidates are approved by the FDA, we may only promote or market our product candidates for their specifically approved indications. We will train our marketing and sales force against promoting our product candidates for uses outside of the approved indications for use, known as “off-label uses.” We cannot, however, prevent a physician from using our products off-label, when in the physician’s independent professional medical judgment he or she deems it appropriate. Furthermore, the use of our products for indications other than those approved by the FDA may not effectively treat such conditions. Any such off-label use of our product candidates could harm our reputation in the marketplace among physicians and patients. There may also be increased risk of injury to patients if physicians attempt to use our products for these uses for which they are not approved, which could lead to product liability suits that might require significant financial and management resources and that could harm our reputation.</w:t>
      </w:r>
    </w:p>
    <w:p>
      <w:pPr>
        <w:spacing w:after="0" w:line="73"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Advertising and promotion of any product candidate that obtains approval in the United States will be heavily scrutinized by the FDA, the U.S. Federal Trade Commission, the Department of Justice (the “DOJ”), the Office of Inspector General of HHS, state attorneys general, members of the U.S. Congress, and the public. Additionally, advertising and promotion of any product candidate that obtains approval outside of the United States will be heavily scrutinized by comparable foreign entities and stakeholders. Violations, including actual or alleged promotion of our products for unapproved or off-label uses, are subject to enforcement letters, inquiries, investigations, and civil and criminal sanctions by the FDA, DOJ or comparable foreign bodies. Any actual or alleged failure to comply with labeling and promotion requirements may result in fines, warning letters, mandates to correct information to healthcare practitioners, injunctions, or civil or criminal penalties.</w:t>
      </w:r>
    </w:p>
    <w:p>
      <w:pPr>
        <w:spacing w:after="0" w:line="69"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NVD200, adintrevimab and other monoclonal antibody product candidates may face significant competition from vaccines, antiviral agents and other therapeutics for COVID-19 that are currently available or in development.</w:t>
      </w:r>
    </w:p>
    <w:p>
      <w:pPr>
        <w:spacing w:after="0" w:line="37"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Many biotechnology and pharmaceutical companies are developing therapeutics for COVID-19 or vaccines against SARS-CoV-2, the virus that causes COVID-19. Many of these companies, which include large pharmaceutical companies, have greater resources for development and established commercialization capabilities. For example, the FDA has approved or granted EUA for several vaccines and therapeutics for the prevention or treatment of COVID-19 developed or marketed by other companies, many of which are large, established biotechnology and pharmaceutical companies. Many of these companies have also been successful in securing government funding to support research and development and/or manufacturing of their product candidates as well as government contracts to purchase their supply orders. Additional vaccines and therapeutics are in development by other pharmaceutical and biopharmaceutical companies. Given the products currently approved or authorized for use as well as those in development by others, any therapies we may develop could face significant competition. If any other company develops therapeutics more rapidly or effectively than we do, develops a therapeutic that becomes the standard of care, develops a therapeutic at a lower cost or is more successful at commercializing an approved therapeutic, we may not be able to successfully commercialize NVD200, adintrevimab or any other product candidate for the prevention and treatment of symptomatic COVID-19, even if approved, or compete with other therapeutics or vaccines, which could adversely impact our business and operations.</w:t>
      </w:r>
    </w:p>
    <w:p>
      <w:pPr>
        <w:spacing w:after="0" w:line="80"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Many of our existing or potential competitors have substantially greater financial, technical and human resources than we do and significantly greater experience in the discovery, development and manufacture of product candidates, as well as in obtaining regulatory approvals of those product candidates in the United States and in foreign countries. Our current and potential future competitors may also have significantly more experience commercializing drugs, particularly monoclonal antibodies and other biological products, that have been approved for marketing. Furthermore, a number of our competitors have received government contracts to support research and development of their product candidates and supply orders. Mergers and acquisitions in the pharmaceutical and biotechnology industries could result in even more resources being concentrated among a small number of our competitors.</w:t>
      </w:r>
    </w:p>
    <w:p>
      <w:pPr>
        <w:spacing w:after="0" w:line="7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will face competition from other drugs or from other non-drug products currently approved or that will be approved in the future for the treatment of diseases we intend to target. Therefore, our ability to compete successfully will depend largely on our ability to:</w:t>
      </w:r>
    </w:p>
    <w:p>
      <w:pPr>
        <w:spacing w:after="0" w:line="40" w:lineRule="exact"/>
        <w:rPr>
          <w:sz w:val="20"/>
          <w:szCs w:val="20"/>
          <w:color w:val="auto"/>
        </w:rPr>
      </w:pPr>
    </w:p>
    <w:p>
      <w:pPr>
        <w:ind w:left="1140" w:hanging="504"/>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commercialize drugs that are differentiated from products in the market;</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through our clinical trials that our product candidates are differentiated from existing and future therapies;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qualified scientific, product development and commercial personnel;</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65" w:name="page66"/>
    <w:bookmarkEnd w:id="65"/>
    <w:p>
      <w:pPr>
        <w:ind w:left="1140" w:hanging="504"/>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patent or other proprietary protection for our medicines;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required regulatory approvals;</w:t>
      </w:r>
    </w:p>
    <w:p>
      <w:pPr>
        <w:spacing w:after="0" w:line="103" w:lineRule="exact"/>
        <w:rPr>
          <w:rFonts w:ascii="Times New Roman" w:cs="Times New Roman" w:eastAsia="Times New Roman" w:hAnsi="Times New Roman"/>
          <w:sz w:val="18"/>
          <w:szCs w:val="18"/>
          <w:color w:val="auto"/>
        </w:rPr>
      </w:pPr>
    </w:p>
    <w:p>
      <w:pPr>
        <w:jc w:val="both"/>
        <w:ind w:left="1140" w:hanging="504"/>
        <w:spacing w:after="0" w:line="258" w:lineRule="auto"/>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placement in COVID-19 prevention and treatment guidelines from organizations such as the National Institutes of Health (the “NIH”), the Centers for Disease Control and Prevention (the “CDC”), WHO and the Infectious Diseases Society of America (the “IDSA”), and equivalent European guidelines;</w:t>
      </w:r>
    </w:p>
    <w:p>
      <w:pPr>
        <w:spacing w:after="0" w:line="61"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coverage and adequate reimbursement from, and negotiate competitive pricing with, third-party payors; and</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collaborate with pharmaceutical companies in the discovery, development and commercialization of new medicines.</w:t>
      </w:r>
    </w:p>
    <w:p>
      <w:pPr>
        <w:spacing w:after="0" w:line="117"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The availability of our competitors’ products could limit the demand, and the price we are able to charge, for any product candidate we develop. The inability to compete with existing or subsequently introduced drugs would have an adverse impact on our business, financial condition and prospects. In addition, the reimbursement structure of approved monoclonal antibodies by other companies could impact the anticipated reimbursement structure of our monoclonal antibodies, if approved, and our business, financial condition, results of operations and prospects.</w:t>
      </w:r>
    </w:p>
    <w:p>
      <w:pPr>
        <w:spacing w:after="0" w:line="86"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Government entities, such as the CDC, NIH, the WHO and non-government professional societies, such as the IDSA and the European Society of Clinical Microbiology and Infectious Diseases (the “ESCMID”) may produce treatment and/or prevention guidelines for COVID-19, including the use of monoclonal antibodies for these indications.</w:t>
      </w:r>
    </w:p>
    <w:p>
      <w:pPr>
        <w:spacing w:after="0" w:line="82"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Established pharmaceutical companies may invest heavily to accelerate discovery and development of novel compounds or to in-license novel compounds that could make our product candidates less competitive. In addition, any new product that competes with an approved product must demonstrate compelling advantages in efficacy, convenience, tolerability and safety in order to overcome price competition and to be commercially successful. Accordingly, our competitors may succeed in obtaining patent protection, discovering, developing, receiving regulatory and marketing approval for, or commercializing, drugs before we do, which would have an adverse impact on our business and results of operations.</w:t>
      </w:r>
    </w:p>
    <w:p>
      <w:pPr>
        <w:spacing w:after="0" w:line="69" w:lineRule="exact"/>
        <w:rPr>
          <w:sz w:val="20"/>
          <w:szCs w:val="20"/>
          <w:color w:val="auto"/>
        </w:rPr>
      </w:pPr>
    </w:p>
    <w:p>
      <w:pPr>
        <w:jc w:val="both"/>
        <w:ind w:right="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COVID-19 product candidates may have to compete against products with Advance Purchase Agreements (“APAs”) from the U.S. Federal Government.</w:t>
      </w:r>
    </w:p>
    <w:p>
      <w:pPr>
        <w:spacing w:after="0" w:line="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an EUA environment where the U.S. federal government signs an Advance Purchase Agreement with a manufacturer for a specific number of</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doses at a fixed price, product distribution is overseen by federal and state governments and product is ordered by institutions, prescribed by physicians and administered in a variety of settings. Product is free to the institutions and patients, but patients can be billed for administration costs. Currently, all oral</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antivirals and monoclonal antibodies are made available under APAs. Only Gilead's intravenous antiviral, remdesivir, which received full FDA approval for treatment of non-hospitalized patients (12 years of age or older) at high risk for COVID-19 disease progression in January 2022, is available under a standard purchase model where hospitals, clinics, and other institutions purchase product through distributors. In this environment, we may not qualify for</w:t>
      </w:r>
    </w:p>
    <w:p>
      <w:pPr>
        <w:jc w:val="both"/>
        <w:spacing w:after="0" w:line="211" w:lineRule="auto"/>
        <w:rPr>
          <w:sz w:val="20"/>
          <w:szCs w:val="20"/>
          <w:color w:val="auto"/>
        </w:rPr>
      </w:pPr>
      <w:r>
        <w:rPr>
          <w:rFonts w:ascii="Times New Roman" w:cs="Times New Roman" w:eastAsia="Times New Roman" w:hAnsi="Times New Roman"/>
          <w:sz w:val="18"/>
          <w:szCs w:val="18"/>
          <w:color w:val="auto"/>
        </w:rPr>
        <w:t>a U.S. federal government contract. U.S. federal government contracts require contractors to meet a substantial number of qualifications, which we may not be able to meet, resulting in our inability to secure a federal contract. Additionally, our primary contract manufacturer is based in China, and the U.S.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government may decide to avoid contracting with companies who have drug substance produced in China.</w:t>
      </w:r>
    </w:p>
    <w:p>
      <w:pPr>
        <w:spacing w:after="0" w:line="70"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If any of our product candidates do not receive an APA but compete against products that do have an APA, adoption of the product candidate could be limited because it would be competing against drugs that are paid for by the federal government and cost nothing to the purchasers or the patients.</w:t>
      </w:r>
    </w:p>
    <w:p>
      <w:pPr>
        <w:spacing w:after="0" w:line="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Any product candidates for which we intend to seek approval as biologic products may face biosimilar competition sooner than anticipated.</w:t>
      </w:r>
    </w:p>
    <w:p>
      <w:pPr>
        <w:spacing w:after="0" w:line="94" w:lineRule="exact"/>
        <w:rPr>
          <w:sz w:val="20"/>
          <w:szCs w:val="20"/>
          <w:color w:val="auto"/>
        </w:rPr>
      </w:pPr>
    </w:p>
    <w:p>
      <w:pPr>
        <w:jc w:val="both"/>
        <w:ind w:firstLine="509"/>
        <w:spacing w:after="0" w:line="226" w:lineRule="auto"/>
        <w:rPr>
          <w:sz w:val="20"/>
          <w:szCs w:val="20"/>
          <w:color w:val="auto"/>
        </w:rPr>
      </w:pPr>
      <w:r>
        <w:rPr>
          <w:rFonts w:ascii="Times New Roman" w:cs="Times New Roman" w:eastAsia="Times New Roman" w:hAnsi="Times New Roman"/>
          <w:sz w:val="18"/>
          <w:szCs w:val="18"/>
          <w:color w:val="auto"/>
        </w:rPr>
        <w:t>If we are successful in achieving regulatory approval to commercialize any biologic product candidate that we develop, it may face competition from biosimilar products. In the United States, our product candidates are regulated by the FDA as biologic products subject to approval under the BLA pathway. The Patient Protection and Affordable Care Act, as amended by the Health Care and Education Reconciliation Act (collectively, the “ACA”)</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includes a subtitle called the Biologics Price Competition and Innovation Act of 2009 (the “BPCIA”), which created an abbreviated approval pathway for biological products that are biosimilar to or interchangeable with an FDA-licensed reference biological product. Under the BPCIA, an application for a</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by the FDA. During this 12-year period of exclusivity, another company may still market a competing version of the reference product if the FDA</w:t>
      </w:r>
    </w:p>
    <w:p>
      <w:pPr>
        <w:jc w:val="both"/>
        <w:spacing w:after="0" w:line="211" w:lineRule="auto"/>
        <w:rPr>
          <w:sz w:val="20"/>
          <w:szCs w:val="20"/>
          <w:color w:val="auto"/>
        </w:rPr>
      </w:pPr>
      <w:r>
        <w:rPr>
          <w:rFonts w:ascii="Times New Roman" w:cs="Times New Roman" w:eastAsia="Times New Roman" w:hAnsi="Times New Roman"/>
          <w:sz w:val="18"/>
          <w:szCs w:val="18"/>
          <w:color w:val="auto"/>
        </w:rPr>
        <w:t>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w:t>
      </w:r>
    </w:p>
    <w:p>
      <w:pPr>
        <w:spacing w:after="0" w:line="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ultimate impact, implementation and meaning are subject to uncertainty. While it is uncertain when such processes intended to implement BPCIA may be fully adopted by the FDA, any such processes could have an adverse effect on the future commercial prospects for our biological products.</w:t>
      </w:r>
    </w:p>
    <w:p>
      <w:pPr>
        <w:spacing w:after="0" w:line="64" w:lineRule="exact"/>
        <w:rPr>
          <w:sz w:val="20"/>
          <w:szCs w:val="20"/>
          <w:color w:val="auto"/>
        </w:rPr>
      </w:pPr>
    </w:p>
    <w:p>
      <w:pPr>
        <w:jc w:val="both"/>
        <w:ind w:firstLine="509"/>
        <w:spacing w:after="0" w:line="237" w:lineRule="auto"/>
        <w:rPr>
          <w:sz w:val="20"/>
          <w:szCs w:val="20"/>
          <w:color w:val="auto"/>
        </w:rPr>
      </w:pPr>
      <w:r>
        <w:rPr>
          <w:rFonts w:ascii="Times New Roman" w:cs="Times New Roman" w:eastAsia="Times New Roman" w:hAnsi="Times New Roman"/>
          <w:sz w:val="18"/>
          <w:szCs w:val="18"/>
          <w:color w:val="auto"/>
        </w:rPr>
        <w:t>There is a risk that any of our product candidates approved as a biological product under a BLA would not qualify for the 12-year period of exclusivity or that this exclusivity could be shortened due to congressional action or otherwise, or that the FDA will not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66" w:name="page67"/>
    <w:bookmarkEnd w:id="66"/>
    <w:p>
      <w:pPr>
        <w:jc w:val="both"/>
        <w:spacing w:after="0" w:line="226" w:lineRule="auto"/>
        <w:rPr>
          <w:sz w:val="20"/>
          <w:szCs w:val="20"/>
          <w:color w:val="auto"/>
        </w:rPr>
      </w:pPr>
      <w:r>
        <w:rPr>
          <w:rFonts w:ascii="Times New Roman" w:cs="Times New Roman" w:eastAsia="Times New Roman" w:hAnsi="Times New Roman"/>
          <w:sz w:val="18"/>
          <w:szCs w:val="18"/>
          <w:color w:val="auto"/>
        </w:rPr>
        <w:t>consider our product candidates to be reference products for competing products, potentially creating the opportunity for generic competition sooner than anticipated. For example, in May 2021, the Biden administration expressed support for waiving intellectual property protections for COVID-19 vaccines amid concerns about vaccine access in foreign nations. Such waiver, if implemented, could extend to our product candidates. Other aspects of the BPCIA,</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products is not yet clear, and will depend on a number of marketplace and regulatory factors that are still developing. If competitors are able to obtain marketing approval for biosimilars referencing our candidates, if approved, our products may become subject to competition from such biosimilars, with the attendant competitive pressure and potential adverse consequences.</w:t>
      </w:r>
    </w:p>
    <w:p>
      <w:pPr>
        <w:spacing w:after="0" w:line="75" w:lineRule="exact"/>
        <w:rPr>
          <w:sz w:val="20"/>
          <w:szCs w:val="20"/>
          <w:color w:val="auto"/>
        </w:rPr>
      </w:pPr>
    </w:p>
    <w:p>
      <w:pPr>
        <w:jc w:val="both"/>
        <w:ind w:right="20"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product candidates will depend significantly on coverage and adequate reimbursement or the willingness of patients to pay for these therapies.</w:t>
      </w:r>
    </w:p>
    <w:p>
      <w:pPr>
        <w:spacing w:after="0" w:line="50"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We believe our success depends on obtaining and maintaining coverage and adequate reimbursement for our product candidates, including NVD200 and adintrevimab, and the extent to which patients will be willing to pay out-of-pocket for such products, in the absence of reimbursement for all or part of the cost. In the United States and in other countries, patients who are provided medical treatment for their conditions generally rely on third-party payors to reimburse all or part of the costs associated with their treatment. The availability of coverage and adequacy of reimbursement for our products by third-party payors, including government healthcare programs (e.g., Medicare, Medicaid, TRICARE), managed care providers, private health insurers, health maintenance organizations, and other organizations is essential for most patients to be able to afford medical services and pharmaceutical products such as our product candidates. Third-party payors often rely upon Medicare coverage policy and payment limitations in setting their own coverage and reimbursement policies. However, decisions regarding the extent of coverage and amount of reimbursement to be provided are made on a payor-by-payor basis. One payor’s determination to provide coverage for a drug product does not assure that other payors will also provide coverage, and adequate reimbursement. The principal decisions about reimbursement for new medicines are typically made by the Centers for Medicare &amp; Medicaid Services (“CMS”), an agency within HHS. CMS decides whether and to what extent products will be covered and reimbursed under Medicare and private payors tend to follow CMS to a substantial degree.</w:t>
      </w:r>
    </w:p>
    <w:p>
      <w:pPr>
        <w:spacing w:after="0" w:line="77"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Third-party payors determine which products and procedures they will cover and establish reimbursement levels. Even if a third-party payor covers a particular product or procedure, the resulting reimbursement payment rates may not be adequate. Patients who are treated in-office for a medical condition generally rely on third-party payors to reimburse all or part of the costs associated with the procedure, including costs associated with products used during the procedure, and may be unwilling to undergo such procedures in the absence of such coverage and adequate reimbursement. Physicians and other healthcare professionals may be unlikely to offer procedures for such treatment if they are not covered by insurance and may be unlikely to purchase and use our product candidates, if approved, for our stated indications unless coverage is provided and reimbursement is adequate. In addition, for products administered under the supervision of a physician, obtaining coverage and adequate reimbursement may be particularly difficult because of the higher prices often associated with such drugs.</w:t>
      </w:r>
    </w:p>
    <w:p>
      <w:pPr>
        <w:spacing w:after="0" w:line="78"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Reimbursement by a third-party payor may depend upon a number of factors, including the third-party payor’s determination that a procedure is safe, effective and medically necessary; appropriate for the specific patient; cost-effective; supported by peer-reviewed medical journals; included in clinical practice guidelines; and neither cosmetic, experimental nor investigational. Government entities, such as the CDC, the WHO and non-government professional societies, such as the IDSA and the ESCMID, may produce treatment and/or prevention guidelines for the prevention and treatment of COVID-19, including guidance regarding the use of monoclonal antibodies in these indications. If NVD200 or adintrevimab fail to be added to these guidelines, or if they receive poor positioning within these guidelines, payors and other customers may be less inclined to add NVD200 or adintrevimab to their formularies, significantly reducing demand for NVD200 or adintrevimab, if approved.</w:t>
      </w:r>
    </w:p>
    <w:p>
      <w:pPr>
        <w:spacing w:after="0" w:line="87"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Further, increasing efforts by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In order to secure coverage and reimbursement for any product that might be approved for sale, we may need to conduct expensive pharmacoeconomic studies in order to demonstrate the medical necessity and cost-effectiveness of our products, in addition to the costs required to obtain FDA or comparable regulatory approvals. Additionally, we may also need to provide discounts to purchasers, private health plans or government healthcare programs. Our product candidates may nonetheless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 We expect to experience pricing pressures from third-party payors in connection with the potential sale of any of our product candidates. Decreases in third-party reimbursement for any product or a decision by a third-party payor not to cover a product could reduce physician usage and patient demand for the product and also have a material adverse effect on sales.</w:t>
      </w:r>
    </w:p>
    <w:p>
      <w:pPr>
        <w:spacing w:after="0" w:line="95"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Foreign governments also have their own healthcare reimbursement systems, which vary significantly by country and region, and we cannot be sure that coverage and adequate reimbursement will be made available with respect to the treatments in which our products are used under any foreign reimbursement system.</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67" w:name="page68"/>
    <w:bookmarkEnd w:id="67"/>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There can be no assurance that NVD200, adintrevimab or any other product candidate, if approved for sale in the United States or in other countries, will be considered medically reasonable and necessary, that it will be considered cost-effective by third-party payors, that coverage or an adequate level of reimbursement will be available or that reimbursement policies and practices in the United States and in foreign countries where our products are sold will not adversely affect our ability to sell our product candidates profitably, if they are approved for sale.</w:t>
      </w:r>
    </w:p>
    <w:p>
      <w:pPr>
        <w:spacing w:after="0" w:line="79"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to limit commercialization of any products that we may develop.</w:t>
      </w:r>
    </w:p>
    <w:p>
      <w:pPr>
        <w:spacing w:after="0" w:line="5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product candidates in human clinical trials and will face an even greater risk if we sell any products that we may develop. If we cannot successfully defend ourselves against claims that our product candidates or drugs caused injuries, we will incur substantial liabilities. Regardless of merit or eventual outcome, liability claims may result in:</w:t>
      </w:r>
    </w:p>
    <w:p>
      <w:pPr>
        <w:spacing w:after="0" w:line="61" w:lineRule="exact"/>
        <w:rPr>
          <w:sz w:val="20"/>
          <w:szCs w:val="20"/>
          <w:color w:val="auto"/>
        </w:rPr>
      </w:pPr>
    </w:p>
    <w:p>
      <w:pPr>
        <w:ind w:left="1140" w:hanging="504"/>
        <w:spacing w:after="0"/>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or drugs that we may develop;</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paid to trial participants or patients;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exhaustion of any available insurance and our capital resources;</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resources of our management to pursue our business strategy; and</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may develop.</w:t>
      </w:r>
    </w:p>
    <w:p>
      <w:pPr>
        <w:spacing w:after="0" w:line="104"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Although we maintain product liability insurance coverage, such insurance may not be adequate to cover all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w:t>
      </w:r>
    </w:p>
    <w:p>
      <w:pPr>
        <w:spacing w:after="0" w:line="65"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operations would suffer in the event of computer system failures, cyberattacks or a deficiency in our or our CDMO’s, CROs’, manufacturers’ contractors’, consultants’ or collaborators’ cybersecurity.</w:t>
      </w:r>
    </w:p>
    <w:p>
      <w:pPr>
        <w:spacing w:after="0" w:line="37"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Maintaining the security of our information systems and communication systems is a critical issue for us and we devote considerable internal and external resources to network security and other security measures to protect our systems and users, but these security measures cannot provide absolute security. Moreover, even security measures that are deemed appropriate, reasonable, and/or in accordance with applicable legal requirements may not be able to protect the information we maintain. The multitude and complexity of our information systems may furthermore make them susceptible to service interruption, breaches of security, disruption of data integrity, inadvertent errors that expose our data or systems, malicious intrusion, or cyberattacks.</w:t>
      </w:r>
    </w:p>
    <w:p>
      <w:pPr>
        <w:spacing w:after="0" w:line="60" w:lineRule="exact"/>
        <w:rPr>
          <w:sz w:val="20"/>
          <w:szCs w:val="20"/>
          <w:color w:val="auto"/>
        </w:rPr>
      </w:pPr>
    </w:p>
    <w:p>
      <w:pPr>
        <w:jc w:val="both"/>
        <w:ind w:firstLine="509"/>
        <w:spacing w:after="0" w:line="224" w:lineRule="auto"/>
        <w:rPr>
          <w:sz w:val="20"/>
          <w:szCs w:val="20"/>
          <w:color w:val="auto"/>
        </w:rPr>
      </w:pPr>
      <w:r>
        <w:rPr>
          <w:rFonts w:ascii="Times New Roman" w:cs="Times New Roman" w:eastAsia="Times New Roman" w:hAnsi="Times New Roman"/>
          <w:sz w:val="18"/>
          <w:szCs w:val="18"/>
          <w:color w:val="auto"/>
        </w:rPr>
        <w:t>Our internal information systems, and those of third parties on which we rely, are also vulnerable to, among other things, computer viruses, malware, natural disasters, terrorism, war, telecommunication and electrical failures, system malfunctions, cyberattacks or cyber-intrusions over the Internet, and phishing attacks. The source of these vulnerabilities may be persons inside or outside our organization. We have in the past and may in the future identify defects, errors, or vulnerabilities, which could inadvertently permit access to or exposure of data, including personal information, that we</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maintain or which third parties maintain on our behalf. The risk of a cybersecurity incident, particularly through cyberattacks or cyber intrusion, including by computer hackers, foreign governments and cyber terrorists, has generally increased as the number, intensity and sophistication of attempted attacks and</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intrusions from around the world have increased. For example, the ongoing conflict between Russia and Ukraine has led to an increase in cyberattacks on the Ukraine, including its government, companies, institutions and people, as well on the financial and communications infrastructure of other countries,</w:t>
      </w:r>
    </w:p>
    <w:p>
      <w:pPr>
        <w:jc w:val="both"/>
        <w:spacing w:after="0" w:line="211" w:lineRule="auto"/>
        <w:rPr>
          <w:sz w:val="20"/>
          <w:szCs w:val="20"/>
          <w:color w:val="auto"/>
        </w:rPr>
      </w:pPr>
      <w:r>
        <w:rPr>
          <w:rFonts w:ascii="Times New Roman" w:cs="Times New Roman" w:eastAsia="Times New Roman" w:hAnsi="Times New Roman"/>
          <w:sz w:val="18"/>
          <w:szCs w:val="18"/>
          <w:color w:val="auto"/>
        </w:rPr>
        <w:t>companies and individuals therein. If any such event were to occur, it could lead to the loss, destruction, alteration, prevention of access to, disclosure, dissemination of, or damage or unauthorized access to, our data (including trade secrets or other confidential information, intellectual property, proprietary</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business information and personal data) or data that is processed or maintained on our behalf, and cause interruptions in our operations, resulting in a material disruption of our product development programs. For example, the loss or alteration of clinical trial data from completed or ongoing or planned clinical trials could result in delays in our regulatory approval efforts and significantly increase our costs to recover or reproduce the data. Additionally,</w:t>
      </w:r>
    </w:p>
    <w:p>
      <w:pPr>
        <w:jc w:val="both"/>
        <w:spacing w:after="0" w:line="211" w:lineRule="auto"/>
        <w:rPr>
          <w:sz w:val="20"/>
          <w:szCs w:val="20"/>
          <w:color w:val="auto"/>
        </w:rPr>
      </w:pPr>
      <w:r>
        <w:rPr>
          <w:rFonts w:ascii="Times New Roman" w:cs="Times New Roman" w:eastAsia="Times New Roman" w:hAnsi="Times New Roman"/>
          <w:sz w:val="18"/>
          <w:szCs w:val="18"/>
          <w:color w:val="auto"/>
        </w:rPr>
        <w:t>such events could lead to an interruption in our supply chain for the manufacturing of clinical and commercial drug substance and drug product, as well as related materials, and could significantly impact development and commercialization timelines and capabilities. If our information systems or a third-</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party’s information systems on which we rely suffer severe damage, disruption or shutdown and issues are not resolved in a timely manner, we could experience delays in reporting our financial results, and we may lose revenue and profits as a result of our inability to timely manufacture or distribute our products.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68" w:name="page69"/>
    <w:bookmarkEnd w:id="68"/>
    <w:p>
      <w:pPr>
        <w:jc w:val="both"/>
        <w:ind w:firstLine="509"/>
        <w:spacing w:after="0" w:line="226" w:lineRule="auto"/>
        <w:rPr>
          <w:sz w:val="20"/>
          <w:szCs w:val="20"/>
          <w:color w:val="auto"/>
        </w:rPr>
      </w:pPr>
      <w:r>
        <w:rPr>
          <w:rFonts w:ascii="Times New Roman" w:cs="Times New Roman" w:eastAsia="Times New Roman" w:hAnsi="Times New Roman"/>
          <w:sz w:val="18"/>
          <w:szCs w:val="18"/>
          <w:color w:val="auto"/>
        </w:rPr>
        <w:t>We cannot ensure that our data protection efforts and our investment in information technology, or the efforts or investments of CDMOs, CROs, consultants or other third parties with which we work, will prevent cybersecurity incidents that cause loss, destruction, unavailability, alteration, dissemination of, or damage or unauthorized access to, our data, including personal data, assets and other data processed or maintained on our behalf, that</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could have a material adverse effect upon our reputation, business, operations or financial condition. We also rely on third parties to manufacture our product candidates, and any data breaches or other security events relating to their information systems, or the information systems of other business</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partners, could also have a material adverse effect on our business. Controls employed by our information technology department and our CDMOs, CROs, consultants and other third parties could prove inadequate, and our ability to monitor such third parties’ data security practices is limited. Due to applicable laws, rules, regulations and standards or contractual obligations, we may be held responsible for information security failures or cybersecurity incidents attributed to our third-party service providers as they relate to the information we share with them.</w:t>
      </w:r>
    </w:p>
    <w:p>
      <w:pPr>
        <w:spacing w:after="0" w:line="51" w:lineRule="exact"/>
        <w:rPr>
          <w:sz w:val="20"/>
          <w:szCs w:val="20"/>
          <w:color w:val="auto"/>
        </w:rPr>
      </w:pPr>
    </w:p>
    <w:p>
      <w:pPr>
        <w:jc w:val="both"/>
        <w:ind w:firstLine="509"/>
        <w:spacing w:after="0" w:line="226" w:lineRule="auto"/>
        <w:rPr>
          <w:sz w:val="20"/>
          <w:szCs w:val="20"/>
          <w:color w:val="auto"/>
        </w:rPr>
      </w:pPr>
      <w:r>
        <w:rPr>
          <w:rFonts w:ascii="Times New Roman" w:cs="Times New Roman" w:eastAsia="Times New Roman" w:hAnsi="Times New Roman"/>
          <w:sz w:val="18"/>
          <w:szCs w:val="18"/>
          <w:color w:val="auto"/>
        </w:rPr>
        <w:t>Notifications and follow-up actions related to a data breach or other cybersecurity incident could impact our reputation and cause us to incur significant costs, including significant legal expenses and remediation costs as well as potential regulatory scrutiny. We expect to incur significant costs in an effort to detect and prevent cybersecurity incidents, and we may face increased costs and requirements to expend substantial resources in the event of an</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actual or perceived cybersecurity incident. However, we cannot guarantee that we will be able to detect or prevent any such cybersecurity incidents, or that we can remediate any such incidents in an effective or timely manner. Our efforts to improve security and protect data from compromise may also identify</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previously undiscovered cybersecurity incidents. To the extent that any disruption or cybersecurity incident was to result in a loss of or damage to our data or applications, or inappropriate disclosure of confidential or proprietary information or personal data, we could incur material reputational harm, penalties, regulatory scrutiny, liabilities, legal claims, and/or mandated changes in our business practices, and the further development of our product candidates</w:t>
      </w:r>
    </w:p>
    <w:p>
      <w:pPr>
        <w:jc w:val="both"/>
        <w:spacing w:after="0" w:line="211" w:lineRule="auto"/>
        <w:rPr>
          <w:sz w:val="20"/>
          <w:szCs w:val="20"/>
          <w:color w:val="auto"/>
        </w:rPr>
      </w:pPr>
      <w:r>
        <w:rPr>
          <w:rFonts w:ascii="Times New Roman" w:cs="Times New Roman" w:eastAsia="Times New Roman" w:hAnsi="Times New Roman"/>
          <w:sz w:val="18"/>
          <w:szCs w:val="18"/>
          <w:color w:val="auto"/>
        </w:rPr>
        <w:t>could be delayed. Any such event could also compel us to comply with federal and state breach notification laws, and foreign law equivalents, subject us to mandatory corrective action and otherwise subject us to substantial liability under laws, rules, regulations and standards that protect the privacy and</w:t>
      </w:r>
    </w:p>
    <w:p>
      <w:pPr>
        <w:spacing w:after="0" w:line="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security of personal data, which could result in significant legal and financial exposure and reputational damages that could potentially have an adverse effect on our business.</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effects of a cybersecurity incident could be further amplified during the current COVID-19 pandemic. In addition, the cost and operational</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consequences of implementing further data protection measures could be significant, and theft of our intellectual property or proprietary business information could require substantial expenditures to remedy. Further, we cannot be certain that our liability insurance will be sufficient in type or amount</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to cover us against claims related to a cybersecurity incident, such coverage will cover any indemnification claims against us relating to any cybersecurity incident, such coverage will continue to be available to us on economically reasonable terms, or at all, or any insurer will not deny coverage as to any</w:t>
      </w:r>
    </w:p>
    <w:p>
      <w:pPr>
        <w:jc w:val="both"/>
        <w:spacing w:after="0" w:line="211" w:lineRule="auto"/>
        <w:rPr>
          <w:sz w:val="20"/>
          <w:szCs w:val="20"/>
          <w:color w:val="auto"/>
        </w:rPr>
      </w:pPr>
      <w:r>
        <w:rPr>
          <w:rFonts w:ascii="Times New Roman" w:cs="Times New Roman" w:eastAsia="Times New Roman" w:hAnsi="Times New Roman"/>
          <w:sz w:val="18"/>
          <w:szCs w:val="18"/>
          <w:color w:val="auto"/>
        </w:rPr>
        <w:t>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financial condition and results of operations.</w:t>
      </w:r>
    </w:p>
    <w:p>
      <w:pPr>
        <w:spacing w:after="0" w:line="80"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 variety of privacy and data security laws, rules, regulations, policies, industry standards and contractual obligations, and our failure to comply with them could harm our business.</w:t>
      </w:r>
    </w:p>
    <w:p>
      <w:pPr>
        <w:spacing w:after="0" w:line="63"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We maintain a large quantity of sensitive information, including confidential business and personal information in connection with the conduct of our clinical trials and related to our employees, and we are subject to laws and regulations governing the privacy and security of such information. In the United States, there are numerous federal and state privacy and data security laws and regulations governing the collection, use, disclosure and protection of personal information, including federal and state health information privacy laws, federal and state security breach notification laws and federal and state consumer protection laws. The legislative and regulatory landscape for privacy and data protection continues to evolve, and there has been an increasing focus on privacy and data protection issues, which may affect our business and is expected to increase our compliance costs and exposure to liability. In the United States, numerous federal and state laws and regulations could apply to our operations or the operations of our partners, including state data breach notification laws, state health information privacy laws and federal and state consumer protection laws and regulations, including Section 5 of the Federal Trade Commission Act, that govern the collection, use, disclosure and protection of health-related and other personal information. In addition, we may obtain health information from third parties, including research institutions from which we obtain clinical trial data, that are subject to privacy and security requirements under the federal Health Insurance Portability and Accountability Act (“HIPAA”), as amended by the Health Information Technology for Economic and Clinical Health Act, and the regulations promulgated thereunder. Depending on the facts and circumstances, we could be subject to significant penalties if we obtain, use or disclose individually identifiable health information in a manner that is not authorized or permitted by HIPAA.</w:t>
      </w:r>
    </w:p>
    <w:p>
      <w:pPr>
        <w:spacing w:after="0" w:line="92"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In Europe, the General Data Protection Regulation (“GDPR”) governs the collection, use, disclosure, transfer or other processing of personal data of individuals within the European Economic Area (“EEA”), including clinical trial data. Among other things, the GDPR imposes requirements regarding the security of personal data and notification of data breaches to the competent national data processing authorities, requires having lawful bases on which personal data can be processed and includes notice and consent requirements which may apply to clinical trial subjects and investigators. In addition, the GDPR increases the scrutiny of transfers of personal data from the EEA to the United States and other jurisdictions that the European Commission does not recognize as having “adequate” data protection laws; in July 2020, the Court of Justice of the European Union limited how organizations could lawfully transfer personal data from the EEA to the United States by invalidating the EU-U.S. Privacy Shield and imposing further restrictions on the use of standard contractual clauses, which could increase our costs and our ability to efficiently process personal data from the EEA. The GDPR imposes substantial fines for breaches and violations (up to the greater of €20 million or 4% of our annual global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69" w:name="page70"/>
    <w:bookmarkEnd w:id="69"/>
    <w:p>
      <w:pPr>
        <w:jc w:val="both"/>
        <w:spacing w:after="0" w:line="282" w:lineRule="auto"/>
        <w:rPr>
          <w:sz w:val="20"/>
          <w:szCs w:val="20"/>
          <w:color w:val="auto"/>
        </w:rPr>
      </w:pPr>
      <w:r>
        <w:rPr>
          <w:rFonts w:ascii="Times New Roman" w:cs="Times New Roman" w:eastAsia="Times New Roman" w:hAnsi="Times New Roman"/>
          <w:sz w:val="18"/>
          <w:szCs w:val="18"/>
          <w:color w:val="auto"/>
        </w:rPr>
        <w:t>turnover) and confers the right for data subjects to lodge complaints with supervisory authorities, seek judicial remedies and obtain compensation for damages resulting from violations of the GDPR.</w:t>
      </w:r>
    </w:p>
    <w:p>
      <w:pPr>
        <w:spacing w:after="0" w:line="40"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8"/>
          <w:szCs w:val="18"/>
          <w:color w:val="auto"/>
        </w:rPr>
        <w:t>Relatedly, following the United Kingdom’s withdrawal from the EEA and the European Union and the expiration of the Transition Period, companies must comply with both the GDPR and the legislation similar to the GDPR as incorporated into UK national law, which provides for significant fines of up to the greater of £17.5 million or 4% of global turnover and exposes companies to two parallel regimes with potentially divergent enforcement actions for certain violations. The relationship between the United Kingdom and the European Union in relation to certain aspects of data protection law remains unclear, which exposes us to further compliance risk. On June 28, 2021, the European Commission formally adopted its adequacy decision finding the United Kingdom to be adequate under the GDPR.</w:t>
      </w:r>
    </w:p>
    <w:p>
      <w:pPr>
        <w:spacing w:after="0" w:line="72"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We have implemented data transfer policies to provide for the transfer of personal information from the EEA or the United Kingdom to the United States. However, there are certain unsettled legal issues regarding the adequacy of data transfers to the United States, the resolution of which may adversely affect our ability to process and transfer personal data outside of the EEA or United Kingdom.</w:t>
      </w:r>
    </w:p>
    <w:p>
      <w:pPr>
        <w:spacing w:after="0" w:line="82"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Compliance with these and any other applicable privacy and data security laws and regulations is a rigorous and time-intensive process, and we may be required to put in place additional mechanisms ensuring compliance with the new data protection rules. Any failure or perceived failure by us, a company that we acquire, or one of our service providers to comply with laws, regulations, policies, legal or contractual obligations, industry standards or regulatory guidance relating to privacy or data security could result in governmental investigations and enforcement actions, litigation, fines and penalties, exposure to indemnification obligations or other liabilities, and adverse publicity, all of which could have an adverse effect on our reputation, as well as our business, financial condition, and results of operations.</w:t>
      </w:r>
    </w:p>
    <w:p>
      <w:pPr>
        <w:spacing w:after="0" w:line="87"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In addition, states are constantly adopting new laws or amending existing laws, requiring attention to frequently changing regulatory requirements. For example, the California Consumer Privacy Act (the “CCPA”) took effect on January 1, 2020 and was later amended by the California Privacy Rights Act of 2020. The amended CCPA goes into effect on January 1, 2023. The CCPA, as amended, gives California residents expanded rights, including to access, correct and delete their personal information and to opt-out of certain personal information disclosures, including sales of their personal information and use for cross-context behavioral advertising purposes. It also requires covered companies to provide disclosures to California consumers and includes new audit requirements for higher risk data and opt-out rights for certain uses of sensitive data. The amended CCPA also created a new California data protection agency authorized to issue substantive regulations which could result in increased privacy and information security enforcement. The agency is in the course of drafting and proposing implementing regulations for the amended CCPA. The lack of certainty regarding the final state of these regulations could result in significant compliance costs. The amended CCPA provides for civil penalties for violations, as well as a private right of action for data breaches that is expected to increase data breach litigation. Although the CCPA currently exempts certain health-related information, including clinical trial data, the amended CCPA may increase our compliance costs and potential liability. Similar state consumer protection laws have passed in other states. Such laws, including those in Colorado, Connecticut, Utah and Virginia, will come into effect in 2023 and have potentially conflicting requirements that would make compliance challenging and present legal risk. In Colorado, the Attorney General’s Office has not yet finalized implementing rules. The lack of certainty regarding the final state of these rules could result in significant compliance costs.</w:t>
      </w:r>
    </w:p>
    <w:p>
      <w:pPr>
        <w:spacing w:after="0" w:line="75"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With the GDPR, CCPA and other state laws, regulations and other obligations relating to privacy and data protection imposing new and relatively burdensome obligations, and with the substantial uncertainty over the interpretation and application of these and other obligations, we may face challenges in addressing their requirements and making necessary changes to our policies and practices and may incur significant costs and expenses in an effort to do so. However, these policies and practices may not be aligned with every applicable legal or regulatory standard immediately, due in part to the rapidly shifting landscape of privacy and data security requirements. A regulatory review or other independent assessment of the privacy program may result in identifying one or more areas of non-compliance. Additionally, if third parties with which we work, such as vendors or service providers, violate applicable laws, rules or regulations or our policies, such violations may also put our or our clinical trial and employee data, including personal data, at risk, which could in turn have an adverse effect on our business.</w:t>
      </w:r>
    </w:p>
    <w:p>
      <w:pPr>
        <w:spacing w:after="0" w:line="74" w:lineRule="exact"/>
        <w:rPr>
          <w:sz w:val="20"/>
          <w:szCs w:val="20"/>
          <w:color w:val="auto"/>
        </w:rPr>
      </w:pPr>
    </w:p>
    <w:p>
      <w:pPr>
        <w:jc w:val="both"/>
        <w:ind w:right="20" w:firstLine="509"/>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If we or any contract manufacturers and suppliers we engage fail to comply with environmental, health and safety laws and regulations, we could become subject to fines or penalties or incur costs that could seriously harm our business.</w:t>
      </w:r>
    </w:p>
    <w:p>
      <w:pPr>
        <w:spacing w:after="0" w:line="64" w:lineRule="exact"/>
        <w:rPr>
          <w:sz w:val="20"/>
          <w:szCs w:val="20"/>
          <w:color w:val="auto"/>
        </w:rPr>
      </w:pPr>
    </w:p>
    <w:p>
      <w:pPr>
        <w:jc w:val="both"/>
        <w:ind w:firstLine="509"/>
        <w:spacing w:after="0" w:line="230" w:lineRule="auto"/>
        <w:rPr>
          <w:sz w:val="20"/>
          <w:szCs w:val="20"/>
          <w:color w:val="auto"/>
        </w:rPr>
      </w:pPr>
      <w:r>
        <w:rPr>
          <w:rFonts w:ascii="Times New Roman" w:cs="Times New Roman" w:eastAsia="Times New Roman" w:hAnsi="Times New Roman"/>
          <w:sz w:val="18"/>
          <w:szCs w:val="18"/>
          <w:color w:val="auto"/>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hazardous and regulated materials and wastes; the emission and discharge of hazardous materials into the ground, air and water; and employee health and safety. Our operations involve the use of hazardous and flammable materials, including chemicals and biological materials. Our operations also produce</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w:t>
      </w: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contamination at our current or past facilities and at third-party facilities. We also could incur significant costs associated with civil or criminal fines and penalties.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70" w:name="page71"/>
    <w:bookmarkEnd w:id="70"/>
    <w:p>
      <w:pPr>
        <w:jc w:val="both"/>
        <w:ind w:firstLine="509"/>
        <w:spacing w:after="0" w:line="226" w:lineRule="auto"/>
        <w:rPr>
          <w:sz w:val="20"/>
          <w:szCs w:val="20"/>
          <w:color w:val="auto"/>
        </w:rPr>
      </w:pPr>
      <w:r>
        <w:rPr>
          <w:rFonts w:ascii="Times New Roman" w:cs="Times New Roman" w:eastAsia="Times New Roman" w:hAnsi="Times New Roman"/>
          <w:sz w:val="18"/>
          <w:szCs w:val="18"/>
          <w:color w:val="auto"/>
        </w:rPr>
        <w:t>Compliance with applicable environmental laws and regulations may be expensive, and current or future environmental laws and regulations may impair our research, product development and manufacturing efforts. In addition, we cannot entirely eliminate the risk of accidental injury or contamination from these materials or wastes. Although we maintain workers’ compensation insurance to cover us for costs and expenses we may incur due to injuries to</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seriously harm our business.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04"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third parties to conduct, supervise, analyze and monitor a significant portion of our research and preclinical testing and clinical trials for our product candidates, and if those third parties do not successfully carry out their contractual duties, comply with regulatory requirements or otherwise perform satisfactorily, we may not be able to obtain regulatory approval or commercialize product candidates, or such approval or commercialization may be delayed, and our business may be substantially harmed.</w:t>
      </w:r>
    </w:p>
    <w:p>
      <w:pPr>
        <w:spacing w:after="0" w:line="66"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We have engaged CROs and other third parties to conduct our planned preclinical studies or clinical trials and to monitor and manage data. We expect to continue to rely on third parties, including clinical data management organizations, medical institutions and clinical investigators, to conduct those clinical trials. We also rely on third parties for their research and discovery capabilities. Any of these third parties may terminate their engagements with us, some in the event of an uncured material breach and some at any time for convenience. If any of our relationships with these third parties terminate, we may not be able to timely enter into arrangements with alternative third parties or to do so on commercially reasonable terms, if at all. Switching or adding CROs involves substantial cost and requires management time and focus. In addition, there is a natural transition period when a new CRO commences work. As a result, delays occur, which can materially impact our ability to meet our desired clinical development timelines. Though we intend to carefully manage our relationships with our CROs, there can be no assurance that we will not encounter challenges or delays in the future or that these delays or challenges will not have a material adverse impact on our business, financial condition and prospects. Further, the performance of our CROs and other third parties conducting our trials may also be interrupted by the ongoing COVID-19 pandemic, including due to travel or quarantine policies, heightened exposure of CRO or clinical site or other vendor staff who are healthcare providers to COVID-19 or prioritization of resources toward the pandemic.</w:t>
      </w:r>
    </w:p>
    <w:p>
      <w:pPr>
        <w:spacing w:after="0" w:line="77"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In addition, any third parties conducting our clinical trials will not be our employees, and except for remedies available to us under our agreements with such third parties, we cannot control whether or not they devote sufficient time and resources to our clinical programs.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Consequently, our results of operations and the commercial prospects for our product candidates would be harmed, our costs could increase substantially and our ability to generate revenue could be delayed significantly.</w:t>
      </w:r>
    </w:p>
    <w:p>
      <w:pPr>
        <w:spacing w:after="0" w:line="73"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We rely on these parties for execution of our preclinical studies and clinical trials, and generally do not control their activities. 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requires us to comply with standards, commonly referred to as good clinical practices, for conducting, recording and reporting the results of clinical trials to assure that data and reported results are credible and accurate and that the rights, integrity and confidentiality of trial participants are protected. If we or any of our CROs or other third parties, including trial sites, fail to comply with applicable GCPs, the clinical data generated in our clinical trials may be deemed unreliable and the FDA, EMA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complies with GCP regulations. In addition, our clinical trials must be conducted with product produced under cGMP conditions. Our failure to comply with these regulations may require us to repeat clinical trials, which would delay the regulatory approval process.</w:t>
      </w:r>
    </w:p>
    <w:p>
      <w:pPr>
        <w:spacing w:after="0" w:line="78"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also are required to register certain ongoing clinical trials and post the results of certain completed clinical trials on a government-sponsored database, ClinicalTrials.gov, within specified timeframes. Failure to do so can result in fines, adverse publicity and civil and criminal sanctions.</w:t>
      </w:r>
    </w:p>
    <w:p>
      <w:pPr>
        <w:spacing w:after="0" w:line="40"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trial. The FDA may therefore question the integrity of the data generated at the applicable clinical trial site and the utility of the clinical trial itself may be jeopardized. This could result in a delay in approval,</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71" w:name="page72"/>
    <w:bookmarkEnd w:id="71"/>
    <w:p>
      <w:pPr>
        <w:jc w:val="both"/>
        <w:spacing w:after="0" w:line="282" w:lineRule="auto"/>
        <w:rPr>
          <w:sz w:val="20"/>
          <w:szCs w:val="20"/>
          <w:color w:val="auto"/>
        </w:rPr>
      </w:pPr>
      <w:r>
        <w:rPr>
          <w:rFonts w:ascii="Times New Roman" w:cs="Times New Roman" w:eastAsia="Times New Roman" w:hAnsi="Times New Roman"/>
          <w:sz w:val="18"/>
          <w:szCs w:val="18"/>
          <w:color w:val="auto"/>
        </w:rPr>
        <w:t>or rejection, of our marketing applications by the FDA and may ultimately lead to the denial of marketing approval for NVD200, adintrevimab or any other product candidates.</w:t>
      </w:r>
    </w:p>
    <w:p>
      <w:pPr>
        <w:spacing w:after="0" w:line="4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also expect to rely on other third parties to label, store and distribute product supplies for our clinical trials. Any performance failure on the part of our distributors could delay clinical development or marketing approval of our product candidates or commercialization of our products, producing additional losses and depriving us of potential revenue.</w:t>
      </w:r>
    </w:p>
    <w:p>
      <w:pPr>
        <w:spacing w:after="0" w:line="57" w:lineRule="exact"/>
        <w:rPr>
          <w:sz w:val="20"/>
          <w:szCs w:val="20"/>
          <w:color w:val="auto"/>
        </w:rPr>
      </w:pPr>
    </w:p>
    <w:p>
      <w:pPr>
        <w:jc w:val="both"/>
        <w:ind w:right="20"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seek collaborations with third parties for the discovery, development or commercialization of our product candidates. If those collaborations are not successful, we may not be able to capitalize on the market potential of these product candidates.</w:t>
      </w:r>
    </w:p>
    <w:p>
      <w:pPr>
        <w:spacing w:after="0" w:line="63"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We may seek third-party collaborators for the discovery, development and commercialization of our product candidates, including for the commercialization of any of our product candidates that are approved for marketing outside the United States. Our likely collaborators for any such arrangements include regional and national pharmaceutical companies and biotechnology companies. If we enter into any additional such arrangements with any third parties, we will likely have limited control over the amount and timing of resources that our collaborators dedicate to the development or commercialization of our product candidates. Our ability to generate revenue from these arrangements will depend on our collaborators’ abilities to successfully perform the functions assigned to them in these arrangements. For example, our agreement with Biocon may not result in the successful development and commercialization of an antibody treatment for COVID-19 in India or other markets.</w:t>
      </w:r>
    </w:p>
    <w:p>
      <w:pPr>
        <w:spacing w:after="0" w:line="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Collaborations involving our product candidates would pose the following risks to us:</w:t>
      </w:r>
    </w:p>
    <w:p>
      <w:pPr>
        <w:spacing w:after="0" w:line="104" w:lineRule="exact"/>
        <w:rPr>
          <w:sz w:val="20"/>
          <w:szCs w:val="20"/>
          <w:color w:val="auto"/>
        </w:rPr>
      </w:pPr>
    </w:p>
    <w:p>
      <w:pPr>
        <w:ind w:left="1140" w:hanging="504"/>
        <w:spacing w:after="0"/>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117" w:lineRule="exact"/>
        <w:rPr>
          <w:rFonts w:ascii="Times New Roman" w:cs="Times New Roman" w:eastAsia="Times New Roman" w:hAnsi="Times New Roman"/>
          <w:sz w:val="18"/>
          <w:szCs w:val="18"/>
          <w:color w:val="auto"/>
        </w:rPr>
      </w:pPr>
    </w:p>
    <w:p>
      <w:pPr>
        <w:jc w:val="both"/>
        <w:ind w:left="1140" w:hanging="504"/>
        <w:spacing w:after="0" w:line="250" w:lineRule="auto"/>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82"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4" w:lineRule="exact"/>
        <w:rPr>
          <w:rFonts w:ascii="Times New Roman" w:cs="Times New Roman" w:eastAsia="Times New Roman" w:hAnsi="Times New Roman"/>
          <w:sz w:val="18"/>
          <w:szCs w:val="18"/>
          <w:color w:val="auto"/>
        </w:rPr>
      </w:pPr>
    </w:p>
    <w:p>
      <w:pPr>
        <w:jc w:val="both"/>
        <w:ind w:left="1140" w:hanging="504"/>
        <w:spacing w:after="0" w:line="258" w:lineRule="auto"/>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61"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grant exclusive rights to our collaborators that would prevent us from collaborating with others;</w:t>
      </w:r>
    </w:p>
    <w:p>
      <w:pPr>
        <w:spacing w:after="0" w:line="10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discovered in collaboration with us may be viewed by our collaborators as competitive with their own product candidates or drugs, which may cause collaborators to cease to devote resources to the commercialization of our product candidates;</w:t>
      </w:r>
    </w:p>
    <w:p>
      <w:pPr>
        <w:spacing w:after="0" w:line="40"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of our product candidates that achieve regulatory approval may not commit sufficient resources to the marketing and distribution of such products;</w:t>
      </w:r>
    </w:p>
    <w:p>
      <w:pPr>
        <w:spacing w:after="0" w:line="67" w:lineRule="exact"/>
        <w:rPr>
          <w:rFonts w:ascii="Times New Roman" w:cs="Times New Roman" w:eastAsia="Times New Roman" w:hAnsi="Times New Roman"/>
          <w:sz w:val="18"/>
          <w:szCs w:val="18"/>
          <w:color w:val="auto"/>
        </w:rPr>
      </w:pPr>
    </w:p>
    <w:p>
      <w:pPr>
        <w:jc w:val="both"/>
        <w:ind w:left="1140" w:hanging="504"/>
        <w:spacing w:after="0" w:line="250" w:lineRule="auto"/>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69" w:lineRule="exact"/>
        <w:rPr>
          <w:rFonts w:ascii="Times New Roman" w:cs="Times New Roman" w:eastAsia="Times New Roman" w:hAnsi="Times New Roman"/>
          <w:sz w:val="18"/>
          <w:szCs w:val="18"/>
          <w:color w:val="auto"/>
        </w:rPr>
      </w:pPr>
    </w:p>
    <w:p>
      <w:pPr>
        <w:jc w:val="both"/>
        <w:ind w:left="1140" w:hanging="504"/>
        <w:spacing w:after="0" w:line="258" w:lineRule="auto"/>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or their intellectual property rights or may use our or their proprietary information in such a way as to invite litigation that could jeopardize or invalidate such intellectual property or proprietary information or expose us to potential litigation;</w:t>
      </w:r>
    </w:p>
    <w:p>
      <w:pPr>
        <w:spacing w:after="0" w:line="61"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 and</w:t>
      </w:r>
    </w:p>
    <w:p>
      <w:pPr>
        <w:spacing w:after="0" w:line="10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40"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or at all. If any future collaborator of ours were to be involved in a business combination, the continued pursuit and emphasis on our product development or commercialization program could be delayed, diminished or terminated.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72" w:name="page73"/>
    <w:bookmarkEnd w:id="72"/>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 definitive agreement for any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EMA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78"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8"/>
          <w:szCs w:val="18"/>
          <w:color w:val="auto"/>
        </w:rPr>
        <w:t>We may not be able to negotiate additional collaborations on a timely basis, on acceptable terms, or at all. If we are unable to do so, we may have to curtail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revenue.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maintain and enforce patent protection for our product candidates, or if the scope of the patent protection obtained is not sufficiently broad, our competitors or other third parties could develop and commercialize products similar or identical to ours and our ability to successfully develop and commercialize our product candidates may be adversely affected.</w:t>
      </w:r>
    </w:p>
    <w:p>
      <w:pPr>
        <w:spacing w:after="0" w:line="81"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We rely upon a combination of patents, trade secret protection and confidentiality agreements to protect the intellectual property related to our product candidates and technologies. Our success depends in large part on our ability to obtain and maintain patent and other intellectual property protection in the United States and in other countries with respect to our proprietary technology and product candidates. The risks associated with patent rights generally apply to patent rights that we in-license now or in the future, as well as patent rights that we may own now or in the future. We currently own three issued U.S. patents with claims directed to adintrevimab, ADG10, and methods of use of adintrevimab, alone or in combination with ADG10 (an antibody-based product candidate previously considered for potential use in combination with adintrevimab for the treatment and prevention of COVID-19), respectively. In addition, although we own a number of pending patent applications, we may not be successful in prosecuting our filed patent applications to obtain issuance of additional patents. Accordingly, there can be no assurance that we will be able to obtain patent protection for our product candidates. Our pending Patent Cooperation Treaty (“PCT”) patent applications, are not eligible to become issued patents until, among other things, we file a national stage patent application within 30 months in the countries in which we seek patent protection. Furthermore, our pending U.S. provisional patent applications are not eligible to become issued patents until, among other things, we file a non-provisional U.S. patent application within one year of filing of the U.S. provisional patent application with the United States Patent and Trademark Office (the “USPTO”). If we do not timely file any national stage patent applications or non-provisional U.S. patent applications, we may lose our priority date with respect to our PCT and provisional U.S. patent applications, and any patent protection on the inventions disclosed in such patent applications. We can provide no assurance that any of our current or future patent applications will result in issued patents or that any issued patents will provide us with any competitive advantage. In addition, the coverage claimed in any such patent application can be significantly reduced before the patent is issued, and its scope can be reinterpreted after issuance. Failure to obtain and maintain such issued patents could have a material adverse effect on our ability to develop and commercialize our product candidates.</w:t>
      </w:r>
    </w:p>
    <w:p>
      <w:pPr>
        <w:spacing w:after="0" w:line="85"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The strength of patents in the biotechnology and pharmaceutical field involves complex legal and scientific questions and can be uncertain. We cannot offer any assurances about which of our patent applications will issue, the breadth of any resulting patent or whether any of the issued patents will be found invalid and unenforceable or will be threatened by third parties. We cannot offer any assurances that the breadth of our resulting or granted patents will be sufficient to stop a competitor from developing and commercializing a product, including a biosimilar product, that would be competitive with one or more of our product candidates. There is no assurance that all the potentially relevant prior art relating to our patent and patent applications has been found, which can invalidate a patent or prevent a patent from issuing from a pending patent application. Since patent applications in the United States and most other countries are confidential for a period of time after filing, we cannot be certain that we or our future licensors were the first to file any patent application related to our product candidates and technologies. We additionally cannot guarantee that our employees, former employees or consultants will not file patent applications claiming our inventions. Because of the “first-to-file” laws in the United States, such unauthorized patent application filings may defeat our attempts to obtain patents on our own inventions. If a third party can establish that we or our licensors were not the first to make or the first to file for patent protection of such inventions, our owned or licensed patent applications may not issue as patents and, even if issued, may be challenged and invalidated or rendered unenforceable.</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73" w:name="page74"/>
    <w:bookmarkEnd w:id="73"/>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an interference proceeding can be provoked by a third party or instituted by the USPTO to determine who was the first to invent any of the subject matter covered by the patent claims of our applications.</w:t>
      </w:r>
    </w:p>
    <w:p>
      <w:pPr>
        <w:spacing w:after="0" w:line="40"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our owned and licensed patents may be challenged in courts or patent offices in the United States and abroad. For example, we may be subject to a third-party submission of prior art to the USPTO, challenging the validity of one or more claims of our owned or licensed patents. Such submissions may also be made prior to a patent’s issuance, precluding the granting of a patent based on one of our owned or licensed pending patent applications. A third party may also claim that our owned or licensed patent rights are invalid or unenforceable in litigation. The outcome following legal assertions of invalidity and unenforceability is unpredictable.</w:t>
      </w:r>
    </w:p>
    <w:p>
      <w:pPr>
        <w:spacing w:after="0" w:line="87"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Any successful challenge to any patents owned by or licensed to us after patent issuance could put one or more of our owned or in-licensed patents at risk of being invalidated or interpreted narrowly and could deprive us of rights necessary for the successful commercialization of any of our product candidates and technologies that we may develop. Even if they are unchallenged or such third-party challenges are unsuccessful, our patents and patent applications may not adequately protect our intellectual property, provide exclusivity for our product candidates and technologies or prevent others from designing around our claims. If the breadth or strength of protection provided by the patent and patent applications we hold, obtain or pursue with respect to our product candidates and technologies is challenged, or if they fail to provide meaningful exclusivity for our product candidates and technologies, it could threaten our ability to commercialize our product candidates and technologies. Further, if we encounter delays in regulatory approvals, the period of time during which we could market a product candidate under patent protection, if approved, would be reduced.</w:t>
      </w:r>
    </w:p>
    <w:p>
      <w:pPr>
        <w:spacing w:after="0" w:line="78"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The patent prosecution process is expensive and time-consuming. We may not be able to prepare, file and prosecute all necessary or desirable patent applications at a commercially reasonable cost, in a timely manner or in all jurisdictions. It is also possible that we may fail to identify patentable aspects of inventions made in the course of development and commercialization activities before it is too late to obtain patent protection. Moreover, depending on the terms of any future in-licenses to which we may become a party, we may not have the right to control the preparation, filing and prosecution of patent applications, or to maintain the patents, covering technology in-licensed from third parties. Therefore, these patents and patent applications may not be prosecuted and enforced in a manner consistent with the best interests of our business. Any of the foregoing could have an adverse impact on our business and results of operations.</w:t>
      </w:r>
    </w:p>
    <w:p>
      <w:pPr>
        <w:spacing w:after="0" w:line="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trade secrets, our business and competitive position would be harmed.</w:t>
      </w:r>
    </w:p>
    <w:p>
      <w:pPr>
        <w:spacing w:after="0" w:line="121"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In addition to the protection provided by our patent estate, we rely on trade secret protection and confidentiality agreements to protect proprietary scientific, business and technical information and know-how that is not or may not be patentable or that we or our partner(s) elect not to patent. Whether proprietary information, data and processes were developed internally, through collaboration partnering, or licensed from one or more third parties, we seek to protect them, in part, by confidentiality agreements and invention assignment agreements with our employees, consultants, scientific advisors, contractors and partners. Although these agreements are designed to protect proprietary information, we cannot be certain that our trade secrets and other confidential proprietary information will not be disclosed or that competitors will not otherwise gain access to trade secrets or independently develop substantially equivalent information and techniques. Although we generally require all of our employees to assign their inventions to us, and all of our employees, consultants, advisors and any third parties who have access to proprietary know-how, information or technology to enter into confidentiality agreements, we cannot provide any assurances that all such agreements have been duly executed with all third parties who may have helped to develop our intellectual property or who had access to proprietary information, or that our agreements will not be breached. If any of the parties to these confidentiality agreements breaches or violates the terms of such agreements, we may not have adequate remedies for any such breach or violation, and we could lose trade secrets as a result.</w:t>
      </w:r>
    </w:p>
    <w:p>
      <w:pPr>
        <w:spacing w:after="0" w:line="84"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Enforcing a claim that a third party illegally obtained and is using our trade secrets, like patent litigation, is expensive and time-consuming, and the outcome is unpredictable. Further, the laws of some foreign countries do not protect proprietary rights to the same extent or in the same manner as the laws of the United States. The enforceability of confidentiality agreements may vary from jurisdiction to jurisdiction. As a result, we may encounter significant problems in protecting and defending our intellectual property both in the United States and abroad. Additionally, if the steps taken to maintain our trade secrets are deemed inadequate, we may have insufficient recourse against third parties for misappropriating the trade secret.</w:t>
      </w:r>
    </w:p>
    <w:p>
      <w:pPr>
        <w:spacing w:after="0" w:line="69"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Trade secrets and know-how can be difficult to protect as trade secrets and know-how will over time be disseminated within the industry through independent development, the publication of journal articles and the movement of personnel skilled in the art from company to company or academic to industry scientific positions. Moreover, our competitors and other third parties may independently develop knowledge, methods and know-how equivalent to our trade secrets. Competitors and other third parties could purchase our products and attempt to replicate some or all of the competitive advantages we derive from our development efforts, willfully infringe, misappropriate or violate our intellectual property rights, design around our protected technology or develop their own technologies that fall outside of our intellectual property rights. If any of our trade secrets were to be lawfully obtained or independently developed by a competitor or other third party, we would have no right to prevent them, or those to whom they communicate it, from using that technology or information to compete with us. If any of our trade secrets and proprietary know-how were to be disclosed to or independently developed by a competitor or other third party, our competitive position would be harmed.</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74" w:name="page75"/>
    <w:bookmarkEnd w:id="74"/>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data and trade secrets by maintaining physical security of our premises and physical and electronic security of our information technology systems.</w:t>
      </w:r>
    </w:p>
    <w:p>
      <w:pPr>
        <w:spacing w:after="0" w:line="4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Monitoring unauthorized uses and disclosures is difficult, and we do not know whether the steps we have taken to protect our proprietary technologies will be effective.</w:t>
      </w:r>
    </w:p>
    <w:p>
      <w:pPr>
        <w:spacing w:after="0" w:line="68"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While we have confidence in these individuals, organizations and systems, our agreements or security measures may be breached, and we may not have adequate remedies for any breach. Also, if the steps taken to maintain trade secrets are deemed inadequate, we may have insufficient recourse against third parties for misappropriating the trade secret. In addition, others may independently discover our trade secrets and proprietary information. For example, the FDA is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we are unable to prevent material disclosure of the non-patented intellectual property related to our technologies to third parties, and there is no guarantee that we will have any such enforceable trade secret protection, we may not be able to establish or maintain a competitive advantage in our market, which could materially adversely affect our business, results of operations and financial condition.</w:t>
      </w:r>
    </w:p>
    <w:p>
      <w:pPr>
        <w:spacing w:after="0" w:line="74"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products for an adequate amount of time, and if we do not obtain protection under the Hatch-Waxman Amendments and similar non-United States legislation for extending the term of patents covering each of our product candidates, our business may be materially harmed.</w:t>
      </w:r>
    </w:p>
    <w:p>
      <w:pPr>
        <w:spacing w:after="0" w:line="60"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Patents have a limited lifespan. In the United States, the natural expiration of a patent is generally 20 years after its first effective filing date. Although various extensions may be available, the life of a patent, and the protection it affords, is limited. Even if patents covering our product candidates are obtained, once the patent life has expired for a product, we may be open to competition from generic and other competing medications. Given the amount of time required for the development, testing and regulatory review of new product candidates, patents protecting such candidates may expire before or shortly after such candidates are commercialized. Depending upon the timing, duration and conditions of FDA marketing approval of our product candidates, one or more of our United States patents may be eligible for limited patent term extension under the Drug Price Competition and Patent Term Restoration Act of 1984, referred to as the Hatch-Waxman Amendments, and similar legislation in the European Union. The Hatch-Waxman Amendments permit a patent term extension of up to five years for a patent covering an approved product as compensation for effective patent term lost during product development and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receive an extension if we fail to apply within applicable deadlines, fail to apply prior to expiration of relevant patents, fail to exercise due diligence during the testing phase or regulatory review process, or otherwise fail to satisfy applicable requirements. Moreover, the length of the extension could be less than we request. If we are unable to obtain patent term extension, or if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which could have a material adverse effect on our business.</w:t>
      </w:r>
    </w:p>
    <w:p>
      <w:pPr>
        <w:spacing w:after="0" w:line="72"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a party to an assignment and license agreement with Adimab, pursuant to which we are obligated to make payments upon achievement of milestone events and royalties. If this agreement is terminated, our business and prospects will be materially and adversely affected.</w:t>
      </w:r>
    </w:p>
    <w:p>
      <w:pPr>
        <w:spacing w:after="0" w:line="63"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We are party to an assignment and license agreement (the “Adimab Assignment Agreement”) with Adimab, LLC (“Adimab”), which has assigned to us its rights to all existing coronavirus antibodies controlled by it and their derivatives, patents claiming such antibodies, know-how related to such antibodies, and biological and chemical materials specifically related to such antibodies. Pursuant to the Adimab Assignment Agreement, Adimab additionally granted us a non-exclusive, worldwide, sublicensable license under Adimab’s antibody discovery and optimization platform technology to research, develop, make, use, and sell coronavirus antibodies and products containing or comprising coronavirus antibodies, provided that we may not use such licensed rights to discover or optimize antibodies. Under the Adimab Assignment Agreement, we are required to use commercially reasonable efforts to achieve specific development and regulatory milestones for products in certain major markets and to commercialize a product in any country in which we obtain marketing approval. This agreement additionally contains obligations that require us to make payments in the event certain milestone events are achieved and royalty payments on net sales of our products, if approved, on a product-by-product and country-by-country basis, for a period ending on the later of 12 years after the first commercial sale of such product in such country or the expiration of the last valid claim of any patent in such country that was assigned to us under the Adimab Assignment Agreement or that claims priority to any such patent.</w:t>
      </w:r>
    </w:p>
    <w:p>
      <w:pPr>
        <w:spacing w:after="0" w:line="80"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We are also party to a collaboration agreement (the “Adimab Collaboration Agreement”) with Adimab for the discovery and optimization of proprietary antibodies as potential therapeutic product candidates. Under the Adimab Collaboration Agreement, we will collaborate with Adimab on research programs for a specified number of targets selected by us within a specified time period. Under the Adimab Collaboration Agreement, Adimab granted us a worldwide, non-exclusive license to certain of its platform patents and technology and antibody patents to perform our responsibilities during the ongoing research period and for a specified evaluation period</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75" w:name="page76"/>
    <w:bookmarkEnd w:id="75"/>
    <w:p>
      <w:pPr>
        <w:jc w:val="both"/>
        <w:spacing w:after="0" w:line="243" w:lineRule="auto"/>
        <w:rPr>
          <w:sz w:val="20"/>
          <w:szCs w:val="20"/>
          <w:color w:val="auto"/>
        </w:rPr>
      </w:pPr>
      <w:r>
        <w:rPr>
          <w:rFonts w:ascii="Times New Roman" w:cs="Times New Roman" w:eastAsia="Times New Roman" w:hAnsi="Times New Roman"/>
          <w:sz w:val="18"/>
          <w:szCs w:val="18"/>
          <w:color w:val="auto"/>
        </w:rPr>
        <w:t>thereafter (the “Evaluation Term”). In addition, we granted Adimab a license to certain of our patents and intellectual property solely to perform Adimab’s responsibilities under the research plans. Under the Adimab Collaboration Agreement, we have an exclusive option, on a program-by-program basis, to obtain licenses and assignments to commercialize selected products containing or comprising antibodies directed against the applicable target, which option may be exercised upon the payment of a specified option fee for each program. Upon exercise of an option by us, Adimab will assign us all right, title and interest in the antibodies of the optioned research program and will grant us a worldwide, royalty-free, fully paid-up, non-exclusive, sublicensable license under the Adimab platform technology for the development, manufacture and commercialization of the antibodies for which we have exercised our options and products containing or comprising those antibodies. We are obligated to use commercially reasonable efforts to develop, seek marketing approval for, and commercialize one product that contains an antibody discovered in each optioned research program. This agreement additionally contains obligations that require us to make payments in the event certain milestone events are achieved and royalty payments on net sales of our products, if approved, on a product-by-product and country-by-country basis, for a period ending on the later of 12 years after the first commercial sale of such product in such country or the expiration of the last valid claim of any patent claiming composition of matter or method of making or using any antibody identified or optimized under the Adimab Collaboration Agreement in such country.</w:t>
      </w:r>
    </w:p>
    <w:p>
      <w:pPr>
        <w:spacing w:after="0" w:line="77"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8"/>
          <w:szCs w:val="18"/>
          <w:color w:val="auto"/>
        </w:rPr>
        <w:t>Our business is reliant upon the intellectual property rights assigned and licensed to us under the Adimab Assignment Agreement and the Adimab Collaboration Agreement. If we materially breach the Adimab Assignment Agreement or the Adimab Collaboration Agreement, our licenses under the Adimab Assignment Agreement and the Adimab Collaboration Agreement can be terminated, we can be required to return to Adimab the assigned patent rights and any patents or patent applications that claim priority to such patents, our rights to develop and commercialize our product candidates will be adversely affected, and we could be found liable for substantial monetary damages. If the Adimab Assignment Agreement or the Adimab Collaboration Agreement is terminated as a result of our breach or otherwise, our business and prospects will be materially and adversely affected.</w:t>
      </w:r>
    </w:p>
    <w:p>
      <w:pPr>
        <w:spacing w:after="0" w:line="68"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rights to develop and commercialize our product candidates are subject, in part, to the terms and conditions of licenses granted to us by others. 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47" w:lineRule="exact"/>
        <w:rPr>
          <w:sz w:val="20"/>
          <w:szCs w:val="20"/>
          <w:color w:val="auto"/>
        </w:rPr>
      </w:pPr>
    </w:p>
    <w:p>
      <w:pPr>
        <w:jc w:val="both"/>
        <w:ind w:firstLine="509"/>
        <w:spacing w:after="0" w:line="233" w:lineRule="auto"/>
        <w:rPr>
          <w:sz w:val="20"/>
          <w:szCs w:val="20"/>
          <w:color w:val="auto"/>
        </w:rPr>
      </w:pPr>
      <w:r>
        <w:rPr>
          <w:rFonts w:ascii="Times New Roman" w:cs="Times New Roman" w:eastAsia="Times New Roman" w:hAnsi="Times New Roman"/>
          <w:sz w:val="18"/>
          <w:szCs w:val="18"/>
          <w:color w:val="auto"/>
        </w:rPr>
        <w:t>We rely on licensed intellectual property rights and intend to periodically explore a variety of additional possible strategic collaborations or licenses in an effort to gain access to additional product candidates, technologies or resources. At this time, we cannot predict what form such strategic collaborations or licenses might take in the future. We are likely to face significant competition in seeking appropriate strategic collaborators, and strategic collaborations and licenses can be complicated and time-consuming to negotiate and document. We may not be able to negotiate strategic collaborations on acceptable terms, or at all. We are unable to predict when, if ever, we will enter into any additional strategic collaborations or licenses because of the numerous risks and uncertainties associated with establishing them. Any delays in entering into new strategic collaborations or licenses related to our product candidates could delay the development and commercialization of our product candidates in certain geographies for certain indications, which would harm our business prospects, financial condition and results of operations.</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current and future collaborations and licenses could subject us to a number of risks, including:</w:t>
      </w:r>
    </w:p>
    <w:p>
      <w:pPr>
        <w:spacing w:after="0" w:line="104" w:lineRule="exact"/>
        <w:rPr>
          <w:sz w:val="20"/>
          <w:szCs w:val="20"/>
          <w:color w:val="auto"/>
        </w:rPr>
      </w:pPr>
    </w:p>
    <w:p>
      <w:pPr>
        <w:ind w:left="1140" w:hanging="504"/>
        <w:spacing w:after="0"/>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undertake the expenditure of substantial operational, financial and management resources;</w:t>
      </w:r>
    </w:p>
    <w:p>
      <w:pPr>
        <w:spacing w:after="0" w:line="90" w:lineRule="exact"/>
        <w:rPr>
          <w:rFonts w:ascii="Times New Roman" w:cs="Times New Roman" w:eastAsia="Times New Roman" w:hAnsi="Times New Roman"/>
          <w:sz w:val="18"/>
          <w:szCs w:val="18"/>
          <w:color w:val="auto"/>
        </w:rPr>
      </w:pPr>
    </w:p>
    <w:p>
      <w:pPr>
        <w:jc w:val="both"/>
        <w:ind w:left="1140" w:hanging="504"/>
        <w:spacing w:after="0" w:line="239" w:lineRule="auto"/>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comply with various development, diligence, commercialization and other obligations and meet development timelines, or exercise commercially reasonable efforts to develop and commercialize licensed products, in order to maintain the licenses (for example, under the Adimab Assignment Agreement, we are required to use commercially reasonable efforts to achieve specified development and regulatory milestones for products in certain major markets and to commercialize a product in any country in which we obtain marketing approval);</w:t>
      </w:r>
    </w:p>
    <w:p>
      <w:pPr>
        <w:spacing w:after="0" w:line="62"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issue equity securities that would dilute our stockholders’ percentage ownership of our company;</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assume substantial actual or contingent liabilities;</w:t>
      </w:r>
    </w:p>
    <w:p>
      <w:pPr>
        <w:spacing w:after="0" w:line="90"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control the amount and timing of resources that our strategic collaborators devote to the development or commercialization of our product candidates;</w:t>
      </w:r>
    </w:p>
    <w:p>
      <w:pPr>
        <w:spacing w:after="0" w:line="40" w:lineRule="exact"/>
        <w:rPr>
          <w:rFonts w:ascii="Times New Roman" w:cs="Times New Roman" w:eastAsia="Times New Roman" w:hAnsi="Times New Roman"/>
          <w:sz w:val="18"/>
          <w:szCs w:val="18"/>
          <w:color w:val="auto"/>
        </w:rPr>
      </w:pPr>
    </w:p>
    <w:p>
      <w:pPr>
        <w:jc w:val="both"/>
        <w:ind w:left="1140" w:hanging="504"/>
        <w:spacing w:after="0" w:line="242" w:lineRule="auto"/>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the right to control the preparation, filing, prosecution and maintenance of patents and patent applications covering the technology that we license, and we cannot always be certain that these patents and patent applications will be prepared, filed, prosecuted and maintained in a manner consistent with the best interests of our business (for example, we</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76" w:name="page77"/>
    <w:bookmarkEnd w:id="76"/>
    <w:p>
      <w:pPr>
        <w:ind w:left="1140"/>
        <w:spacing w:after="0" w:line="266" w:lineRule="auto"/>
        <w:rPr>
          <w:sz w:val="20"/>
          <w:szCs w:val="20"/>
          <w:color w:val="auto"/>
        </w:rPr>
      </w:pPr>
      <w:r>
        <w:rPr>
          <w:rFonts w:ascii="Times New Roman" w:cs="Times New Roman" w:eastAsia="Times New Roman" w:hAnsi="Times New Roman"/>
          <w:sz w:val="18"/>
          <w:szCs w:val="18"/>
          <w:color w:val="auto"/>
        </w:rPr>
        <w:t>have no rights to control the preparation, filing, prosecution or maintenance of the patents licensed to us under Adimab’s antibody discovery and optimization platform technology under the Adimab Assignment Agreement);</w:t>
      </w:r>
    </w:p>
    <w:p>
      <w:pPr>
        <w:spacing w:after="0" w:line="41" w:lineRule="exact"/>
        <w:rPr>
          <w:sz w:val="20"/>
          <w:szCs w:val="20"/>
          <w:color w:val="auto"/>
        </w:rPr>
      </w:pPr>
    </w:p>
    <w:p>
      <w:pPr>
        <w:ind w:left="1140" w:hanging="504"/>
        <w:spacing w:after="0"/>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may select indications or design clinical trials in a way that may be less successful than if we were doing so;</w:t>
      </w:r>
    </w:p>
    <w:p>
      <w:pPr>
        <w:spacing w:after="0" w:line="103"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may delay clinical trials, provide insufficient funding, terminate a clinical trial or abandon a product candidate, repeat or conduct new clinical trials or require a new version of a product candidate for clinical testing;</w:t>
      </w:r>
    </w:p>
    <w:p>
      <w:pPr>
        <w:spacing w:after="0" w:line="40"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may not pursue further development and commercialization of products resulting from the strategic collaboration arrangement or may elect to discontinue research and development programs;</w:t>
      </w:r>
    </w:p>
    <w:p>
      <w:pPr>
        <w:spacing w:after="0" w:line="40"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may not commit adequate resources to the marketing and distribution of our product candidates, limiting our potential revenue from these products;</w:t>
      </w:r>
    </w:p>
    <w:p>
      <w:pPr>
        <w:spacing w:after="0" w:line="40" w:lineRule="exact"/>
        <w:rPr>
          <w:rFonts w:ascii="Times New Roman" w:cs="Times New Roman" w:eastAsia="Times New Roman" w:hAnsi="Times New Roman"/>
          <w:sz w:val="18"/>
          <w:szCs w:val="18"/>
          <w:color w:val="auto"/>
        </w:rPr>
      </w:pPr>
    </w:p>
    <w:p>
      <w:pPr>
        <w:jc w:val="both"/>
        <w:ind w:left="1140" w:hanging="504"/>
        <w:spacing w:after="0" w:line="242" w:lineRule="auto"/>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us and our strategic collaborators that result in the delay or termination of the research, development or commercialization of our product candidates or that result in costly litigation or arbitration that diverts management’s attention and consumes resources;</w:t>
      </w:r>
    </w:p>
    <w:p>
      <w:pPr>
        <w:spacing w:after="0" w:line="75"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may experience financial difficulties;</w:t>
      </w:r>
    </w:p>
    <w:p>
      <w:pPr>
        <w:spacing w:after="0" w:line="90"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may not properly maintain, enforce or defend our intellectual property rights or may use our proprietary information in a manner that could jeopardize or invalidate our proprietary information or expose us to potential litigation;</w:t>
      </w:r>
    </w:p>
    <w:p>
      <w:pPr>
        <w:spacing w:after="0" w:line="54" w:lineRule="exact"/>
        <w:rPr>
          <w:rFonts w:ascii="Times New Roman" w:cs="Times New Roman" w:eastAsia="Times New Roman" w:hAnsi="Times New Roman"/>
          <w:sz w:val="18"/>
          <w:szCs w:val="18"/>
          <w:color w:val="auto"/>
        </w:rPr>
      </w:pPr>
    </w:p>
    <w:p>
      <w:pPr>
        <w:ind w:left="1140" w:hanging="504"/>
        <w:spacing w:after="0" w:line="250" w:lineRule="auto"/>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 or significant changes in a strategic collaborator’s business strategy may adversely affect a strategic collaborator’s willingness or ability to complete its obligations under any arrangement;</w:t>
      </w:r>
    </w:p>
    <w:p>
      <w:pPr>
        <w:spacing w:after="0" w:line="68" w:lineRule="exact"/>
        <w:rPr>
          <w:rFonts w:ascii="Times New Roman" w:cs="Times New Roman" w:eastAsia="Times New Roman" w:hAnsi="Times New Roman"/>
          <w:sz w:val="18"/>
          <w:szCs w:val="18"/>
          <w:color w:val="auto"/>
        </w:rPr>
      </w:pPr>
    </w:p>
    <w:p>
      <w:pPr>
        <w:ind w:left="1140" w:hanging="504"/>
        <w:spacing w:after="0" w:line="250" w:lineRule="auto"/>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could decide to move forward with a competing product candidate developed either independently or in collaboration with others, including our competitors; and</w:t>
      </w:r>
    </w:p>
    <w:p>
      <w:pPr>
        <w:spacing w:after="0" w:line="68" w:lineRule="exact"/>
        <w:rPr>
          <w:rFonts w:ascii="Times New Roman" w:cs="Times New Roman" w:eastAsia="Times New Roman" w:hAnsi="Times New Roman"/>
          <w:sz w:val="18"/>
          <w:szCs w:val="18"/>
          <w:color w:val="auto"/>
        </w:rPr>
      </w:pPr>
    </w:p>
    <w:p>
      <w:pPr>
        <w:ind w:left="1140" w:right="20" w:hanging="504"/>
        <w:spacing w:after="0" w:line="250" w:lineRule="auto"/>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could terminate the arrangement or allow it to expire, which would delay the development and may increase the cost of developing our product candidates.</w:t>
      </w:r>
    </w:p>
    <w:p>
      <w:pPr>
        <w:spacing w:after="0" w:line="82"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Disputes may arise with respect to our current or future licensing agreements, including in connection with any of the forgoing, and, in spite of our efforts, our current and future licensors might conclude that we have materially breached our obligations under our license agreements and might therefore terminate such license agreements, thereby removing or limiting our ability to develop and commercialize products and technology covered by these license agreements.</w:t>
      </w:r>
    </w:p>
    <w:p>
      <w:pPr>
        <w:spacing w:after="0" w:line="69"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Our license agreements are, and future license agreements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w:t>
      </w:r>
    </w:p>
    <w:p>
      <w:pPr>
        <w:spacing w:after="0" w:line="69"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Furthermore, license agreements we enter into in the future may not provide exclusive rights to use intellectual property and technology in all relevant fields of use and in all territories in which we may wish to develop or commercialize our technology and products. Patents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As a result, we may not be able to prevent competitors from developing and commercializing competitive products in territories included in all of our licenses.</w:t>
      </w:r>
    </w:p>
    <w:p>
      <w:pPr>
        <w:spacing w:after="0" w:line="65"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Patent reform legislation could increase the uncertainties and costs surrounding the prosecution of our patent applications and licensed patents, and the enforcement or defense of our licensed patents or future owned patents.</w:t>
      </w:r>
    </w:p>
    <w:p>
      <w:pPr>
        <w:spacing w:after="0" w:line="50"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Our ability to obtain patents is highly uncertain because, to date, some legal principles remain unresolved, and there has not been a consistent policy regarding the breadth or interpretation of claims allowed in patents in the United States. Furthermore, the specific content of patents and patent applications that are necessary to support and interpret patent claims is highly uncertain due to the complex nature of the relevant legal, scientific and factual issues. Changes in either patent laws or interpretations of patent laws in the United States and other countries may diminish the value of our intellectual property or narrow the scope of our patent protection.</w:t>
      </w:r>
    </w:p>
    <w:p>
      <w:pPr>
        <w:spacing w:after="0" w:line="69"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8"/>
          <w:szCs w:val="18"/>
          <w:color w:val="auto"/>
        </w:rPr>
        <w:t>For example, on September 16, 2011, the Leahy-Smith America Invents Act (the “Leahy-Smith Act”) was signed into law. The Leahy-Smith Act included a number of significant changes to United States patent law. These included provisions that affect the way patent applications are prosecuted and also affect patent litigation. The USPTO has developed new and untested regulations and procedures to govern the full implementation of the Leahy-Smith Act, and many of the substantive changes to patent law associated with the Leahy-Smith Act, and in particular, the first to file provisions, became effective in March 2013. The Leahy-Smith Act has also introduced procedures making it easier for third parties to challenge issued patents, as well as to intervene in the prosecution of patent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77" w:name="page78"/>
    <w:bookmarkEnd w:id="77"/>
    <w:p>
      <w:pPr>
        <w:jc w:val="both"/>
        <w:spacing w:after="0" w:line="242" w:lineRule="auto"/>
        <w:rPr>
          <w:sz w:val="20"/>
          <w:szCs w:val="20"/>
          <w:color w:val="auto"/>
        </w:rPr>
      </w:pPr>
      <w:r>
        <w:rPr>
          <w:rFonts w:ascii="Times New Roman" w:cs="Times New Roman" w:eastAsia="Times New Roman" w:hAnsi="Times New Roman"/>
          <w:sz w:val="18"/>
          <w:szCs w:val="18"/>
          <w:color w:val="auto"/>
        </w:rPr>
        <w:t xml:space="preserve">applications. These include allowing third-party submission of prior art to the USPTO during patent prosecution and additional procedures to challenge the validity of a patent by USPTO administered post-grant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Finally, the Leahy-Smith Act contained new statutory provisions that require the USPTO to issue new regulations for their implementation, and it may take the courts years to interpret the provisions of the new statute. The Leahy-Smith Act and its implementation could increase the uncertainties and costs surrounding the prosecution of our patent applications and the enforcement or defense of our future patents. Further,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United States Congress, the federal courts and the USPTO, the laws and regulations governing patents could change in unpredictable ways that would weaken our ability to obtain new patents or to enforce patents that we have owned or licensed or that we might obtain in the future. An inability to obtain, enforce, and defend patents covering our proprietary technologies would materially and adversely affect our business prospects and financial condition.</w:t>
      </w:r>
    </w:p>
    <w:p>
      <w:pPr>
        <w:spacing w:after="0" w:line="94"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Similarly, changes in patent laws and regulations in other countries or jurisdictions, changes in the governmental bodies that enforce them or changes in how the relevant governmental authority enforces patent laws or regulations may weaken our ability to obtain new patents or to enforce patents that we may obtain in the future. 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For example, if the issuance in a given country of a patent covering an invention is not followed by the issuance in other countries of patents covering the same invention, or if any judicial interpretation of the validity, enforceability or scope of the claims or the written description or enablement, in a patent issued in one country is not similar to the interpretation given to the corresponding patent issued in another country, our ability to protect our intellectual property in those countries may be limited. Changes in either patent laws or in interpretations of patent laws in the United States and other countries may materially diminish the value of our intellectual property or narrow the scope of our patent protection.</w:t>
      </w:r>
    </w:p>
    <w:p>
      <w:pPr>
        <w:spacing w:after="0" w:line="8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future patents, the patents of our licensors or our other intellectual property or proprietary rights, which could be expensive, time consuming and unsuccessful and our future issued patents and the patents of our licensors covering our product candidates could be found invalid or unenforceable.</w:t>
      </w:r>
    </w:p>
    <w:p>
      <w:pPr>
        <w:spacing w:after="0" w:line="81"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Competitors or other third parties may infringe, misappropriate or otherwise violate the patents of our licensors or any patents issued as a result of our pending or future patent applications. To counter infringement, misappropriation or unauthorized use, we may be required to file infringement claims, which can be expensive and time-consuming. In addition, in an infringement proceeding, a court may decide that a patent of ours or our licensors is not valid, is unenforceable or is not infringed, or may refuse to stop the other party in such infringement proceeding from using the technology at issue on the grounds that our patents do not cover the technology in question. An adverse result in any litigation or defense proceedings could put one or more of our licensed or future owned patents at risk of being invalidated, held unenforceable or interpreted narrowly, and could put any of our owned or licensed patent applications at risk of not yielding an issued patent.</w:t>
      </w:r>
    </w:p>
    <w:p>
      <w:pPr>
        <w:spacing w:after="0" w:line="92"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 xml:space="preserve">If we initiate legal proceedings against a third party to enforce a patent covering one of our product candidates, the defendant could counterclaim that the patent covering our product or product candidate is invalid and/or unenforceable. In patent litigation in the United States, counterclaims alleging invalidity and/or unenforceability are common, and there are numerous grounds upon which a third party can assert invalidity or unenforceability of a patent.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re-examination, post 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equivalent proceedings in foreign jurisdictions (for example, opposition proceedings, nullity proceedings or litigation or invalidation trials or invalidation proceedings). Such proceedings could result in revocation of or amendment to our future patents in such a way that they no longer cover our product candidates or prevent third parties from competing with our product candidates. The outcome following legal assertions of invalidity and unenforceability is unpredictable. With respect to the validity of our patent applications, should they issue as patents, for example, we cannot be certain that there is no invalidating prior art of which we, our patent counsel, and the patent examiner were unaware during prosecution. If a defendant were to prevail on a legal assertion of invalidity and/or unenforceability, we would lose at least part, and perhaps all, of the patent protection on our product candidates.</w:t>
      </w:r>
    </w:p>
    <w:p>
      <w:pPr>
        <w:spacing w:after="0" w:line="92"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Interference or derivation proceedings provoked by third parties or brought by us may be necessary to determine the priority of inventions or inventorship (and possibly also ownership) of inventions with respect to our patent applications or resulting patents, or patent applications or resulting patents of third parties. For example, we were notified in October 2020 that a third party claimed that one of its employees should be listed as an inventor on certain of our patent applications claiming SARS-COV-2 binding antibodies or their preparation; however, we believe such claim, if valid, would be limited to only a predecessor antibody to adintrevimab and, in any event, is without merit. The entity that assigned to us the relevant patent applications is required to indemnify us with respect to any potential financial ramifications relating to this claim. However, an unfavorable outcome in this claim or any other inventorship or</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78" w:name="page79"/>
    <w:bookmarkEnd w:id="78"/>
    <w:p>
      <w:pPr>
        <w:jc w:val="both"/>
        <w:spacing w:after="0" w:line="242" w:lineRule="auto"/>
        <w:rPr>
          <w:sz w:val="20"/>
          <w:szCs w:val="20"/>
          <w:color w:val="auto"/>
        </w:rPr>
      </w:pPr>
      <w:r>
        <w:rPr>
          <w:rFonts w:ascii="Times New Roman" w:cs="Times New Roman" w:eastAsia="Times New Roman" w:hAnsi="Times New Roman"/>
          <w:sz w:val="18"/>
          <w:szCs w:val="18"/>
          <w:color w:val="auto"/>
        </w:rPr>
        <w:t>ownership dispute could result in the loss of our exclusive rights in our technology and the associated intellectual property rights, require us to cease using the related technology or force us to take a license under the patent rights of the prevailing party, if available. Furthermore, our business could be harmed if the prevailing party does not offer us a license on commercially reasonable terms. Furthermore, any successful claim of inventorship by a third party could result in the loss of priority for our patent applications, potentially resulting in subsequently filed third-party patent applications having priority over our patent applications and thereby precluding our ability to obtain patent protection for the inventions claimed in our patent applications. Our defense of litigation or interference proceedings may fail and, even if successful, may result in substantial costs and distract our management and other employees. We may not be able to prevent, alone or with our licensors, infringement, misappropriation or other violations of our intellectual property rights, particularly in countries where the laws may not protect those rights as fully as in the United States. For the patents and patent applications that we have licensed, we may have limited or no right to participate in the defense of any licensed patents against challenge by a third party. An adverse result in any litigation or defense proceedings could put one or more of our or our licensors’ patents at risk of being invalidated or interpreted narrowly, could put our patent applications at risk of not issuing and could have a material adverse impact on our business.</w:t>
      </w:r>
    </w:p>
    <w:p>
      <w:pPr>
        <w:spacing w:after="0" w:line="94"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There could also be public announcements of the results of hearings, motions, or other interim proceedings or developments. If securities analysts or investors perceive these results to be negative, it could have a material adverse effect on the price of our common stock. Any of the foregoing could materially adversely affect our business, results of operations and financial condition.</w:t>
      </w:r>
    </w:p>
    <w:p>
      <w:pPr>
        <w:spacing w:after="0" w:line="69"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63"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 For example, WuXi has provided only high-level information to us identifying the general nature of the licensed control elements in the expression vector used in the production cell line starting material for adintrevimab manufacturing. Details of the expression technology have not been provided, nor has there been sufficient information provided to enable a freedom-to-operate assessment of the expression technology. We therefore cannot be sure that we have licensed all intellectual property rights that are relevant to or necessary for the commercialization of our product candidates, and a third party may claim that our development or commercialization of our product candidates infringes its intellectual property rights. We could be required to acquire or obtain a license to such intellectual property from such third parties, and we may be unable to do so on commercially reasonable terms or at all. If we are unable to successfully obtain rights to required third-party intellectual property rights, we may be required to redesign our manufacturing process for our product candidates, which may not be feasible on a technical or commercial basis in a timely manner, and we may have to delay or abandon development of our product candidates, which could have a material adverse effect on our business.</w:t>
      </w:r>
    </w:p>
    <w:p>
      <w:pPr>
        <w:spacing w:after="0" w:line="84"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8"/>
          <w:szCs w:val="18"/>
          <w:color w:val="auto"/>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product candidates. Our failure to identify and correctly interpret relevant third-party patents may negatively impact our ability to develop and market our products.</w:t>
      </w:r>
    </w:p>
    <w:p>
      <w:pPr>
        <w:spacing w:after="0" w:line="68"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unsuccessful in licensing or acquiring intellectual property from third parties that may be required to develop and commercialize our product candidates.</w:t>
      </w:r>
    </w:p>
    <w:p>
      <w:pPr>
        <w:spacing w:after="0" w:line="37"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A third party may hold intellectual property, including patent rights that are important or necessary to the development and commercialization of our product candidates. It may be necessary for us to use the patented or proprietary technology of third parties to commercialize our product candidates, in which case we would be required to acquire or obtain a license to such intellectual property from these third parties, and we may be unable to do so on commercially reasonable terms or at all.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Even if we are able to in-license any such necessary intellectual property, it could be on a non-exclusive basis, thereby giving our competitors and other third parties access to the same intellectual property licensed to us, and we also may be unable to license or acquire third-party intellectual</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79" w:name="page80"/>
    <w:bookmarkEnd w:id="79"/>
    <w:p>
      <w:pPr>
        <w:jc w:val="both"/>
        <w:spacing w:after="0" w:line="250" w:lineRule="auto"/>
        <w:rPr>
          <w:sz w:val="20"/>
          <w:szCs w:val="20"/>
          <w:color w:val="auto"/>
        </w:rPr>
      </w:pPr>
      <w:r>
        <w:rPr>
          <w:rFonts w:ascii="Times New Roman" w:cs="Times New Roman" w:eastAsia="Times New Roman" w:hAnsi="Times New Roman"/>
          <w:sz w:val="18"/>
          <w:szCs w:val="18"/>
          <w:color w:val="auto"/>
        </w:rPr>
        <w:t>property rights on terms that would allow us to make an appropriate return on our investment or at all. If we are unable to successfully obtain rights to required third-party intellectual property rights or maintain the existing intellectual property rights we have, we may be required to redesign our product candidates, which may not be feasible on a technical or commercial basis, and we may have to delay or abandon development of the relevant program or product candidate, which could have a material adverse effect on our business.</w:t>
      </w:r>
    </w:p>
    <w:p>
      <w:pPr>
        <w:spacing w:after="0" w:line="79" w:lineRule="exact"/>
        <w:rPr>
          <w:sz w:val="20"/>
          <w:szCs w:val="20"/>
          <w:color w:val="auto"/>
        </w:rPr>
      </w:pPr>
    </w:p>
    <w:p>
      <w:pPr>
        <w:jc w:val="both"/>
        <w:ind w:right="20"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misappropriating or otherwise violating their intellectual property rights, the outcome of which would be uncertain.</w:t>
      </w:r>
    </w:p>
    <w:p>
      <w:pPr>
        <w:spacing w:after="0" w:line="50"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 xml:space="preserve">Our commercial success depends in part on our ability to develop, manufacture, market and sell our product candidates and use our proprietary technologies without infringing, misappropriating or otherwise violating the patents, trademarks, and proprietary rights of third parties. As our product candidates progress toward commercialization, the possibility of a patent infringement claim against us increases. There is a substantial amount of litigation involving patents, trademarks, and other intellectual property rights in the biotechnology and pharmaceutical industries, including infringement lawsuits, interferences, derivation proceedings, post grant reviews,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reviews, and reexamination proceedings before the USPTO or oppositions and other comparable proceedings in foreign jurisdictions. Numerous United States and foreign issued patents and pending patent applications, which are owned by third parties, exist in the fields in which we are developing product candidates, and there may be third-party patents or patent applications with claims to materials, formulations, methods of manufacture or methods for treatment related to the use or manufacture of our product candidates and technologies. Third parties, including our competitors may initiate legal proceedings against us alleging that we are infringing, misappropriating or otherwise violating their patents, trademarks, or other intellectual property rights.</w:t>
      </w:r>
    </w:p>
    <w:p>
      <w:pPr>
        <w:spacing w:after="0" w:line="78"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 xml:space="preserve">We cannot provide any assurance that our product candidates do not infringe, misappropriate or otherwise violate other parties’ patents, trademarks, or other proprietary rights, and competitors or other parties may assert that we infringe, misappropriate or otherwise violate their proprietary rights in any event. We may become party to, or threatened with, adversarial proceedings or litigation regarding intellectual property rights with respect to our product candidates, including oppositions, interference proceedings, reexaminations,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derivation proceedings before the USPTO in the United States or any equivalent regulatory authority in other countries. Even if we believe such claims are without merit, a court of competent jurisdiction could hold that these third-party patents are valid, enforceable and infringed, which could have a negative impact on our ability to commercialize NVD200, adintrevimab or any future product candidates. In order to successfully challenge the validity of any United States patents asserted against us in federal court, we would need to overcome a presumption of validity. As this burden is high and requires us to present clear and convincing evidence as to the invalidity of any such United States patent claim, there is no assurance that a court of competent jurisdiction would agree with us and invalidate the claims of any such United States patent. Moreover, given the vast number of patents in our field of technology, we cannot be certain that we do not infringe existing patents or that we will not infringe patents that may be granted in the future.</w:t>
      </w:r>
    </w:p>
    <w:p>
      <w:pPr>
        <w:spacing w:after="0" w:line="94"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While we may decide to initiate proceedings to challenge the validity of these or other patents in the future, we may be unsuccessful, and courts or patent offices in the United States and abroad could uphold the validity of any such patent.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product candidates. Regardless of when filed, we may fail to identify relevant third-party patents or patent applications, or we may incorrectly conclude that a third-party patent is invalid or not infringed by our product candidates or activities. If a patent holder believes that one of our product candidates infringes its patent, the patent holder may sue us even if we have received patent protection for our technology. In addition, third parties may obtain patents in the future and claim that our product candidates or technologies infringe upon these patents. Moreover, we may face patent infringement claims from non-practicing entities that have no relevant drug revenue and against whom our own patent portfolio may thus have no deterrent effect. If a patent infringement suit were threatened or brought against us, we could be forced to stop or delay research, development, manufacturing or sales of the drug or product candidate that is the subject of the actual or threatened suit.</w:t>
      </w:r>
    </w:p>
    <w:p>
      <w:pPr>
        <w:spacing w:after="0" w:line="80"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If we are found to infringe, misappropriate or otherwise violate a third party’s valid intellectual property rights, we could be required to obtain a license from such third party to continue commercializing our product candidates. However, we may not be able to obtain any required license on commercially reasonable terms or at all. For example, companies that perceive us to be a competitor may be unwilling to assign or license rights to us. Even if a license can be obtained on acceptable terms, the rights may be non-exclusive, which could give our competitors access to the same technology or intellectual property rights licensed to us. If we fail to obtain a required license, we may be unable to effectively market product candidates based on our technology, which could limit our ability to generate revenue or achieve profitability and possibly prevent us from generating revenue sufficient to sustain our operations. Alternatively, we may need to redesign our infringing products, which may be impossible or require substantial time and monetary expenditure. Under certain circumstances, we could be forced, including by court orders, to cease developing, manufacturing and commercializing our product candidates. In addition, in any such proceeding or litigation, we could be found liable for substantial monetary damages, potentially including treble damages and attorneys’ fees, if we are found to have willfully infringed the patent at issue. We may also be required to indemnify collaborators or contractors against such claims. A finding of infringement, misappropriation or other violation of third-party intellectual property rights could prevent us from commercializing our product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80" w:name="page81"/>
    <w:bookmarkEnd w:id="80"/>
    <w:p>
      <w:pPr>
        <w:jc w:val="both"/>
        <w:spacing w:after="0" w:line="282" w:lineRule="auto"/>
        <w:rPr>
          <w:sz w:val="20"/>
          <w:szCs w:val="20"/>
          <w:color w:val="auto"/>
        </w:rPr>
      </w:pPr>
      <w:r>
        <w:rPr>
          <w:rFonts w:ascii="Times New Roman" w:cs="Times New Roman" w:eastAsia="Times New Roman" w:hAnsi="Times New Roman"/>
          <w:sz w:val="18"/>
          <w:szCs w:val="18"/>
          <w:color w:val="auto"/>
        </w:rPr>
        <w:t>candidates or force us to cease some of our business operations, which could harm our business. Any claims by third parties that we have misappropriated their confidential information or trade secrets could have a similar negative impact on our business.</w:t>
      </w:r>
    </w:p>
    <w:p>
      <w:pPr>
        <w:spacing w:after="0" w:line="40"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 In addition, the uncertainties associated with litigation could compromise our ability to raise the funds necessary to continue our clinical trials, continue our internal research programs or in-license needed technology.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have an adverse effect on the price of our common shares. Such litigation or proceedings could substantially increase our operating losses and reduce the resources available for development activities or any future sales, marketing or distribution activities.</w:t>
      </w:r>
    </w:p>
    <w:p>
      <w:pPr>
        <w:spacing w:after="0" w:line="74"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63"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We employ individuals who were previously employed at other biotechnology or biopharmaceutical companies, including our competitors or potential competitors. Although we try to ensure that our employees, consultants and advisors do not use the proprietary information or know-how of others in their work for us, we may be subject to claims that we or our employees, consultants, or independent contractors have inadvertently or otherwise used or disclosed intellectual property, including confidential information of our employees’ former employers or other third parties. We may also be subject to claims that former employers or other third parties have an ownership interest in our future patents. Litigation may be necessary to defend against these claims. If we fail in defending any such claims, in addition to paying monetary damages, we may lose valuable intellectual property rights or personnel. There is no guarantee of success in defending these claims, and even if we are successful, litigation could result in substantial cost and be a distraction to our management and other employees.</w:t>
      </w:r>
    </w:p>
    <w:p>
      <w:pPr>
        <w:spacing w:after="0" w:line="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future patents and other intellectual property.</w:t>
      </w:r>
    </w:p>
    <w:p>
      <w:pPr>
        <w:spacing w:after="0" w:line="121"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We may also be subject to claims that former employees, collaborators, or other third parties have an ownership interest in our patent applications, our future patents issued as a result of our pending or future applications, or other intellectual property. We may be subject to ownership disputes in the future arising, for example, from conflicting obligations of consultants or others who are involved in developing our product candidates. Although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and we cannot be certain that our agreements with such parties will be upheld in the face of a potential challenge, or that they will not be breached, for which we may not have an adequate remedy. The assignment of intellectual property rights may not be self-executing or the assignment agreements may be breached, and litigation may be necessary to enforce our rights or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80"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Reliance on third parties requires us to share our trade secrets, which increases the possibility that a competitor will discover them or that our trade secrets will be misappropriated or disclosed.</w:t>
      </w:r>
    </w:p>
    <w:p>
      <w:pPr>
        <w:spacing w:after="0" w:line="37"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We rely on third parties to manufacture our product candidates, and we collaborate with additional third parties for the development of such product candidates. We therefore must, at times, share trade secrets with them. We may also conduct joint research and development programs that may require us to share trade secrets under the terms of our research and development partnerships or similar agreements.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could have an adverse effect on our business and results of operations.</w:t>
      </w:r>
    </w:p>
    <w:p>
      <w:pPr>
        <w:spacing w:after="0" w:line="7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these agreements typically restrict the ability of our advisors, employees, third-party contractors and consultants to publish data potentially relating to our trade secrets. Despite our efforts to protect our trade secrets, we may not be able to prevent the unauthorized disclosure or use of our technical know-how or other trade secrets by the parties to these agreements. Moreover, we cannot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81" w:name="page82"/>
    <w:bookmarkEnd w:id="81"/>
    <w:p>
      <w:pPr>
        <w:jc w:val="both"/>
        <w:spacing w:after="0" w:line="246" w:lineRule="auto"/>
        <w:rPr>
          <w:sz w:val="20"/>
          <w:szCs w:val="20"/>
          <w:color w:val="auto"/>
        </w:rPr>
      </w:pPr>
      <w:r>
        <w:rPr>
          <w:rFonts w:ascii="Times New Roman" w:cs="Times New Roman" w:eastAsia="Times New Roman" w:hAnsi="Times New Roman"/>
          <w:sz w:val="18"/>
          <w:szCs w:val="18"/>
          <w:color w:val="auto"/>
        </w:rPr>
        <w:t>guarantee that we have entered into such agreements with each party that may have or have had access to our confidential information or proprietary technology and processes. Monitoring unauthorized uses and disclosures is difficult, and we do not know whether the steps we have taken to protect our proprietary technologies will be effective. If any of the collaborators, scientific advisors, employees, contractors and consultants who are parties to these agreements breaches or violates the terms of any of these agreements, we may not have adequate remedies for any such breach or violation, and we could lose our trade secrets as a result. Moreover, if confidential information that is licensed or disclosed to us by our partners, collaborators, or others is inadvertently disclosed or subject to a breach or violation, we may be exposed to liability to the owner of that confidential information. Enforcing a claim that a third party illegally obtained and is using our trade secrets, like patent litigation, is expensive and time-consuming, and the outcome is unpredictable. In addition, courts outside the United States are sometimes less willing to protect trade secrets.</w:t>
      </w:r>
    </w:p>
    <w:p>
      <w:pPr>
        <w:spacing w:after="0" w:line="67"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enjoy only limited geographical protection with respect to certain patents and we may not be able to protect our intellectual property rights throughout the world.</w:t>
      </w:r>
    </w:p>
    <w:p>
      <w:pPr>
        <w:spacing w:after="0" w:line="50"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Filing and prosecuting patent applications and defending patents covering our product candidates in all countries throughout the world would be prohibitively expensive. Competitors may use our technologies in jurisdictions where we or our licensors have not obtained patent protection to develop their own products and, further, may export otherwise infringing products to territories where we or our licensors have patent protection, but enforcement rights are not as strong as those in the United States or Europe. These products may compete with our product candidates, and our future patents or other intellectual property rights may not be effective or sufficient to prevent them from competing. Additionally, unforeseen global events such as the conflict between Russia and Ukraine, and sanctions relating to these events could affect our ability to file, prosecute, and defend patents and patent applications in those jurisdictions.</w:t>
      </w:r>
    </w:p>
    <w:p>
      <w:pPr>
        <w:spacing w:after="0" w:line="87"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In addition, we or our licensors may decide to abandon national and regional patent applications before they are granted. The examination of each national or regional patent application is an independent proceeding. As a result, patent applications in the same family may issue as patents in some jurisdictions, such as in the United States, but may issue as patents with claims of different scope or may even be refused in other jurisdictions. It is also quite common that depending on the country, the scope of patent protection may vary for the same product candidate or technology.</w:t>
      </w:r>
    </w:p>
    <w:p>
      <w:pPr>
        <w:spacing w:after="0" w:line="69"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 If we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w:t>
      </w:r>
    </w:p>
    <w:p>
      <w:pPr>
        <w:spacing w:after="0" w:line="87"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The laws of some jurisdictions do not protect intellectual property rights to the same extent as the laws or rules and regulations in the United States and Europe and many companies have encountered significant difficulties in protecting and defending such rights in such jurisdictions. The legal systems of certain countries, particularly certain developing countries, do not favor the enforcement of patents, trade secrets, and other intellectual property rights, especially those relating to life sciences, which could make it difficult for us to stop the infringement, misappropriation or other violation of our future patents or marketing of competing products in violation of our proprietary rights generally. For example, many countries limit the enforceability of patents against third parties, including government agencies or government contractors. In these countries, patents may provide limited or no benefit. Moreover, our and our licensors’ ability to protect and enforce our intellectual property rights may be adversely affected by unforeseen changes in foreign intellectual property laws.</w:t>
      </w:r>
    </w:p>
    <w:p>
      <w:pPr>
        <w:spacing w:after="0" w:line="78"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Proceedings to enforce our or our licensors’ patent rights in other jurisdictions, whether or not successful, could result in substantial costs and divert our efforts and attention from other aspects of our business, could put our future patents or the patents of our licensors at risk of being invalidated or interpreted narrowly and our patent applications or the patent applications of our licensors at risk of not issuing as patents, and could provoke third parties to assert claims against us. We and our licensors may not prevail in any lawsuits that we or our licensors initiate and the damages or other remedies awarded, if any, may not be commercially meaningful. Furthermore, while we intend to protect our intellectual property rights in our expected significant markets, we cannot ensure that we will be able to initiate or maintain similar efforts in all jurisdictions in which we may wish to market our product candidates. Accordingly, our efforts to enforce our intellectual property rights around the world may be inadequate to obtain a significant commercial advantage from the intellectual property that we develop or license from third parties.</w:t>
      </w:r>
    </w:p>
    <w:p>
      <w:pPr>
        <w:spacing w:after="0" w:line="92"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Some countries also have compulsory licensing laws under which a patent owner may be compelled to grant licenses to third parties. In addition, some countries limit the enforceability of patents against government agencies or government contractors. In those countries, the patent owner may have limited remedies, which could materially diminish the value of such patents. If we or our licensors are forced to grant a license to third parties with respect to any patents relevant to our business, our competitive position may be impaired and our business, financial condition, results of operations and prospects may be adversely affected.</w:t>
      </w:r>
    </w:p>
    <w:p>
      <w:pPr>
        <w:spacing w:after="0" w:line="73" w:lineRule="exact"/>
        <w:rPr>
          <w:sz w:val="20"/>
          <w:szCs w:val="20"/>
          <w:color w:val="auto"/>
        </w:rPr>
      </w:pPr>
    </w:p>
    <w:p>
      <w:pPr>
        <w:jc w:val="both"/>
        <w:ind w:right="20" w:firstLine="509"/>
        <w:spacing w:after="0" w:line="258" w:lineRule="auto"/>
        <w:rPr>
          <w:sz w:val="20"/>
          <w:szCs w:val="20"/>
          <w:color w:val="auto"/>
        </w:rPr>
      </w:pPr>
      <w:r>
        <w:rPr>
          <w:rFonts w:ascii="Times New Roman" w:cs="Times New Roman" w:eastAsia="Times New Roman" w:hAnsi="Times New Roman"/>
          <w:sz w:val="18"/>
          <w:szCs w:val="18"/>
          <w:color w:val="auto"/>
        </w:rPr>
        <w:t>For example, our license agreement with Biocon pursuant to which we will provide Biocon materials and know-how to manufacture and commercialize an antibody treatment based on adintrevimab in India and select emerging markets may also expose us to risks related to enforcement of our intellectual property rights.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82" w:name="page83"/>
    <w:bookmarkEnd w:id="82"/>
    <w:p>
      <w:pPr>
        <w:jc w:val="both"/>
        <w:ind w:firstLine="50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60"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 fees on patents and/or applications will be due to be paid to the USPTO and various government patent agencies outside of the United States over the lifetime of our owned and licensed patents and/or applications and any patent rights we may obtain in the future. Furthermore, the USPTO and various non-United States government patent agencies require compliance with several procedural, documentary, fee payment and other similar provisions during the patent application process. We employ reputable law firms and other professionals and rely on such third parties to help us comply with these requirements and effect payment of these fees with respect to the patent and patent applications that we own, and we rely upon our licensors to comply with these requirements and effect payment of these fees with respect to any patents and patent applications that we license. In many cases, an inadvertent lapse of a patent or patent application can be cured by payment of a late fee or by other means in accordance with the applicable rules. There are situations, however, in which non-compliance can result in abandonment or lapse of the patents or patent applications, resulting in partial or complete loss of patent rights in the relevant jurisdiction.</w:t>
      </w:r>
    </w:p>
    <w:p>
      <w:pPr>
        <w:spacing w:after="0" w:line="73"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Any trademarks we have obtained or may obtain may be infringed or otherwise violated, or successfully challenged, resulting in harm to our business.</w:t>
      </w:r>
    </w:p>
    <w:p>
      <w:pPr>
        <w:spacing w:after="0" w:line="63"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We expect to rely on trademarks as one means to distinguish our product candidates, if approved for marketing, from the drugs of our competitors. We also expect to rely on trademarks to protect our company name. Once we select new trademarks and apply to register them, our trademark applications may not be approved. Although we would be given an opportunity to respond to those rejections, we may be unable to overcome such rejections. We currently have trademark applications pending in the United States and in certain foreign jurisdictions, but we have no issued trademark registrations in the United States. Third parties may oppose or attempt to cancel our trademark applications or trademarks, or otherwise challenge our use of the trademarks. If we are found to infringe a third party’s trademark rights, we could be forced to rebrand our company or our drugs, which could result in loss of brand recognition and could require us to devote resources to advertising and marketing new brands. Our competitors may infringe or otherwise violate our trademarks and we may not have adequate resources to enforce our trademarks. Over the long term, if we are unable to establish name recognition based on our trademarks, then we may not be able to compete effectively, and our competitive position, business, financial condition, results of operations and prospects may be significantly harmed. Moreover, any name we propose to use with our product candidates in the United States must be approved by the FDA, regardless of whether we have registered it, or applied to register it, as a trademark. The FDA typically conducts a review of proposed product names, including an evaluation of potential for confusion with other product names. If the FDA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 Any of the foregoing events may have a material adverse effect on our business.</w:t>
      </w:r>
    </w:p>
    <w:p>
      <w:pPr>
        <w:spacing w:after="0" w:line="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competitive advantage.</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54" w:lineRule="exact"/>
        <w:rPr>
          <w:sz w:val="20"/>
          <w:szCs w:val="20"/>
          <w:color w:val="auto"/>
        </w:rPr>
      </w:pPr>
    </w:p>
    <w:p>
      <w:pPr>
        <w:ind w:left="1140" w:hanging="504"/>
        <w:spacing w:after="0" w:line="282" w:lineRule="auto"/>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or otherwise competitive with our product candidates but that are not covered by the claims of any of our patents, should they issue;</w:t>
      </w:r>
    </w:p>
    <w:p>
      <w:pPr>
        <w:spacing w:after="0" w:line="40" w:lineRule="exact"/>
        <w:rPr>
          <w:rFonts w:ascii="Times New Roman" w:cs="Times New Roman" w:eastAsia="Times New Roman" w:hAnsi="Times New Roman"/>
          <w:sz w:val="18"/>
          <w:szCs w:val="18"/>
          <w:color w:val="auto"/>
        </w:rPr>
      </w:pPr>
    </w:p>
    <w:p>
      <w:pPr>
        <w:ind w:left="1140" w:right="20" w:hanging="504"/>
        <w:spacing w:after="0" w:line="266" w:lineRule="auto"/>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in-license necessary for the manufacture, use, sale, offer for sale or importation of one or more of our product candidates may be terminated by the licensor;</w:t>
      </w:r>
    </w:p>
    <w:p>
      <w:pPr>
        <w:spacing w:after="0" w:line="67"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collaborators might not have been the first to make the inventions covered by our future issued patents or our pending patent applications;</w:t>
      </w:r>
    </w:p>
    <w:p>
      <w:pPr>
        <w:spacing w:after="0" w:line="54"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collaborators might not have been the first to file patent applications covering certain of our inventions;</w:t>
      </w:r>
    </w:p>
    <w:p>
      <w:pPr>
        <w:spacing w:after="0" w:line="117"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misappropriating or otherwise violating our intellectual property rights;</w:t>
      </w:r>
    </w:p>
    <w:p>
      <w:pPr>
        <w:spacing w:after="0" w:line="54"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will not lead to issued patents;</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in-license may be held invalid or unenforceable as a result of legal challenges by our competitors;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in-license may not provide coverage for all aspects of our product candidates in all countries;</w:t>
      </w:r>
    </w:p>
    <w:p>
      <w:pPr>
        <w:spacing w:after="0" w:line="103"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the United States and other countries that provide a safe harbor from patent infringement claims for certain research and development activities, as well as in countries where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83" w:name="page84"/>
    <w:bookmarkEnd w:id="83"/>
    <w:p>
      <w:pPr>
        <w:ind w:left="1140"/>
        <w:spacing w:after="0" w:line="282" w:lineRule="auto"/>
        <w:rPr>
          <w:sz w:val="20"/>
          <w:szCs w:val="20"/>
          <w:color w:val="auto"/>
        </w:rPr>
      </w:pPr>
      <w:r>
        <w:rPr>
          <w:rFonts w:ascii="Times New Roman" w:cs="Times New Roman" w:eastAsia="Times New Roman" w:hAnsi="Times New Roman"/>
          <w:sz w:val="18"/>
          <w:szCs w:val="18"/>
          <w:color w:val="auto"/>
        </w:rPr>
        <w:t>we do not have patent rights and then use the information learned from such activities to develop competitive products for sale in our major commercial markets;</w:t>
      </w:r>
    </w:p>
    <w:p>
      <w:pPr>
        <w:spacing w:after="0" w:line="40" w:lineRule="exact"/>
        <w:rPr>
          <w:sz w:val="20"/>
          <w:szCs w:val="20"/>
          <w:color w:val="auto"/>
        </w:rPr>
      </w:pPr>
    </w:p>
    <w:p>
      <w:pPr>
        <w:ind w:left="1140" w:hanging="504"/>
        <w:spacing w:after="0"/>
        <w:tabs>
          <w:tab w:leader="none" w:pos="11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 and</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results of operations and prospects.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and Regulatory Compliance Matters</w:t>
      </w:r>
    </w:p>
    <w:p>
      <w:pPr>
        <w:spacing w:after="0" w:line="104"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healthcare providers, including physicians, and third-party payors are subject, directly or indirectly, to federal and state healthcare fraud and abuse laws, false claims laws, and other healthcare laws and regulations. If we are unable to comply, or have not fully complied, with such laws, we could face substantial penalties.</w:t>
      </w:r>
    </w:p>
    <w:p>
      <w:pPr>
        <w:spacing w:after="0" w:line="60"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Healthcare providers, including physicians, and third-party payors in the United States and elsewhere will play a primary role in the recommendation and prescription of any product candidates for which we obtain marketing approval. Our current and future arrangements with healthcare professionals, principal investigators, consultants, customers and third-party payors subject us to various federal and state fraud and abuse laws and other healthcare laws, including, without limitation, the federal Anti-Kickback Statute, the federal civil and criminal false claims laws and the law commonly referred to as the Physician Payments Sunshine Act and regulations promulgated under such laws. These laws will impact, among other things, our clinical research, proposed sales, marketing and educational programs, and other interactions with healthcare professionals. In addition, we may be subject to patient privacy laws by both the federal government and the states in which we conduct or may conduct our business. The laws that will affect our operations include, but are not limited to:</w:t>
      </w:r>
    </w:p>
    <w:p>
      <w:pPr>
        <w:spacing w:after="0" w:line="78" w:lineRule="exact"/>
        <w:rPr>
          <w:sz w:val="20"/>
          <w:szCs w:val="20"/>
          <w:color w:val="auto"/>
        </w:rPr>
      </w:pPr>
    </w:p>
    <w:p>
      <w:pPr>
        <w:jc w:val="both"/>
        <w:ind w:left="1140" w:hanging="504"/>
        <w:spacing w:after="0" w:line="221" w:lineRule="auto"/>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individuals or entities from knowingly and willfully soliciting, receiving, offering or paying any remuneration (including any kickback, bribe or rebate), directly or indirectly, overtly or covertly, in cash or in kind in return for, or to induce, either the referral of an individual, or the purchase, lease, order or arrangement for or recommendation of the purchase, lease, order or arrangement for any good, facility, item or service for which payment may be made, in whole or in part, under a federal healthcare program, such as the Medicare and Medicaid programs. The term “remuneration” has been broadly interpreted to include anything of value.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qualify for an exception or safe harbor. A person does not need to have actual knowledge of this statute or specific intent to violate it in order to have committed a violation;</w:t>
      </w:r>
    </w:p>
    <w:p>
      <w:pPr>
        <w:spacing w:after="0" w:line="51" w:lineRule="exact"/>
        <w:rPr>
          <w:rFonts w:ascii="Times New Roman" w:cs="Times New Roman" w:eastAsia="Times New Roman" w:hAnsi="Times New Roman"/>
          <w:sz w:val="18"/>
          <w:szCs w:val="18"/>
          <w:color w:val="auto"/>
        </w:rPr>
      </w:pPr>
    </w:p>
    <w:p>
      <w:pPr>
        <w:jc w:val="both"/>
        <w:ind w:left="1140" w:hanging="504"/>
        <w:spacing w:after="0" w:line="221" w:lineRule="auto"/>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including, without limitation, the federal False Claims Act, which can be enforced by private citizens through civil whistleblower or qui tam actions, and civil monetary penalty laws which prohibit, among other things, individuals or entities from knowingly presenting, or causing to be presented, claims for payment or approval from the federal government, including Medicare, Medicaid and other government payors, that are false or fraudulent or knowingly making, using or causing to be made or used a false record or statement material to a false or fraudulent claim or to avoid, decrease or conceal an obligation to pay money to the federal government. A claim includes “any request or demand” for money or property presented to the United States federal government. Several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products for unapproved, and thus non-reimbursable, uses. In addition, the government may assert that a claim, including items or services resulting from a violation of the federal Anti-Kickback Statute constitutes a false or fraudulent claim for purposes of the federal False Claims Act;</w:t>
      </w:r>
    </w:p>
    <w:p>
      <w:pPr>
        <w:spacing w:after="0" w:line="63" w:lineRule="exact"/>
        <w:rPr>
          <w:rFonts w:ascii="Times New Roman" w:cs="Times New Roman" w:eastAsia="Times New Roman" w:hAnsi="Times New Roman"/>
          <w:sz w:val="18"/>
          <w:szCs w:val="18"/>
          <w:color w:val="auto"/>
        </w:rPr>
      </w:pPr>
    </w:p>
    <w:p>
      <w:pPr>
        <w:jc w:val="both"/>
        <w:ind w:left="1140" w:hanging="504"/>
        <w:spacing w:after="0" w:line="224" w:lineRule="auto"/>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and their implementing regulations, also imposes obligations, including mandatory contractual terms, on “covered entities,” including certain healthcare providers, health plans, healthcare clearinghouses, and their respective “business associates,” that create, receive, maintain or transmit individually identifiable health information for or on behalf of a covered entity as well as their covered subcontractors, with respect to safeguarding the privacy, security and transmission of individually identifiable health information, as well as analogous state and foreign laws that govern the privacy and security of health information in some circumstances, many of which differ from each other in significant ways and often are not preempted by HIPAA, thus complicating compliance efforts;</w:t>
      </w:r>
    </w:p>
    <w:p>
      <w:pPr>
        <w:spacing w:after="0" w:line="65" w:lineRule="exact"/>
        <w:rPr>
          <w:rFonts w:ascii="Times New Roman" w:cs="Times New Roman" w:eastAsia="Times New Roman" w:hAnsi="Times New Roman"/>
          <w:sz w:val="18"/>
          <w:szCs w:val="18"/>
          <w:color w:val="auto"/>
        </w:rPr>
      </w:pPr>
    </w:p>
    <w:p>
      <w:pPr>
        <w:jc w:val="both"/>
        <w:ind w:left="1140" w:hanging="504"/>
        <w:spacing w:after="0" w:line="222" w:lineRule="auto"/>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created additional federal criminal statutes which prohibit, among other things, a person from knowingly and willfully executing, or attempting to execute,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84" w:name="page85"/>
    <w:bookmarkEnd w:id="84"/>
    <w:p>
      <w:pPr>
        <w:jc w:val="both"/>
        <w:ind w:left="1140" w:hanging="504"/>
        <w:spacing w:after="0" w:line="225" w:lineRule="auto"/>
        <w:tabs>
          <w:tab w:leader="none" w:pos="11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laws, including the federal Physician Payments Sunshine Act, which requires certain manufacturers of drugs, medical devices, biologicals and medical supplies for which payment is available under Medicare, Medicaid or the State Children’s Health Insurance Program, with specific exceptions, to report annually to CMS, information related to: (i) payments or other “transfers of value’’ made to physicians (defined to include doctors, dentists, optometrists, podiatrists and chiropractors), other healthcare professionals (such as physician assistants and nurse practitioners) and teaching hospitals, and (ii) ownership and investment interests held by physicians and their immediate family members; and</w:t>
      </w:r>
    </w:p>
    <w:p>
      <w:pPr>
        <w:spacing w:after="0" w:line="77" w:lineRule="exact"/>
        <w:rPr>
          <w:rFonts w:ascii="Times New Roman" w:cs="Times New Roman" w:eastAsia="Times New Roman" w:hAnsi="Times New Roman"/>
          <w:sz w:val="18"/>
          <w:szCs w:val="18"/>
          <w:color w:val="auto"/>
        </w:rPr>
      </w:pPr>
    </w:p>
    <w:p>
      <w:pPr>
        <w:jc w:val="both"/>
        <w:ind w:left="1140" w:hanging="504"/>
        <w:spacing w:after="0" w:line="246" w:lineRule="auto"/>
        <w:tabs>
          <w:tab w:leader="none" w:pos="11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state laws that require manufacturers to report information related to payments and other transfers of value to physicians and other healthcare providers, marketing expenditures or drug pricing; state laws that require pharmaceutical companies to comply with the pharmaceutical industry’s voluntary compliance guidelines and the relevant compliance guidance promulgated by the federal government, or that otherwise restrict payments that may be made to healthcare providers; and state and local laws that require the registration of pharmaceutical sales representatives.</w:t>
      </w:r>
    </w:p>
    <w:p>
      <w:pPr>
        <w:spacing w:after="0" w:line="87"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regulatory safe harbors available, it is possible that some of our business activities could be subject to challenge under one or more of such laws.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without limitation, civil, criminal and administrative penalties, damages, fines, disgorgement, imprisonment, exclusion from participating in federal and state funded healthcare programs, such as Medicare and Medicaid, additional reporting requirements and oversight if we become subject to a corporate integrity agreement or similar agreement to resolve allegations of non-compliance with these laws, contractual damages, diminished profits and future earnings, reputational harm and the curtailment or restructuring of our operations, any of which could harm our business.</w:t>
      </w:r>
    </w:p>
    <w:p>
      <w:pPr>
        <w:spacing w:after="0" w:line="79"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8"/>
          <w:szCs w:val="18"/>
          <w:color w:val="auto"/>
        </w:rPr>
        <w:t>The risk of our being found in violation of these laws is increased by the fact that many of them have not been fully interpreted by the regulatory authorities or the courts, and their provisions are open to a variety of interpretations. Efforts to ensure that our business arrangements with third parties will comply with applicable healthcare laws and regulations will involve substantial costs.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and/or reporting requirements increases the possibility that a healthcare company may run afoul of one or more of the requirements.</w:t>
      </w:r>
    </w:p>
    <w:p>
      <w:pPr>
        <w:spacing w:after="0" w:line="68"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 for a product candidate, such products will remain subject to ongoing regulatory oversight, which may result in significant additional expense.</w:t>
      </w:r>
    </w:p>
    <w:p>
      <w:pPr>
        <w:spacing w:after="0" w:line="37"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Even if we obtain any regulatory approval for NVD200, adintrevimab or any future product candidates, they will be subject to ongoing regulatory requirements applicable to manufacturing, labeling, packaging, storage, advertising, promoting, sampling, record-keeping and submission of safety and other post-market information, among other things. Any regulatory approvals that we receive for a product candidate may also be subject to a REMS, limitations on the approved indicated uses for which the drug may be marketed or to the conditions of approval, or requirements that we conduct potentially costly post-marketing testing and surveillance studies, including Phase 4 trials and surveillance to monitor the quality, safety and efficacy of the drug. An unsuccessful post-marketing study or failure to complete such a study could result in the withdrawal of marketing approval. We will further be required to immediately report any serious and unexpected adverse events and certain quality or production problems with our products to regulatory authorities along with other periodic reports.</w:t>
      </w:r>
    </w:p>
    <w:p>
      <w:pPr>
        <w:spacing w:after="0" w:line="78"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Any new legislation addressing drug safety issues could result in delays in product development or commercialization, or increased costs to assure compliance. We will also have to comply with requirements concerning advertising and promotion for our products. Promotional communications with respect to prescription drug products are subject to a variety of legal and regulatory restrictions and must be consistent with the information in the product’s approved label. As such, we will not be allowed to promote our products for indications or uses for which they do not have approval, commonly known as off-label promotion. The holder of an approved BLA must submit new or supplemental applications and obtain prior approval for certain changes to the approved product, product labeling, or manufacturing process. A company that is found to have improperly promoted off-label uses of their products may be subject to significant civil, criminal and administrative penalties.</w:t>
      </w:r>
    </w:p>
    <w:p>
      <w:pPr>
        <w:spacing w:after="0" w:line="87"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In addition, drug manufacturers are subject to payment of user fees and continual review and periodic inspections by the FDA and other regulatory authorities for compliance with cGMP requirements and adherence to commitments made in the BLA or foreign marketing application. If we, or a regulatory authority, discover previously unknown problems with a drug, such as adverse events of unanticipated severity or frequency, or problems with the facility where the drug is manufactured or if a regulatory authority disagrees with the promotion, marketing or labeling of that drug, a regulatory authority may impose restrictions relative to that drug, the manufacturing facility or us, including requesting a recall or requiring withdrawal of the drug from the market or suspension of manufacturing.</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85" w:name="page86"/>
    <w:bookmarkEnd w:id="85"/>
    <w:p>
      <w:pPr>
        <w:ind w:left="520"/>
        <w:spacing w:after="0"/>
        <w:rPr>
          <w:sz w:val="20"/>
          <w:szCs w:val="20"/>
          <w:color w:val="auto"/>
        </w:rPr>
      </w:pPr>
      <w:r>
        <w:rPr>
          <w:rFonts w:ascii="Times New Roman" w:cs="Times New Roman" w:eastAsia="Times New Roman" w:hAnsi="Times New Roman"/>
          <w:sz w:val="18"/>
          <w:szCs w:val="18"/>
          <w:color w:val="auto"/>
        </w:rPr>
        <w:t>If we fail to comply with applicable regulatory requirements following approval of a product candidate, a regulatory authority may:</w:t>
      </w:r>
    </w:p>
    <w:p>
      <w:pPr>
        <w:spacing w:after="0" w:line="117" w:lineRule="exact"/>
        <w:rPr>
          <w:sz w:val="20"/>
          <w:szCs w:val="20"/>
          <w:color w:val="auto"/>
        </w:rPr>
      </w:pPr>
    </w:p>
    <w:p>
      <w:pPr>
        <w:ind w:left="1140" w:hanging="504"/>
        <w:spacing w:after="0"/>
        <w:tabs>
          <w:tab w:leader="none" w:pos="11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an untitled letter or warning letter asserting that we are in violation of the law;</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 injunction or impose administrative, civil or criminal penalties or monetary fines;</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withdraw regulatory approval;</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any ongoing clinical trials;</w:t>
      </w:r>
    </w:p>
    <w:p>
      <w:pPr>
        <w:spacing w:after="0" w:line="103" w:lineRule="exact"/>
        <w:rPr>
          <w:rFonts w:ascii="Times New Roman" w:cs="Times New Roman" w:eastAsia="Times New Roman" w:hAnsi="Times New Roman"/>
          <w:sz w:val="18"/>
          <w:szCs w:val="18"/>
          <w:color w:val="auto"/>
        </w:rPr>
      </w:pPr>
    </w:p>
    <w:p>
      <w:pPr>
        <w:ind w:left="1140" w:right="20" w:hanging="504"/>
        <w:spacing w:after="0" w:line="266" w:lineRule="auto"/>
        <w:tabs>
          <w:tab w:leader="none" w:pos="11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a pending marketing application or supplement to an approved application or comparable foreign marketing application (or any supplements thereto) submitted by us or our strategic partners;</w:t>
      </w:r>
    </w:p>
    <w:p>
      <w:pPr>
        <w:spacing w:after="0" w:line="6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the marketing or manufacturing of the drug;</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the drug or otherwise require the withdrawal of the drug from the market;</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permit the import or export of products or product candidates; or</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allow us to enter into supply contracts, including government contracts.</w:t>
      </w:r>
    </w:p>
    <w:p>
      <w:pPr>
        <w:spacing w:after="0" w:line="117"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NVD200, adintrevimab or any future product candidates and harm our business, financial condition, results of operations and prospects.</w:t>
      </w:r>
    </w:p>
    <w:p>
      <w:pPr>
        <w:spacing w:after="0" w:line="78"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Even if we obtain authorization under an EUA or FDA or EMA approval any of our product candidates in the United States or European Union, we may never obtain approval for or commercialize any of them in any other jurisdiction, which would limit our ability to realize their full market potential.</w:t>
      </w:r>
    </w:p>
    <w:p>
      <w:pPr>
        <w:spacing w:after="0" w:line="81"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In order to market any products in any particular jurisdiction, we must establish and comply with numerous and varying regulatory requirements on a country-by-country basis regarding safety and efficacy. In addition, in order to distribute NVD200, adintrevimab or any future product candidates, if authorized under an EUA, we will need to secure and maintain required state licenses.</w:t>
      </w:r>
    </w:p>
    <w:p>
      <w:pPr>
        <w:spacing w:after="0" w:line="82"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Approval by the FDA in the United States or the EMA in the European Union does not ensure approval by regulatory authorities in other countries or jurisdictions. However, the failure to obtain approval in one jurisdiction may negatively impact our ability to obtain approval elsewhere. In addition, clinical trials conducted in one country may not be accepted by regulatory authorities in other countries, and regulatory approval in one country does not guarantee regulatory approval in any other country.</w:t>
      </w:r>
    </w:p>
    <w:p>
      <w:pPr>
        <w:spacing w:after="0" w:line="69"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Approval processes vary among countries and can involve additional product testing and validation and additional administrative review periods. Seeking foreign regulatory approval could result in difficulties and increased costs for us and require additional preclinical studies or clinical trials which could be costly and time consuming. Regulatory requirements can vary widely from country to country and could delay or prevent the introduction of our products in those countries. We do not have any product candidates approved for sale in any jurisdiction, including in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any product we develop will be unrealized.</w:t>
      </w:r>
    </w:p>
    <w:p>
      <w:pPr>
        <w:spacing w:after="0" w:line="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or regulatory reform measures may have a negative impact on our business and results of operations.</w:t>
      </w:r>
    </w:p>
    <w:p>
      <w:pPr>
        <w:spacing w:after="0" w:line="10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continue to be, several legislative and regulatory changes and proposed changes regarding the healthcare system that could prevent or delay marketing approval of product candidates, restrict or regulate post-approval activities, and affect our ability to profitably sell any product candidates for which we obtain marketing approval.</w:t>
      </w:r>
    </w:p>
    <w:p>
      <w:pPr>
        <w:spacing w:after="0" w:line="61"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In March 2010, the ACA was passed, which substantially changed the way healthcare is financed by both the government and private insurers and significantly impacts the United States pharmaceutical industry. The ACA, among other things contains a number of provisions of particular import to the pharmaceutical and biotechnology industries, including, but not limited to, those governing enrollment in federal healthcare programs, a new methodology by which rebates owed by manufacturers under the Medicaid Drug Rebate Program are calculated for drugs that are inhaled, infused, instilled, implanted or injected, and annual fees based on pharmaceutical companies’ share of sales to federal healthcare programs.</w:t>
      </w:r>
    </w:p>
    <w:p>
      <w:pPr>
        <w:spacing w:after="0" w:line="92"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There have been executive, judicial and congressional challenges to certain aspects of the ACA as well as efforts to modify them or alter their interpretation or implementation. While the United States Congress has not passed comprehensive repeal legislation, several bills affecting the implementation of certain taxes under the ACA have been signed into law. The Tax Cuts and Jobs Act of 2017 (the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86" w:name="page87"/>
    <w:bookmarkEnd w:id="86"/>
    <w:p>
      <w:pPr>
        <w:jc w:val="both"/>
        <w:spacing w:after="0" w:line="243" w:lineRule="auto"/>
        <w:rPr>
          <w:sz w:val="20"/>
          <w:szCs w:val="20"/>
          <w:color w:val="auto"/>
        </w:rPr>
      </w:pPr>
      <w:r>
        <w:rPr>
          <w:rFonts w:ascii="Times New Roman" w:cs="Times New Roman" w:eastAsia="Times New Roman" w:hAnsi="Times New Roman"/>
          <w:sz w:val="18"/>
          <w:szCs w:val="18"/>
          <w:color w:val="auto"/>
        </w:rPr>
        <w:t>“Tax Act”) included a provision that repealed, effective January 1, 2019, the tax-based shared responsibility payment imposed by the ACA on certain individuals who fail to maintain qualifying health coverage for all or part of a year that is commonly referred to as the “individual mandate.” In addition, the 2020 federal spending package permanently eliminated, effective January 1, 2020, the ACA-mandated “Cadillac” tax on high-cost employer-sponsored health coverage and medical device tax and, effective January 1, 2021, also eliminated the health insurer tax. The Bipartisan Budget Act of 2018 (the “BBA”) among other things, amended the ACA, effective January 1, 2019, to close the coverage gap in most Medicare drug plans, commonly referred to as the “donut hole.” On June 17, 2021, the U.S. Supreme Court dismissed on procedural grounds a challenge that argued that the ACA is unconstitutional in its entirety because the “individual mandate” was repealed by Congress. Thus, the ACA will remain in effect in its current form. Additional legislative changes, regulatory changes and judicial challenges related to the ACA remain possible, but the nature and extent of such potential changes or challenges are uncertain at this time. It is unclear how any efforts to modify, or invalidate the ACA, its implementing regulations, or portions thereof, and other reform measures that may be adopted in the future will affect our business.</w:t>
      </w:r>
    </w:p>
    <w:p>
      <w:pPr>
        <w:spacing w:after="0" w:line="78"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Other legislative changes have been proposed and adopted since the ACA was enacted. These changes include aggregate reductions to Medicare payments to providers of 2% per fiscal year pursuant to the Budget Control Act of 2011, which began in 2013, and due to subsequent legislative amendments to the statute, including the BBA and the Infrastructure Investment and Jobs Act, will remain in effect through 2031, unless additional congressional action is taken. Under current legislation the actual reduction in Medicare payments will vary from 1% in 2022 to up to 4% in the final fiscal year of this sequester. The American Taxpayer Relief Act of 2012, among other things, further reduced Medicare payments to several providers, including hospitals, and increased the statute of limitations period for the government to recover overpayments to providers from three to five years. Additionally, on March 11, 2021, President Biden signed the American Rescue Plan Act of 2021 into law, which eliminates the statutory Medicaid drug rebate cap, currently set at 100% of a drug’s average manufacturer price, for single-source and innovator multiple-source drugs, beginning January 1, 2024. These laws may result in additional reductions in Medicare, Medicaid and other healthcare funding, which could have an adverse effect on customers for our product candidates, if approved, and, accordingly, our financial operations.</w:t>
      </w:r>
    </w:p>
    <w:p>
      <w:pPr>
        <w:spacing w:after="0" w:line="91"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Additionally, there has been heightened governmental scrutiny in the United States of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the federal level, the FDA concurrently released a final rule and guidance in September 2020 providing pathways for states to build and submit importation plans for drugs from Canada. In July 2021, the Biden administration released an executive order, “Promoting Competition in the American Economy,” with multiple provisions aimed at prescription drugs. In response to the executive order, on September 9, 2021, HHS released a Comprehensive Plan for Addressing High Drug Prices that outlines principles for drug pricing reform and sets out a variety of potential legislative policies that Congress could pursue to advance these principles. Recently, on August 16, 2022, President Biden signed the Inflation Reduction Act of 2022 into law. The Inflation Reduction Act, among other things, amends the longstanding “non-interference” clause under Medicare Part D and now permits the U.S. Department of Health and Human Services to negotiate prescription drug prices with companies for a small number of brand name drugs or biologics without generic or biosimilar competitors starting in 2026 for such products covered under Medicare Pard D and in 2028 for products covered under Medicare Part B. Congress may continue to consider drug pricing as part of other reform initiatives.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82"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We expect that these and other healthcare reform measures that may be adopted in the future may result in more rigorous coverage criteria and in additional downward pressure on the price that we receive for any approved drug.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drugs. It is also possible that additional governmental action is taken in response to the COVID-19 pandemic.</w:t>
      </w:r>
    </w:p>
    <w:p>
      <w:pPr>
        <w:spacing w:after="0" w:line="69"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Any new regulations or guidance, or revisions or reinterpretations of existing regulations or guidance, may impose additional costs or lengthen FDA review times for NVD200, adintrevimab or any other product candidates. We cannot determine how changes in regulations, statutes, policies or interpretations when and if issued, enacted or adopted, may affect our business in the future. Such changes could, among other things, require:</w:t>
      </w:r>
    </w:p>
    <w:p>
      <w:pPr>
        <w:spacing w:after="0" w:line="82" w:lineRule="exact"/>
        <w:rPr>
          <w:sz w:val="20"/>
          <w:szCs w:val="20"/>
          <w:color w:val="auto"/>
        </w:rPr>
      </w:pPr>
    </w:p>
    <w:p>
      <w:pPr>
        <w:ind w:left="1140" w:hanging="504"/>
        <w:spacing w:after="0"/>
        <w:tabs>
          <w:tab w:leader="none" w:pos="11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clinical trials to be conducted prior to obtaining approval;</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manufacturing methods;</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recalls, replacements or discontinuance of one or more of our products, if approved; and</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recordkeeping.</w:t>
      </w:r>
    </w:p>
    <w:p>
      <w:pPr>
        <w:spacing w:after="0" w:line="104"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Such changes would likely require substantial time and impose significant costs, or could reduce the potential commercial value of NVD200, adintrevimab or other product candidates, and could materially harm our business and our financial results. In addition,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87" w:name="page88"/>
    <w:bookmarkEnd w:id="87"/>
    <w:p>
      <w:pPr>
        <w:jc w:val="both"/>
        <w:spacing w:after="0" w:line="282" w:lineRule="auto"/>
        <w:rPr>
          <w:sz w:val="20"/>
          <w:szCs w:val="20"/>
          <w:color w:val="auto"/>
        </w:rPr>
      </w:pPr>
      <w:r>
        <w:rPr>
          <w:rFonts w:ascii="Times New Roman" w:cs="Times New Roman" w:eastAsia="Times New Roman" w:hAnsi="Times New Roman"/>
          <w:sz w:val="18"/>
          <w:szCs w:val="18"/>
          <w:color w:val="auto"/>
        </w:rPr>
        <w:t>delays in receipt of or failure to receive regulatory clearances or approvals for any other products would harm our business, financial condition and results of operations.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Managing Our Growth</w:t>
      </w:r>
    </w:p>
    <w:p>
      <w:pPr>
        <w:spacing w:after="0" w:line="1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121"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We are highly dependent on the management, development, clinical, financial and business development expertise of our executive officers. Each of our executive officers may currently terminate their employment with us at any time. We do not maintain “key person” insurance for any of our executives or employees.</w:t>
      </w:r>
    </w:p>
    <w:p>
      <w:pPr>
        <w:spacing w:after="0" w:line="82"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Recruiting and retaining qualified scientific and clinical personnel and, if we progress the development of our product pipeline toward scaling up for commercialization, manufacturing and sales and marketing personnel, will also be critical to our success. The loss of the services of our executive officers or other key employees, including the recently announced transition of Jane Henderson as Chief Financial and Business Officer, could impede the achievement of our development and commercialization objectives and seriously harm our ability to successfully implement our business strategy. Furthermore, replacing executive officers and key employees, including our current search for a permanent Chief Financial Officer,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88"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Adimab owns a significant percentage of our common stock, will be able to exert significant influence over matters subject to stockholder approval and may have interests that conflict with those of our other stockholders.</w:t>
      </w:r>
    </w:p>
    <w:p>
      <w:pPr>
        <w:spacing w:after="0" w:line="50"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8"/>
          <w:szCs w:val="18"/>
          <w:color w:val="auto"/>
        </w:rPr>
        <w:t>Adimab is currently our largest stockholder and beneficially owns approximately 24.3% of the voting power of our outstanding common stock according to a Schedule 13D filed by Adimab on June 24, 2022, which reported ownership as of June 22, 2022. As such, Adimab has the ability to substantially influence us through this ownership position. For example, Adimab, acting together with a small number of our other large stockholders, will be able to control elections of directors, amendments of our organizational documents or approval of any merger, amalgamation, sale of assets or other major corporate transaction. Any transferees or successors of all or a significant portion of Adimab’s ownership in us will be able to exert a similar amount of influence over us through their ownership position.</w:t>
      </w:r>
    </w:p>
    <w:p>
      <w:pPr>
        <w:spacing w:after="0" w:line="72"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Furthermore, certain of our directors, officers and key employees may have actual or potential conflicts of interest with us because of their positions or affiliations with Adimab or their beneficial ownership of equity in Adimab. Terrance McGuire, a member of the board of directors of Adimab, serves on our board of directors and retains his position and affiliation with Adimab. Our other stockholders may not have visibility into the Adimab ownership positions or other affiliations of any of our directors or officers with Adimab or its affiliates, which may change at any time through acquisition, disposition, dilution or otherwise. Any change in our directors’ or officers’ ownership in or positions with Adimab or its affiliates could impact the interests of those holders. Adimab’s interests may not always coincide with our corporate interests or the interests of our other stockholders, and it may exercise its voting and other rights in a manner with which you may not agree or that may not be in the best interests of our other stockholders. So long as it continues to own a significant portion of our outstanding voting securities, Adimab will continue to have considerable influence in all matters that are subject to approval by our stockholders and will be able to strongly influence our other decisions.</w:t>
      </w:r>
    </w:p>
    <w:p>
      <w:pPr>
        <w:spacing w:after="0" w:line="73"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expand our clinical development and regulatory capabilities and potentially implement sales, marketing and distribution capabilities, and as a result, we may encounter difficulties in managing our growth, which could disrupt our operations.</w:t>
      </w:r>
    </w:p>
    <w:p>
      <w:pPr>
        <w:spacing w:after="0" w:line="63"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Depending on our development progresses, we may experience growth in the number of our employees and the scope of our operations, particularly in the areas of research and discovery, clinical product development, regulatory affairs, manufacturing and, if any of our product candidates receives marketing approval, sales, marketing and distribution. To manage our potential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88" w:name="page89"/>
    <w:bookmarkEnd w:id="88"/>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collaborators, principal investigators, CROs, CDMOs, suppliers and vendors may engage in misconduct or other improper activities, including non-compliance with regulatory standards and requirements.</w:t>
      </w:r>
    </w:p>
    <w:p>
      <w:pPr>
        <w:spacing w:after="0" w:line="37"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collaborators, principal investigators, CROs, suppliers and vendors may engage in fraudulent conduct or other illegal activity. Misconduct by these parties could include intentional, reckless and/or negligent conduct that violates FDA regulations, including those laws requiring the reporting of true, complete and accurate information to the FDA, manufacturing standards, federal and state healthcare laws and regulations, and laws that require the true, complete and accurate reporting of financial information or data.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including, without limitation, information obtained in the course of clinical trials,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including, without limitation, damages, fines, disgorgement, imprisonment, exclusion from participation in government healthcare programs, such as Medicare and Medicaid, additional reporting requirements and oversight if we become subject to a corporate integrity agreement or similar agreement to resolve allegations of non-compliance with these laws, and the curtailment or restructuring of our operations.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 and Our Status as a Public Company</w:t>
      </w:r>
    </w:p>
    <w:p>
      <w:pPr>
        <w:spacing w:after="0" w:line="1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continue to be developed or sustained.</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Prior to the IPO, there was no public market for our common stock. Although our common stock is listed on the Nasdaq Global Market, if an active market for our common stock does not develop or is not sustained, it may be difficult for you to sell shares at an attractive price or at all.</w:t>
      </w:r>
    </w:p>
    <w:p>
      <w:pPr>
        <w:spacing w:after="0" w:line="50" w:lineRule="exact"/>
        <w:rPr>
          <w:sz w:val="20"/>
          <w:szCs w:val="20"/>
          <w:color w:val="auto"/>
        </w:rPr>
      </w:pPr>
    </w:p>
    <w:p>
      <w:pPr>
        <w:jc w:val="both"/>
        <w:ind w:right="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trading price of the shares of our common stock has been and may continue to be volatile, and purchasers of our common stock could incur substantial losses.</w:t>
      </w:r>
    </w:p>
    <w:p>
      <w:pPr>
        <w:spacing w:after="0" w:line="37"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Our stock price may be volatile. Since the IPO and through November 3, 2022, our common stock has traded at prices ranging from $2.41 to $78.82 per share. The stock market in general and the market for biopharmaceutical companies in particular have experienced extreme volatility that has often been unrelated to the operating performance of particular companies. As a result of this volatility, investors may not be able to sell their common stock at or above the price paid for the shares. The market price for our common stock may be influenced by many factors, including:</w:t>
      </w:r>
    </w:p>
    <w:p>
      <w:pPr>
        <w:spacing w:after="0" w:line="69" w:lineRule="exact"/>
        <w:rPr>
          <w:sz w:val="20"/>
          <w:szCs w:val="20"/>
          <w:color w:val="auto"/>
        </w:rPr>
      </w:pPr>
    </w:p>
    <w:p>
      <w:pPr>
        <w:ind w:left="1140" w:hanging="504"/>
        <w:spacing w:after="0" w:line="266" w:lineRule="auto"/>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results of our clinical trials or the commencement, enrollment or results of any future clinical trials we may conduct, or changes in the development status of our product candidates;</w:t>
      </w:r>
    </w:p>
    <w:p>
      <w:pPr>
        <w:spacing w:after="0" w:line="67" w:lineRule="exact"/>
        <w:rPr>
          <w:rFonts w:ascii="Times New Roman" w:cs="Times New Roman" w:eastAsia="Times New Roman" w:hAnsi="Times New Roman"/>
          <w:sz w:val="18"/>
          <w:szCs w:val="18"/>
          <w:color w:val="auto"/>
        </w:rPr>
      </w:pPr>
    </w:p>
    <w:p>
      <w:pPr>
        <w:jc w:val="both"/>
        <w:ind w:left="1140" w:hanging="504"/>
        <w:spacing w:after="0" w:line="250" w:lineRule="auto"/>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 in our regulatory filings for NVD200, adintrevimab or any other product candidate we may develop,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82"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termination of clinical trials;</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decisions, including failure to receive regulatory approval of our product candidates;</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serious safety concerns related to the use of NVD200, adintrevimab or any other product candidate;</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us or by any equity research analysts who might cover our stock;</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or trends in our industry;</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our competitors of new product candidates or technologies, or the results of clinical trials or regulatory decisions;</w:t>
      </w:r>
    </w:p>
    <w:p>
      <w:pPr>
        <w:spacing w:after="0" w:line="103"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market price and volume fluctuations of comparable companies and, in particular, those that operate in the biopharmaceutical industry;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89" w:name="page90"/>
    <w:bookmarkEnd w:id="89"/>
    <w:p>
      <w:pPr>
        <w:ind w:left="1140" w:hanging="504"/>
        <w:spacing w:after="0" w:line="282" w:lineRule="auto"/>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us or our industry or positive or negative recommendations or withdrawal of research coverage by securities analysts;</w:t>
      </w:r>
    </w:p>
    <w:p>
      <w:pPr>
        <w:spacing w:after="0" w:line="40"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or divestitures;</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our collaborators;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investigations or regulatory scrutiny of our operations or lawsuits filed against us;</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general perception of our company and our business;</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or departure of key personnel;</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performance of the equity markets;</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03"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6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political and economic conditions; and</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many of which are beyond our control.</w:t>
      </w:r>
    </w:p>
    <w:p>
      <w:pPr>
        <w:spacing w:after="0" w:line="104"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The stock market in general, and the Nasdaq Global Market and biotechnology companies in particular, have experienced extreme price and volume fluctuations, including as a result of the ongoing COVID-19 pandemic, the ongoing conflict between Russia and Ukraine, increases in inflation rates and disruptions to global supply chain, that have often been unrelated or disproportionate to the prospects of the issuer and which have resulted in decreased stock prices for many companies notwithstanding the lack of a fundamental change in their underlying business models or prospects. Broad market and industry factors, including potentially worsening economic conditions and other adverse effects or developments relating to the ongoing COVID-19 pandemic, may negatively affect the market price of our common stock, regardless of our actual operating performance. The realization of any of the above risks or any of a broad range of other risks, including those described in this section, could have a significant and material adverse impact on the market price of our common stock.</w:t>
      </w:r>
    </w:p>
    <w:p>
      <w:pPr>
        <w:spacing w:after="0" w:line="92"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In addition, in the past, stockholders have initiated class action lawsuits against pharmaceutical and biotechnology companies following periods of volatility in the market prices of these companies’ stock. Such litigation, if instituted against us, could cause us to incur substantial costs and divert management’s attention and resources from our business.</w:t>
      </w:r>
    </w:p>
    <w:p>
      <w:pPr>
        <w:spacing w:after="0" w:line="65"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previously identified a material weakness in our internal control over financial reporting. We may identify future material weaknesses in our internal control over financial reporting. If we are unable to remediate these material weaknesses, or if we fail to establish and maintain adequate internal control over financial reporting, we may not be able to produce timely and accurate financial statements, and we may conclude that our internal control over financial reporting is not effective, which may adversely affect our business.</w:t>
      </w:r>
    </w:p>
    <w:p>
      <w:pPr>
        <w:spacing w:after="0" w:line="80"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We previously identified a material weakness in our internal control over financial reporting that was identified during the preparation of our March 31, 2021 financial statements. A material weakness is a deficiency, or combination of deficiencies, in internal control over financial reporting, such that there is a reasonable possibility that a material misstatement of our annual or interim condensed consolidated financial statements will not be prevented or detected on a timely basis.</w:t>
      </w:r>
    </w:p>
    <w:p>
      <w:pPr>
        <w:spacing w:after="0" w:line="69"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Although we have determined that the previously identified material weakness has been remediated as of December 31, 2021, we cannot assure you that we will not identify other material weaknesses in the future, which could negatively impact our results of operations in future periods.</w:t>
      </w:r>
    </w:p>
    <w:p>
      <w:pPr>
        <w:spacing w:after="0" w:line="68"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Ensuring that we have adequate internal control over financial reporting in place so that we can produce accurate financial statements on a timely basis is a costly and time-consuming effort that needs to be re-evaluated frequently. Our internal control over financial reporting is a process designed to provide reasonable assurance regarding the reliability of financial reporting and the preparation of financial statements in accordance with generally accepted accounting principles. In connection with the IPO, we began the process of documenting, reviewing and improving our internal control over financial reporting for compliance with the rules and regulations of the Securities and Exchange Commission (the “SEC”), which requires annual management assessment of the effectiveness of our internal control over financial reporting.</w:t>
      </w:r>
    </w:p>
    <w:p>
      <w:pPr>
        <w:spacing w:after="0" w:line="7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Implementing any appropriate changes to our internal control over financial reporting may distract our officers and employees, entail substantial costs to modify our existing processes, and take significant time to complete. These changes may not, however, be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90" w:name="page91"/>
    <w:bookmarkEnd w:id="90"/>
    <w:p>
      <w:pPr>
        <w:jc w:val="both"/>
        <w:spacing w:after="0" w:line="282" w:lineRule="auto"/>
        <w:rPr>
          <w:sz w:val="20"/>
          <w:szCs w:val="20"/>
          <w:color w:val="auto"/>
        </w:rPr>
      </w:pPr>
      <w:r>
        <w:rPr>
          <w:rFonts w:ascii="Times New Roman" w:cs="Times New Roman" w:eastAsia="Times New Roman" w:hAnsi="Times New Roman"/>
          <w:sz w:val="18"/>
          <w:szCs w:val="18"/>
          <w:color w:val="auto"/>
        </w:rPr>
        <w:t>effective in establishing and maintaining the adequacy of our internal controls, and any failure to maintain that adequacy, or consequent inability to produce accurate financial statements on a timely basis, could increase our operating costs and harm our business.</w:t>
      </w:r>
    </w:p>
    <w:p>
      <w:pPr>
        <w:spacing w:after="0" w:line="40"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Further, if we are unable to meet the demands that have been placed upon us as a public company, including the rules and regulations of the SEC, we may be unable to accurately report our financial results in future periods, or report them within the timeframes required by law or stock exchange regulations. Failure to comply with the rules and regulations of the SEC, when and as applicable, could also potentially subject us to sanctions or investigations by the SEC or other regulatory authorities. Any failure to maintain or implement required effective internal control over financial reporting, or any difficulties we encounter in their implementation, could result in additional material weaknesses, cause us to fail to meet our reporting obligations or result in material misstatements in our financial statements. Furthermore, if we cannot provide reliable financial reports or prevent material misstatements due to fraud or error, our business and results of operations could be harmed, and investors could lose confidence in our reported financial information. We also could become subject to investigations by The Nasdaq Stock Market (“Nasdaq”), the SEC or other regulatory authorities, which could require additional financial and management resources.</w:t>
      </w:r>
    </w:p>
    <w:p>
      <w:pPr>
        <w:spacing w:after="0" w:line="89"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50"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The trading market for our common stock is influenced by the research and reports that equity research analysts publish about us and our business. As a newly public company, we have only limited research coverage by equity research analysts. Equity research analysts may elect not to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83" w:lineRule="exact"/>
        <w:rPr>
          <w:sz w:val="20"/>
          <w:szCs w:val="20"/>
          <w:color w:val="auto"/>
        </w:rPr>
      </w:pPr>
    </w:p>
    <w:p>
      <w:pPr>
        <w:jc w:val="both"/>
        <w:ind w:right="20"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are available for immediate resale. This could cause the market price of our common stock to drop significantly, even if our business is doing well.</w:t>
      </w:r>
    </w:p>
    <w:p>
      <w:pPr>
        <w:spacing w:after="0" w:line="5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w:t>
      </w:r>
    </w:p>
    <w:p>
      <w:pPr>
        <w:spacing w:after="0" w:line="61"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In addition, we have filed registration statements on Form S-8 under the Securities Act of 1933, as amended (the “Securities Act”), registering the issuance of shares of common stock subject to options or other equity awards issued or reserved for future issuance under our equity incentive plans. Shares registered under these registration statements on Form S-8 will be available for sale in the public market subject to vesting arrangements and exercise of options and the restrictions of Rule 144 in the case of our affiliates.</w:t>
      </w:r>
    </w:p>
    <w:p>
      <w:pPr>
        <w:spacing w:after="0" w:line="69"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Additionally, several of our large stockholders, or their transferees, have rights, subject to some conditions, to require us to file one or more registration statements covering their shares or to include their shares in registration statements that we may file for ourselves or other stockholders. If we were to register the resale of these shares, they could be freely sold in the public market. If these additional shares are sold, or if it is perceived that they will be sold, in the public market, the trading price of our common stock could decline.</w:t>
      </w:r>
    </w:p>
    <w:p>
      <w:pPr>
        <w:spacing w:after="0" w:line="79"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50"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8"/>
          <w:szCs w:val="18"/>
          <w:color w:val="auto"/>
        </w:rPr>
        <w:t>There are provisions in our certificate of incorporation and bylaws that may make it difficult for a third party to acquire, or attempt to acquire, control of our company, even if a change of control was considered favorable by you and other stockholders. For example, our board of directors will have the authority to issue up to 10,000,000 shares of preferred stock. The board of directors can fix the price, rights, preferences, privileges, and restrictions of the preferred stock without any further vote or action by our stockholders. The issuance of shares of preferred stock may delay or prevent a change of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charter documents will also contain other provisions that could have an anti-takeover effect, including:</w:t>
      </w:r>
    </w:p>
    <w:p>
      <w:pPr>
        <w:spacing w:after="0" w:line="104" w:lineRule="exact"/>
        <w:rPr>
          <w:sz w:val="20"/>
          <w:szCs w:val="20"/>
          <w:color w:val="auto"/>
        </w:rPr>
      </w:pPr>
    </w:p>
    <w:p>
      <w:pPr>
        <w:ind w:left="2160" w:hanging="505"/>
        <w:spacing w:after="0"/>
        <w:tabs>
          <w:tab w:leader="none" w:pos="21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one of our three classes of directors will be elected each year;</w:t>
      </w:r>
    </w:p>
    <w:p>
      <w:pPr>
        <w:spacing w:after="0" w:line="117" w:lineRule="exact"/>
        <w:rPr>
          <w:rFonts w:ascii="Times New Roman" w:cs="Times New Roman" w:eastAsia="Times New Roman" w:hAnsi="Times New Roman"/>
          <w:sz w:val="18"/>
          <w:szCs w:val="18"/>
          <w:color w:val="auto"/>
        </w:rPr>
      </w:pPr>
    </w:p>
    <w:p>
      <w:pPr>
        <w:ind w:left="2160" w:hanging="505"/>
        <w:spacing w:after="0"/>
        <w:tabs>
          <w:tab w:leader="none" w:pos="21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will not be entitled to remove directors other than by a 66</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vote and only for cause;</w:t>
      </w:r>
    </w:p>
    <w:p>
      <w:pPr>
        <w:spacing w:after="0" w:line="103" w:lineRule="exact"/>
        <w:rPr>
          <w:rFonts w:ascii="Times New Roman" w:cs="Times New Roman" w:eastAsia="Times New Roman" w:hAnsi="Times New Roman"/>
          <w:sz w:val="18"/>
          <w:szCs w:val="18"/>
          <w:color w:val="auto"/>
        </w:rPr>
      </w:pPr>
    </w:p>
    <w:p>
      <w:pPr>
        <w:ind w:left="2160" w:hanging="505"/>
        <w:spacing w:after="0"/>
        <w:tabs>
          <w:tab w:leader="none" w:pos="21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will not be permitted to take actions by written consent;</w:t>
      </w:r>
    </w:p>
    <w:p>
      <w:pPr>
        <w:spacing w:after="0" w:line="103" w:lineRule="exact"/>
        <w:rPr>
          <w:rFonts w:ascii="Times New Roman" w:cs="Times New Roman" w:eastAsia="Times New Roman" w:hAnsi="Times New Roman"/>
          <w:sz w:val="18"/>
          <w:szCs w:val="18"/>
          <w:color w:val="auto"/>
        </w:rPr>
      </w:pPr>
    </w:p>
    <w:p>
      <w:pPr>
        <w:ind w:left="2160" w:hanging="505"/>
        <w:spacing w:after="0"/>
        <w:tabs>
          <w:tab w:leader="none" w:pos="21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cannot call a special meeting of stockholders; 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91" w:name="page92"/>
    <w:bookmarkEnd w:id="91"/>
    <w:p>
      <w:pPr>
        <w:ind w:left="2160" w:hanging="505"/>
        <w:spacing w:after="0"/>
        <w:tabs>
          <w:tab w:leader="none" w:pos="21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must give advance notice to nominate directors or submit proposals for consideration at stockholder meetings.</w:t>
      </w:r>
    </w:p>
    <w:p>
      <w:pPr>
        <w:spacing w:after="0" w:line="117"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of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69"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Concentration of ownership of our common stock among our existing executive officers, directors and principal stockholders may prevent new investors from influencing significant corporate decisions.</w:t>
      </w:r>
    </w:p>
    <w:p>
      <w:pPr>
        <w:spacing w:after="0" w:line="37"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Our executive officers, directors and current beneficial owners of five percent or more of our common stock and their respective affiliates beneficially own a majority of our outstanding common stock. As a result, these persons, acting together, would be able to significantly influence all matters requiring stockholder approval, including the election and removal of directors, any merger, consolidation, sale of all or substantially all of our assets, or other significant corporate transactions.</w:t>
      </w:r>
    </w:p>
    <w:p>
      <w:pPr>
        <w:spacing w:after="0" w:line="6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Some of these persons or entities may have interests different than yours. For example, because many of these stockholders purchased their shares at prices substantially below the current market price of our common stock and have held their shares for a longer period, they may be more interested in selling our company to an acquirer than other investors, or they may want us to pursue strategies that deviate from the interests of other stockholders.</w:t>
      </w:r>
    </w:p>
    <w:p>
      <w:pPr>
        <w:spacing w:after="0" w:line="57"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63"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as amended (the “JOBS Act”), and may remain an emerging growth company until the last day of the fiscal year following the fifth anniversary of the completion of the IPO. However, if certain events occur prior to the end of such five-year period, including if we become a “large accelerated filer,” our annual gross revenues exceed $1.07 billion or we issue more than $1.0 billion of non-convertible debt in the previous three-year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87" w:lineRule="exact"/>
        <w:rPr>
          <w:sz w:val="20"/>
          <w:szCs w:val="20"/>
          <w:color w:val="auto"/>
        </w:rPr>
      </w:pPr>
    </w:p>
    <w:p>
      <w:pPr>
        <w:jc w:val="both"/>
        <w:ind w:left="1140" w:hanging="504"/>
        <w:spacing w:after="0" w:line="250" w:lineRule="auto"/>
        <w:tabs>
          <w:tab w:leader="none" w:pos="11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68"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the auditor attestation requirement in the assessment of our internal control over financial reporting;</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w:t>
      </w:r>
    </w:p>
    <w:p>
      <w:pPr>
        <w:spacing w:after="0" w:line="103"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stockholder approval of any golden parachute payments not previously approved; and</w:t>
      </w:r>
    </w:p>
    <w:p>
      <w:pPr>
        <w:spacing w:after="0" w:line="67"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the requirements of the Public Company Accounting Oversight Board regarding the communication of critical audit matters in the auditor’s report on the financial statements.</w:t>
      </w:r>
    </w:p>
    <w:p>
      <w:pPr>
        <w:spacing w:after="0" w:line="54"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w:t>
      </w:r>
    </w:p>
    <w:p>
      <w:pPr>
        <w:spacing w:after="0" w:line="65"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the reduced disclosure requirements applicable to smaller reporting companies may make our common stock less attractive to investors.</w:t>
      </w:r>
    </w:p>
    <w:p>
      <w:pPr>
        <w:spacing w:after="0" w:line="63"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under the Securities Exchange Act of 1934, as amended (the “Exchange Act”). We are therefore entitled to rely on certain reduced disclosure requirements for as long as we remain a smaller reporting company, such as an exemption from providing selected financial data and certain executive compensation information. In addition, for as long as we are a smaller reporting company with less than $100 million in annual revenue, we would be exempt from the requirement to obtain an external audit on the effectiveness of internal control over financial reporting provided in Section 404(b) of the Sarbanes-Oxley Act.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92" w:name="page93"/>
    <w:bookmarkEnd w:id="92"/>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These exemptions and reduced disclosures in our SEC filings due to our status as a smaller reporting company may make it harder for investors to analyze our results of operations and financial prospects. We cannot predict if investors will find our common stock less attractive because we may rely on these exemptions. If some investors find our common stock less attractive as a result, there may be a less active trading market for our common stock and our stock prices may be more volatile.</w:t>
      </w:r>
    </w:p>
    <w:p>
      <w:pPr>
        <w:spacing w:after="0" w:line="79" w:lineRule="exact"/>
        <w:rPr>
          <w:sz w:val="20"/>
          <w:szCs w:val="20"/>
          <w:color w:val="auto"/>
        </w:rPr>
      </w:pPr>
    </w:p>
    <w:p>
      <w:pPr>
        <w:jc w:val="both"/>
        <w:ind w:right="20"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our cash, cash equivalents and marketable securities, including the net proceeds from our initial public offering.</w:t>
      </w:r>
    </w:p>
    <w:p>
      <w:pPr>
        <w:spacing w:after="0" w:line="50"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We have broad discretion over the use of our cash, cash equivalents marketable securities, including the net proceeds from the IPO. You may not agree with our decisions, and our use of the proceeds may not yield any return on your investment. Our failure to apply our cash, cash equivalents and marketable securities effectively could compromise our ability to pursue our growth strategy and we might not be able to yield a significant return, if any, on our investment of our cash, cash equivalents and marketable securities. You will not have the opportunity to influence our decisions on how to use our cash, cash equivalents and marketable securities.</w:t>
      </w:r>
    </w:p>
    <w:p>
      <w:pPr>
        <w:spacing w:after="0" w:line="83"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common stock in the foreseeable future, capital appreciation, if any, will be your sole source of gains and you may never receive a return on your investment.</w:t>
      </w:r>
    </w:p>
    <w:p>
      <w:pPr>
        <w:spacing w:after="0" w:line="50"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You should not rely on an investment in our common stock to provide dividend income. We have not declared or paid cash dividends on our common stock to date. We currently intend to retain our future earnings, if any, to fund the development and growth of our business. As a result, capital appreciation, if any, of our common stock will be your sole source of gain for the foreseeable future. Investors seeking cash dividends should not purchase our common stock.</w:t>
      </w:r>
    </w:p>
    <w:p>
      <w:pPr>
        <w:spacing w:after="0" w:line="7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8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is the exclusive forum for the following types of actions or proceedings under Delaware statutory or common law:</w:t>
      </w:r>
    </w:p>
    <w:p>
      <w:pPr>
        <w:spacing w:after="0" w:line="54" w:lineRule="exact"/>
        <w:rPr>
          <w:sz w:val="20"/>
          <w:szCs w:val="20"/>
          <w:color w:val="auto"/>
        </w:rPr>
      </w:pPr>
    </w:p>
    <w:p>
      <w:pPr>
        <w:ind w:left="1140" w:hanging="504"/>
        <w:spacing w:after="0"/>
        <w:tabs>
          <w:tab w:leader="none" w:pos="11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breach of fiduciary duty;</w:t>
      </w:r>
    </w:p>
    <w:p>
      <w:pPr>
        <w:spacing w:after="0" w:line="103"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arising under the Delaware General Corporation Law, our amended and restated certificate of incorporation, or our amended and restated bylaws; and</w:t>
      </w:r>
    </w:p>
    <w:p>
      <w:pPr>
        <w:spacing w:after="0" w:line="54"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that is governed by the internal-affairs doctrine.</w:t>
      </w:r>
    </w:p>
    <w:p>
      <w:pPr>
        <w:spacing w:after="0" w:line="1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This provision would not apply to suits brought to enforce a duty or liability created by the Exchange Act. Furthermore, Section 22 of the Securities</w:t>
      </w:r>
    </w:p>
    <w:p>
      <w:pPr>
        <w:spacing w:after="0" w:line="2" w:lineRule="exact"/>
        <w:rPr>
          <w:sz w:val="20"/>
          <w:szCs w:val="20"/>
          <w:color w:val="auto"/>
        </w:rPr>
      </w:pPr>
    </w:p>
    <w:p>
      <w:pPr>
        <w:jc w:val="both"/>
        <w:ind w:right="20"/>
        <w:spacing w:after="0" w:line="211" w:lineRule="auto"/>
        <w:rPr>
          <w:sz w:val="20"/>
          <w:szCs w:val="20"/>
          <w:color w:val="auto"/>
        </w:rPr>
      </w:pPr>
      <w:r>
        <w:rPr>
          <w:rFonts w:ascii="Times New Roman" w:cs="Times New Roman" w:eastAsia="Times New Roman" w:hAnsi="Times New Roman"/>
          <w:sz w:val="18"/>
          <w:szCs w:val="18"/>
          <w:color w:val="auto"/>
        </w:rPr>
        <w:t>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different courts, among other considerations, our amended and restated certificate of incorporation further provides that the federal district courts of the United States of America will be the exclusive forum for resolving any complaint asserting a cause of action arising under the Securities Act. While the</w:t>
      </w:r>
    </w:p>
    <w:p>
      <w:pPr>
        <w:jc w:val="both"/>
        <w:spacing w:after="0" w:line="211" w:lineRule="auto"/>
        <w:rPr>
          <w:sz w:val="20"/>
          <w:szCs w:val="20"/>
          <w:color w:val="auto"/>
        </w:rPr>
      </w:pPr>
      <w:r>
        <w:rPr>
          <w:rFonts w:ascii="Times New Roman" w:cs="Times New Roman" w:eastAsia="Times New Roman" w:hAnsi="Times New Roman"/>
          <w:sz w:val="18"/>
          <w:szCs w:val="18"/>
          <w:color w:val="auto"/>
        </w:rPr>
        <w:t>Delaware courts have determined that such choice of forum provisions are facially valid and several state trial courts have enforced such provisions and required that suits asserting Securities Act claims be filed in federal court, there is no guarantee that courts of appeal will affirm the enforceability of such</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provisions and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w:t>
      </w:r>
    </w:p>
    <w:p>
      <w:pPr>
        <w:jc w:val="both"/>
        <w:spacing w:after="0" w:line="211" w:lineRule="auto"/>
        <w:rPr>
          <w:sz w:val="20"/>
          <w:szCs w:val="20"/>
          <w:color w:val="auto"/>
        </w:rPr>
      </w:pPr>
      <w:r>
        <w:rPr>
          <w:rFonts w:ascii="Times New Roman" w:cs="Times New Roman" w:eastAsia="Times New Roman" w:hAnsi="Times New Roman"/>
          <w:sz w:val="18"/>
          <w:szCs w:val="18"/>
          <w:color w:val="auto"/>
        </w:rPr>
        <w:t>the provisions will be enforced by a court in those other jurisdictions. If a court were to find either exclusive forum provision in our amended and restated certificate of incorporation to be inapplicable or unenforceable in an action, we may incur further significant additional costs associated with litigating</w:t>
      </w:r>
    </w:p>
    <w:p>
      <w:pPr>
        <w:spacing w:after="0" w:line="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Securities Act claims in state court, or both state and federal court, which could seriously harm our business, financial condition, results of operations and prospects.</w:t>
      </w:r>
    </w:p>
    <w:p>
      <w:pPr>
        <w:spacing w:after="0" w:line="64" w:lineRule="exact"/>
        <w:rPr>
          <w:sz w:val="20"/>
          <w:szCs w:val="20"/>
          <w:color w:val="auto"/>
        </w:rPr>
      </w:pPr>
    </w:p>
    <w:p>
      <w:pPr>
        <w:jc w:val="both"/>
        <w:ind w:right="20" w:firstLine="509"/>
        <w:spacing w:after="0" w:line="236" w:lineRule="auto"/>
        <w:rPr>
          <w:sz w:val="20"/>
          <w:szCs w:val="20"/>
          <w:color w:val="auto"/>
        </w:rPr>
      </w:pPr>
      <w:r>
        <w:rPr>
          <w:rFonts w:ascii="Times New Roman" w:cs="Times New Roman" w:eastAsia="Times New Roman" w:hAnsi="Times New Roman"/>
          <w:sz w:val="17"/>
          <w:szCs w:val="17"/>
          <w:color w:val="auto"/>
        </w:rPr>
        <w:t>These exclusive forum provisions may result in increased costs for investors to bring a claim. Further, these exclusive forum provisions may limit a stockholder’s ability to bring a claim in a judicial forum that it finds favorable for disputes with us or our directors, officers, or other employees, which may</w:t>
      </w:r>
    </w:p>
    <w:p>
      <w:pPr>
        <w:jc w:val="both"/>
        <w:spacing w:after="0" w:line="228" w:lineRule="auto"/>
        <w:rPr>
          <w:sz w:val="20"/>
          <w:szCs w:val="20"/>
          <w:color w:val="auto"/>
        </w:rPr>
      </w:pPr>
      <w:r>
        <w:rPr>
          <w:rFonts w:ascii="Times New Roman" w:cs="Times New Roman" w:eastAsia="Times New Roman" w:hAnsi="Times New Roman"/>
          <w:sz w:val="18"/>
          <w:szCs w:val="18"/>
          <w:color w:val="auto"/>
        </w:rPr>
        <w:t>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7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increased costs and demands upon management as a result of becoming a public company, which could lower our profits or make it more difficult to run our business.</w:t>
      </w:r>
    </w:p>
    <w:p>
      <w:pPr>
        <w:spacing w:after="0" w:line="50"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As a public company, and particularly after we are no longer an emerging growth company, we will incur significant legal, accounting and other expenses that we did not incur as a private company, including costs associated with public company reporting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93" w:name="page94"/>
    <w:bookmarkEnd w:id="93"/>
    <w:p>
      <w:pPr>
        <w:jc w:val="both"/>
        <w:spacing w:after="0" w:line="226" w:lineRule="auto"/>
        <w:rPr>
          <w:sz w:val="20"/>
          <w:szCs w:val="20"/>
          <w:color w:val="auto"/>
        </w:rPr>
      </w:pPr>
      <w:r>
        <w:rPr>
          <w:rFonts w:ascii="Times New Roman" w:cs="Times New Roman" w:eastAsia="Times New Roman" w:hAnsi="Times New Roman"/>
          <w:sz w:val="18"/>
          <w:szCs w:val="18"/>
          <w:color w:val="auto"/>
        </w:rPr>
        <w:t>requirements. We also have incurred and will continue to incur costs associated with the Sarbanes-Oxley Act, and related rules implemented by the SEC and Nasdaq. The expenses generally incurred by public companies for reporting and corporate governance purposes have been increasing. We expect these rules and regulations to increase our legal and financial compliance costs and to make some activities more time-consuming and costly, although we are</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currently unable to estimate these costs with any degree of certainty. These laws and regulations also could make it more difficult or costly for us to obtain certain types of insurance, including director and officer liability insurance, and we may be forced to accept reduced policy limits and coverage or incur</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substantially higher costs to obtain the same or similar coverage. These laws and regulations could also make it more difficult for us to attract and retain qualified persons to serve on our board of directors, on our board committees, or as our executive officers. Furthermore, if we are unable to satisfy our obligations as a public company, we could be subject to delisting of our common stock, fines, sanctions, other regulatory action and potentially civil litigation.</w:t>
      </w:r>
    </w:p>
    <w:p>
      <w:pPr>
        <w:spacing w:after="0" w:line="51" w:lineRule="exact"/>
        <w:rPr>
          <w:sz w:val="20"/>
          <w:szCs w:val="20"/>
          <w:color w:val="auto"/>
        </w:rPr>
      </w:pPr>
    </w:p>
    <w:p>
      <w:pPr>
        <w:jc w:val="both"/>
        <w:ind w:firstLine="509"/>
        <w:spacing w:after="0" w:line="226" w:lineRule="auto"/>
        <w:rPr>
          <w:sz w:val="20"/>
          <w:szCs w:val="20"/>
          <w:color w:val="auto"/>
        </w:rPr>
      </w:pPr>
      <w:r>
        <w:rPr>
          <w:rFonts w:ascii="Times New Roman" w:cs="Times New Roman" w:eastAsia="Times New Roman" w:hAnsi="Times New Roman"/>
          <w:sz w:val="18"/>
          <w:szCs w:val="18"/>
          <w:color w:val="auto"/>
        </w:rPr>
        <w:t>In particular, pursuant to Section 404 of the Sarbanes-Oxley Act of 2002 (“Section 404”), in our second annual report on Form 10-K due to be filed with the SEC after becoming a public company, we will be required to furnish a report by our management on our internal control over financial reporting. However, while we remain an emerging growth company, we will not be required to include an attestation report on internal control over financial</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need to continue to dedicate internal resources, potentially engage outside consultants, adopt a detailed work plan to assess and document the adequacy of internal control over financial reporting, continue steps to improve control processes as appropriate, validate through testing whether such controls are functioning as documented, and implement a continuous reporting and improvement process for internal control over financial reporting.</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losses to offset future taxable income may be subject to certain limitations.</w:t>
      </w:r>
    </w:p>
    <w:p>
      <w:pPr>
        <w:spacing w:after="0" w:line="108"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We have incurred substantial losses since inception and do not expect to become profitable in the near future, if ever. To the extent that we continue to generate taxable losses, unused losses will carry forward to offset future taxable income, if any. As of December 31, 2021, we had U.S. federal net operating loss (“NOL”) carryforwards of $221.9 million, which may be available to reduce future taxable income and have an indefinite carryforward period but are limited in their usage to an annual deduction equal to 80% of annual taxable income. In addition, as of December 31, 2021, we had state NOL carryforwards of $81.9 million, which may be available to reduce future taxable income, of which $3.4 million have an indefinite carryforward period while the remaining $78.5 million begin to expire in 2041. As of December 31, 2021, we also had U.S. federal and state research and development tax credit carryforwards of $3.3 million and $1.3 million, respectively, which may be available to reduce future tax liabilities and expire at various dates beginning in 2041 and 2036, respectively.</w:t>
      </w:r>
    </w:p>
    <w:p>
      <w:pPr>
        <w:spacing w:after="0" w:line="78"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Under the Tax Act, as modified by the Coronavirus Aid, Relief and Economic Security Act (the “CARES Act”), federal NOLs incurred in taxable years beginning after December 31, 2017 and in future taxable years may carry forward indefinitely, but the deductibility of such federal NOLs incurred in taxable years beginning after December 31, 2020 may be limited. It is uncertain how various states will respond to the Tax Act and the CARES Act. In addition, under Section 382 of the Internal Revenue Code of 1986, as amended, and corresponding provisions of state law, if a corporation undergoes an “ownership change,” which is generally defined as a greater than 50% change, by value, in its equity ownership over a three-year period, the corporation’s ability to use its pre-change NOL carryforwards and other pre-change tax attributes to offset its post-change income or taxes may be limited. The IPO, together with private placements and other transactions that have occurred since our inception, may trigger such an ownership change pursuant to Section</w:t>
      </w:r>
    </w:p>
    <w:p>
      <w:pPr>
        <w:spacing w:after="0" w:line="3" w:lineRule="exact"/>
        <w:rPr>
          <w:sz w:val="20"/>
          <w:szCs w:val="20"/>
          <w:color w:val="auto"/>
        </w:rPr>
      </w:pPr>
    </w:p>
    <w:p>
      <w:pPr>
        <w:jc w:val="both"/>
        <w:ind w:firstLine="8"/>
        <w:spacing w:after="0" w:line="243" w:lineRule="auto"/>
        <w:tabs>
          <w:tab w:leader="none" w:pos="38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conducted a study to assess whether any such ownership changes have occurred. We may have experienced, and may in the future experience, ownership changes as a result of shifts in our stock ownership, some of which may be outside of our control. If an ownership change has occurred or occurs in the future, and our ability to use our NOL carryforwards is materially limited, it would harm our financial condition and results of operations by effectively increasing our future tax obligations.</w:t>
      </w:r>
    </w:p>
    <w:p>
      <w:pPr>
        <w:spacing w:after="0" w:line="75"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We assess the impact of various tax reform proposals and modifications to existing tax treaties in all jurisdictions where we have operations to determine the potential effect on our business and any assumptions we have made about our future taxable income. We cannot predict whether any specific proposals will be enacted, the terms of any such proposals or what effect, if any, such proposals would have on our business if they were to be enacted. Beginning in 2022, the Tax Act eliminates the currently available option to deduct research and development expenditures and requires taxpayers to amortize them over five years. The U.S. Congress is considering legislation that would defer the amortization requirement to future periods; however, there is no assurance that the provision will be repealed or otherwise modified. If the requirement is not repealed or modified, it will have a material impact on our cash flows beginning in 2022.</w:t>
      </w:r>
    </w:p>
    <w:p>
      <w:pPr>
        <w:spacing w:after="0" w:line="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business activities will be subject to the Foreign Corrupt Practices Act (the “FCPA”) and similar anti-bribery and anti-corruption laws.</w:t>
      </w:r>
    </w:p>
    <w:p>
      <w:pPr>
        <w:spacing w:after="0" w:line="108"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8"/>
          <w:szCs w:val="18"/>
          <w:color w:val="auto"/>
        </w:rPr>
        <w:t>As we expand our business activities outside of the United States, including our clinical trial efforts, we will be subject to the FCPA and similar anti-bribery or anti-corruption laws, regulations or rules of other countries in which we operate. The FCPA generally prohibits offering, promising, giving or authorizing others to give anything of value, either directly or indirectly, to a non-United States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94" w:name="page95"/>
    <w:bookmarkEnd w:id="94"/>
    <w:p>
      <w:pPr>
        <w:jc w:val="both"/>
        <w:spacing w:after="0" w:line="242" w:lineRule="auto"/>
        <w:rPr>
          <w:sz w:val="20"/>
          <w:szCs w:val="20"/>
          <w:color w:val="auto"/>
        </w:rPr>
      </w:pPr>
      <w:r>
        <w:rPr>
          <w:rFonts w:ascii="Times New Roman" w:cs="Times New Roman" w:eastAsia="Times New Roman" w:hAnsi="Times New Roman"/>
          <w:sz w:val="18"/>
          <w:szCs w:val="18"/>
          <w:color w:val="auto"/>
        </w:rPr>
        <w:t>public officials, including officials of non-United States governments. Additionally, in many other countries, the healthcare providers who prescribe pharmaceuticals are employed by their government, and the purchasers of pharmaceuticals are government entities; therefore, our dealings with these prescribers and purchasers will be subject to regulation under the FCPA. Recently the SEC and Department of Justice have increased their FCPA enforcement activities with respect to biotechnology and pharmaceutical companies. There is no certainty that all of our employees, agents, suppliers, manufacturers,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facilities, including those of our suppliers and manufacturers,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as well as difficulties in manufacturing or continuing to develop our products, and could materially damage our reputation, our brand, our international expansion efforts, our ability to attract and retain employees, and our business, prospects, operating results, and financial condition.</w:t>
      </w:r>
    </w:p>
    <w:p>
      <w:pPr>
        <w:spacing w:after="0" w:line="90"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the SEC and other government agencies caused by funding shortages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66"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69"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drugs or biologics to be reviewed and/or approved by necessary government agencies, which would adversely affect our business. For example, over the last several years, including most recently from December 22, 2018 to January 25, 2019,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72"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Separately, in response to the COVID-19 pandemic, on March 10, 2020 the FDA announced its intention to postpone most inspections of foreign manufacturing facilities and products and subsequently, on March 18, 2020, the FDA temporarily postponed routine surveillance inspections of domestic manufacturing facilities. Since then, the FDA has resumed both domestic and foreign inspections subject to travel restrictions. The FDA continues to adapt to the evolving COVID-19 pandemic, and has increasingly relied on alternative inspectional tools, including product sampling, records requests under Section 704(a)(4) of the Federal Food, Drug, and Cosmetic Act, and remote regulatory assessments, in lieu of or to supplement traditional in-person inspections. Regulatory authorities outside the U.S. may adopt similar restrictions or other policy measures in response to the COVID-19 pandemic and may experience delays in their regulatory activities. If a prolonged government shutdown occurs, or if global health concerns continue to prevent the FDA or other regulatory authorities from conducting business as usual or conducting inspections, reviews or other regulatory activities, it could significantly impact the ability of the FDA to timely review and process our regulatory submissions, which could have a material adverse effect on our business.</w:t>
      </w:r>
    </w:p>
    <w:p>
      <w:pPr>
        <w:spacing w:after="0" w:line="73"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and geopolitical events could adversely affect our business, financial condition or results of operations, including clinical trials.</w:t>
      </w:r>
    </w:p>
    <w:p>
      <w:pPr>
        <w:spacing w:after="0" w:line="63"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The financial markets and the global economy may also be adversely affected by the current or anticipated impact of military conflict, including the ongoing conflict between Russia and Ukraine, terrorism or other geopolitical events. Sanctions imposed by the United States and other countries in response to such conflicts, including the one in Ukraine, may also adversely impact our clinical trials, the financial markets and the global economy, and any economic countermeasures by the affected countries or others could exacerbate market and economic instability. Portions of our future clinical trials may be conducted outside of the United States and unfavorable economic conditions resulting in the weakening of the U.S. dollar would make those clinical trials more costly to operate. Some of our clinical trial sites are in regions impacted by the ongoing geopolitical conflict between Russia and Ukraine. Furthermore, a severe or prolonged economic downturn, including a recession or depression resulting from the current COVID-19 pandemic, higher inflation and interest rates, political disruption or other geopolitical events, including an expansion of the conflict between Russia and Ukraine or instigation of other military conflicts, could result in a variety of risks to our business, including weakened demand for our product candidates or any future product candidates, if approved, and our ability to raise additional capital when needed on acceptable terms, if at all. A weak or declining economy or political disruption, including any international trade disputes, could also strain our manufacturers or suppliers, possibly resulting in supply disruption, or cause our customers to delay making payments for our potential</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95" w:name="page96"/>
    <w:bookmarkEnd w:id="95"/>
    <w:p>
      <w:pPr>
        <w:jc w:val="both"/>
        <w:spacing w:after="0" w:line="282" w:lineRule="auto"/>
        <w:rPr>
          <w:sz w:val="20"/>
          <w:szCs w:val="20"/>
          <w:color w:val="auto"/>
        </w:rPr>
      </w:pPr>
      <w:r>
        <w:rPr>
          <w:rFonts w:ascii="Times New Roman" w:cs="Times New Roman" w:eastAsia="Times New Roman" w:hAnsi="Times New Roman"/>
          <w:sz w:val="18"/>
          <w:szCs w:val="18"/>
          <w:color w:val="auto"/>
        </w:rPr>
        <w:t>products. Any of the foregoing could seriously harm our business, and we cannot anticipate all of the ways in which the political or economic climate and financial market conditions could seriously harm our business.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On August 5, 2021, our Registration Statement on Form S-1, as amended (File No. 333-257975), was declared effective in connection with the IPO, pursuant to which we sold an aggregate of 20,930,000 shares of our common stock, including the full exercise of the underwriters’ option to purchase additional shares, at a price to the public of $17.00 per share. Morgan Stanley &amp; Co. LLC, Jefferies LLC, Stifel, Nicolaus &amp; Company, Incorporated and Guggenheim Securities, LLC acted as joint book-running managers.</w:t>
      </w:r>
    </w:p>
    <w:p>
      <w:pPr>
        <w:spacing w:after="0" w:line="69"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The IPO closed on August 10, 2021. The aggregate net proceeds received by the Company from the IPO were approximately $327.5 million, after deducting underwriting discounts and commissions of $24.9 million and offering expenses payable by the Company of $3.4 million. In connection with the IPO, no payments were made by us to directors, officers or persons owning ten percent or more of our common stock or to their associates or to our affiliates. There has been no material change in the planned use of proceeds from the IPO as described in our prospectus filed pursuant to Rule 424(b)(4) under the Securities Act with the SEC on August 6, 2021.</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20" w:type="dxa"/>
            <w:vAlign w:val="bottom"/>
            <w:gridSpan w:val="26"/>
            <w:vMerge w:val="restart"/>
          </w:tcPr>
          <w:p>
            <w:pPr>
              <w:ind w:left="19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10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420" w:type="dxa"/>
            <w:vAlign w:val="bottom"/>
            <w:tcBorders>
              <w:bottom w:val="single" w:sz="8" w:color="auto"/>
            </w:tcBorders>
            <w:gridSpan w:val="2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2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3"/>
                <w:szCs w:val="13"/>
                <w:color w:val="auto"/>
              </w:rPr>
            </w:pPr>
          </w:p>
        </w:tc>
        <w:tc>
          <w:tcPr>
            <w:tcW w:w="10120" w:type="dxa"/>
            <w:vAlign w:val="bottom"/>
            <w:gridSpan w:val="36"/>
          </w:tcPr>
          <w:p>
            <w:pPr>
              <w:spacing w:after="0" w:line="156" w:lineRule="exact"/>
              <w:rPr>
                <w:rFonts w:ascii="Times New Roman" w:cs="Times New Roman" w:eastAsia="Times New Roman" w:hAnsi="Times New Roman"/>
                <w:sz w:val="18"/>
                <w:szCs w:val="18"/>
                <w:color w:val="0000FF"/>
              </w:rPr>
            </w:pPr>
            <w:hyperlink r:id="rId321">
              <w:r>
                <w:rPr>
                  <w:rFonts w:ascii="Times New Roman" w:cs="Times New Roman" w:eastAsia="Times New Roman" w:hAnsi="Times New Roman"/>
                  <w:sz w:val="18"/>
                  <w:szCs w:val="18"/>
                  <w:color w:val="0000FF"/>
                </w:rPr>
                <w:t>Amended and Restated Certificate of Incorporation (incorporated by reference to Exhibit 3.1 of the Company’s Current Report on Form 8-</w:t>
              </w:r>
            </w:hyperlink>
          </w:p>
        </w:tc>
        <w:tc>
          <w:tcPr>
            <w:tcW w:w="0" w:type="dxa"/>
            <w:vAlign w:val="bottom"/>
          </w:tcPr>
          <w:p>
            <w:pPr>
              <w:spacing w:after="0"/>
              <w:rPr>
                <w:sz w:val="1"/>
                <w:szCs w:val="1"/>
                <w:color w:val="auto"/>
              </w:rPr>
            </w:pPr>
          </w:p>
        </w:tc>
      </w:tr>
      <w:tr>
        <w:trPr>
          <w:trHeight w:val="169"/>
        </w:trPr>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4"/>
                <w:szCs w:val="14"/>
                <w:color w:val="auto"/>
              </w:rPr>
            </w:pPr>
          </w:p>
        </w:tc>
        <w:tc>
          <w:tcPr>
            <w:tcW w:w="7100" w:type="dxa"/>
            <w:vAlign w:val="bottom"/>
            <w:tcBorders>
              <w:top w:val="single" w:sz="8" w:color="0000FF"/>
              <w:bottom w:val="single" w:sz="8" w:color="0000FF"/>
            </w:tcBorders>
            <w:gridSpan w:val="15"/>
          </w:tcPr>
          <w:p>
            <w:pPr>
              <w:spacing w:after="0" w:line="169" w:lineRule="exact"/>
              <w:rPr>
                <w:rFonts w:ascii="Times New Roman" w:cs="Times New Roman" w:eastAsia="Times New Roman" w:hAnsi="Times New Roman"/>
                <w:sz w:val="18"/>
                <w:szCs w:val="18"/>
                <w:color w:val="0000FF"/>
                <w:w w:val="99"/>
              </w:rPr>
            </w:pPr>
            <w:hyperlink r:id="rId321">
              <w:r>
                <w:rPr>
                  <w:rFonts w:ascii="Times New Roman" w:cs="Times New Roman" w:eastAsia="Times New Roman" w:hAnsi="Times New Roman"/>
                  <w:sz w:val="18"/>
                  <w:szCs w:val="18"/>
                  <w:color w:val="0000FF"/>
                  <w:w w:val="99"/>
                </w:rPr>
                <w:t>K (File No. 001-40703), filed with the Securities and Exchange Commission on August 10, 2021).</w:t>
              </w:r>
            </w:hyperlink>
          </w:p>
        </w:tc>
        <w:tc>
          <w:tcPr>
            <w:tcW w:w="20" w:type="dxa"/>
            <w:vAlign w:val="bottom"/>
            <w:tcBorders>
              <w:top w:val="single" w:sz="8" w:color="0000FF"/>
              <w:bottom w:val="single" w:sz="8" w:color="0000EE"/>
            </w:tcBorders>
          </w:tcPr>
          <w:p>
            <w:pPr>
              <w:spacing w:after="0"/>
              <w:rPr>
                <w:sz w:val="14"/>
                <w:szCs w:val="14"/>
                <w:color w:val="auto"/>
              </w:rPr>
            </w:pPr>
          </w:p>
        </w:tc>
        <w:tc>
          <w:tcPr>
            <w:tcW w:w="2860" w:type="dxa"/>
            <w:vAlign w:val="bottom"/>
            <w:tcBorders>
              <w:top w:val="single" w:sz="8" w:color="0000FF"/>
            </w:tcBorders>
            <w:gridSpan w:val="14"/>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120" w:type="dxa"/>
            <w:vAlign w:val="bottom"/>
            <w:gridSpan w:val="16"/>
          </w:tcPr>
          <w:p>
            <w:pPr>
              <w:spacing w:after="0" w:line="182" w:lineRule="exact"/>
              <w:rPr>
                <w:rFonts w:ascii="Times New Roman" w:cs="Times New Roman" w:eastAsia="Times New Roman" w:hAnsi="Times New Roman"/>
                <w:sz w:val="18"/>
                <w:szCs w:val="18"/>
                <w:color w:val="0000FF"/>
                <w:w w:val="99"/>
              </w:rPr>
            </w:pPr>
            <w:hyperlink r:id="rId322">
              <w:r>
                <w:rPr>
                  <w:rFonts w:ascii="Times New Roman" w:cs="Times New Roman" w:eastAsia="Times New Roman" w:hAnsi="Times New Roman"/>
                  <w:sz w:val="18"/>
                  <w:szCs w:val="18"/>
                  <w:color w:val="0000FF"/>
                  <w:w w:val="99"/>
                </w:rPr>
                <w:t>Amended and Restated Bylaws (incorporated by reference to Exhibit 3.2 of the Company’s Current</w:t>
              </w:r>
            </w:hyperlink>
          </w:p>
        </w:tc>
        <w:tc>
          <w:tcPr>
            <w:tcW w:w="3000" w:type="dxa"/>
            <w:vAlign w:val="bottom"/>
            <w:gridSpan w:val="20"/>
          </w:tcPr>
          <w:p>
            <w:pPr>
              <w:ind w:left="80"/>
              <w:spacing w:after="0" w:line="182" w:lineRule="exact"/>
              <w:rPr>
                <w:rFonts w:ascii="Times New Roman" w:cs="Times New Roman" w:eastAsia="Times New Roman" w:hAnsi="Times New Roman"/>
                <w:sz w:val="18"/>
                <w:szCs w:val="18"/>
                <w:color w:val="0000FF"/>
              </w:rPr>
            </w:pPr>
            <w:hyperlink r:id="rId322">
              <w:r>
                <w:rPr>
                  <w:rFonts w:ascii="Times New Roman" w:cs="Times New Roman" w:eastAsia="Times New Roman" w:hAnsi="Times New Roman"/>
                  <w:sz w:val="18"/>
                  <w:szCs w:val="18"/>
                  <w:color w:val="0000FF"/>
                </w:rPr>
                <w:t>Report on Form 8-K (File No. 001-</w:t>
              </w:r>
            </w:hyperlink>
          </w:p>
        </w:tc>
        <w:tc>
          <w:tcPr>
            <w:tcW w:w="0" w:type="dxa"/>
            <w:vAlign w:val="bottom"/>
          </w:tcPr>
          <w:p>
            <w:pPr>
              <w:spacing w:after="0"/>
              <w:rPr>
                <w:sz w:val="1"/>
                <w:szCs w:val="1"/>
                <w:color w:val="auto"/>
              </w:rPr>
            </w:pPr>
          </w:p>
        </w:tc>
      </w:tr>
      <w:tr>
        <w:trPr>
          <w:trHeight w:val="169"/>
        </w:trPr>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14"/>
                <w:szCs w:val="14"/>
                <w:color w:val="auto"/>
              </w:rPr>
            </w:pPr>
          </w:p>
        </w:tc>
        <w:tc>
          <w:tcPr>
            <w:tcW w:w="5900" w:type="dxa"/>
            <w:vAlign w:val="bottom"/>
            <w:tcBorders>
              <w:top w:val="single" w:sz="8" w:color="0000FF"/>
              <w:bottom w:val="single" w:sz="8" w:color="0000FF"/>
            </w:tcBorders>
            <w:gridSpan w:val="12"/>
          </w:tcPr>
          <w:p>
            <w:pPr>
              <w:spacing w:after="0" w:line="169" w:lineRule="exact"/>
              <w:rPr>
                <w:rFonts w:ascii="Times New Roman" w:cs="Times New Roman" w:eastAsia="Times New Roman" w:hAnsi="Times New Roman"/>
                <w:sz w:val="18"/>
                <w:szCs w:val="18"/>
                <w:color w:val="0000FF"/>
                <w:w w:val="99"/>
              </w:rPr>
            </w:pPr>
            <w:hyperlink r:id="rId322">
              <w:r>
                <w:rPr>
                  <w:rFonts w:ascii="Times New Roman" w:cs="Times New Roman" w:eastAsia="Times New Roman" w:hAnsi="Times New Roman"/>
                  <w:sz w:val="18"/>
                  <w:szCs w:val="18"/>
                  <w:color w:val="0000FF"/>
                  <w:w w:val="99"/>
                </w:rPr>
                <w:t>40703)</w:t>
              </w:r>
              <w:r>
                <w:rPr>
                  <w:rFonts w:ascii="Times New Roman" w:cs="Times New Roman" w:eastAsia="Times New Roman" w:hAnsi="Times New Roman"/>
                  <w:sz w:val="18"/>
                  <w:szCs w:val="18"/>
                  <w:u w:val="single" w:color="auto"/>
                  <w:color w:val="0000FF"/>
                  <w:w w:val="99"/>
                </w:rPr>
                <w:t>,</w:t>
              </w:r>
              <w:r>
                <w:rPr>
                  <w:rFonts w:ascii="Times New Roman" w:cs="Times New Roman" w:eastAsia="Times New Roman" w:hAnsi="Times New Roman"/>
                  <w:sz w:val="18"/>
                  <w:szCs w:val="18"/>
                  <w:color w:val="0000FF"/>
                  <w:w w:val="99"/>
                </w:rPr>
                <w:t xml:space="preserve"> filed with the Securities and Exchange Commission on August 10, 2021).</w:t>
              </w:r>
            </w:hyperlink>
          </w:p>
        </w:tc>
        <w:tc>
          <w:tcPr>
            <w:tcW w:w="20" w:type="dxa"/>
            <w:vAlign w:val="bottom"/>
            <w:tcBorders>
              <w:top w:val="single" w:sz="8" w:color="0000FF"/>
              <w:bottom w:val="single" w:sz="8" w:color="0000EE"/>
            </w:tcBorders>
          </w:tcPr>
          <w:p>
            <w:pPr>
              <w:spacing w:after="0"/>
              <w:rPr>
                <w:sz w:val="14"/>
                <w:szCs w:val="14"/>
                <w:color w:val="auto"/>
              </w:rPr>
            </w:pPr>
          </w:p>
        </w:tc>
        <w:tc>
          <w:tcPr>
            <w:tcW w:w="3820" w:type="dxa"/>
            <w:vAlign w:val="bottom"/>
            <w:tcBorders>
              <w:top w:val="single" w:sz="8" w:color="0000FF"/>
            </w:tcBorders>
            <w:gridSpan w:val="14"/>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5920" w:type="dxa"/>
            <w:vAlign w:val="bottom"/>
            <w:tcBorders>
              <w:bottom w:val="single" w:sz="8" w:color="0000FF"/>
            </w:tcBorders>
            <w:gridSpan w:val="13"/>
          </w:tcPr>
          <w:p>
            <w:pPr>
              <w:spacing w:after="0" w:line="182" w:lineRule="exact"/>
              <w:rPr>
                <w:rFonts w:ascii="Times New Roman" w:cs="Times New Roman" w:eastAsia="Times New Roman" w:hAnsi="Times New Roman"/>
                <w:sz w:val="18"/>
                <w:szCs w:val="18"/>
                <w:color w:val="0000FF"/>
                <w:w w:val="97"/>
              </w:rPr>
            </w:pPr>
            <w:hyperlink r:id="rId323">
              <w:r>
                <w:rPr>
                  <w:rFonts w:ascii="Times New Roman" w:cs="Times New Roman" w:eastAsia="Times New Roman" w:hAnsi="Times New Roman"/>
                  <w:sz w:val="18"/>
                  <w:szCs w:val="18"/>
                  <w:color w:val="0000FF"/>
                  <w:w w:val="97"/>
                </w:rPr>
                <w:t>Certificate of Amendment to the Amended and Restated Certificate of Incorporation</w:t>
              </w:r>
            </w:hyperlink>
          </w:p>
        </w:tc>
        <w:tc>
          <w:tcPr>
            <w:tcW w:w="3640" w:type="dxa"/>
            <w:vAlign w:val="bottom"/>
            <w:tcBorders>
              <w:bottom w:val="single" w:sz="8" w:color="0000FF"/>
            </w:tcBorders>
            <w:gridSpan w:val="8"/>
          </w:tcPr>
          <w:p>
            <w:pPr>
              <w:ind w:left="200"/>
              <w:spacing w:after="0" w:line="182" w:lineRule="exact"/>
              <w:rPr>
                <w:rFonts w:ascii="Times New Roman" w:cs="Times New Roman" w:eastAsia="Times New Roman" w:hAnsi="Times New Roman"/>
                <w:sz w:val="18"/>
                <w:szCs w:val="18"/>
                <w:color w:val="0000FF"/>
              </w:rPr>
            </w:pPr>
            <w:hyperlink r:id="rId323">
              <w:r>
                <w:rPr>
                  <w:rFonts w:ascii="Times New Roman" w:cs="Times New Roman" w:eastAsia="Times New Roman" w:hAnsi="Times New Roman"/>
                  <w:sz w:val="18"/>
                  <w:szCs w:val="18"/>
                  <w:color w:val="0000FF"/>
                </w:rPr>
                <w:t>(incorporated by reference to Exhibit 3.1 of the</w:t>
              </w:r>
            </w:hyperlink>
          </w:p>
        </w:tc>
        <w:tc>
          <w:tcPr>
            <w:tcW w:w="560" w:type="dxa"/>
            <w:vAlign w:val="bottom"/>
            <w:gridSpan w:val="15"/>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120" w:type="dxa"/>
            <w:vAlign w:val="bottom"/>
            <w:gridSpan w:val="36"/>
          </w:tcPr>
          <w:p>
            <w:pPr>
              <w:spacing w:after="0" w:line="169" w:lineRule="exact"/>
              <w:rPr>
                <w:rFonts w:ascii="Times New Roman" w:cs="Times New Roman" w:eastAsia="Times New Roman" w:hAnsi="Times New Roman"/>
                <w:sz w:val="18"/>
                <w:szCs w:val="18"/>
                <w:color w:val="0000FF"/>
              </w:rPr>
            </w:pPr>
            <w:hyperlink r:id="rId323">
              <w:r>
                <w:rPr>
                  <w:rFonts w:ascii="Times New Roman" w:cs="Times New Roman" w:eastAsia="Times New Roman" w:hAnsi="Times New Roman"/>
                  <w:sz w:val="18"/>
                  <w:szCs w:val="18"/>
                  <w:color w:val="0000FF"/>
                </w:rPr>
                <w:t>Company’s Current Report on Form 8-K (File No. 001-40703), filed with the Securities and Exchange Commission on September 13,</w:t>
              </w:r>
            </w:hyperlink>
          </w:p>
        </w:tc>
        <w:tc>
          <w:tcPr>
            <w:tcW w:w="0" w:type="dxa"/>
            <w:vAlign w:val="bottom"/>
          </w:tcPr>
          <w:p>
            <w:pPr>
              <w:spacing w:after="0"/>
              <w:rPr>
                <w:sz w:val="1"/>
                <w:szCs w:val="1"/>
                <w:color w:val="auto"/>
              </w:rPr>
            </w:pPr>
          </w:p>
        </w:tc>
      </w:tr>
      <w:tr>
        <w:trPr>
          <w:trHeight w:val="169"/>
        </w:trPr>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14"/>
                <w:szCs w:val="14"/>
                <w:color w:val="auto"/>
              </w:rPr>
            </w:pPr>
          </w:p>
        </w:tc>
        <w:tc>
          <w:tcPr>
            <w:tcW w:w="46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4"/>
              </w:rPr>
            </w:pPr>
            <w:hyperlink r:id="rId323">
              <w:r>
                <w:rPr>
                  <w:rFonts w:ascii="Times New Roman" w:cs="Times New Roman" w:eastAsia="Times New Roman" w:hAnsi="Times New Roman"/>
                  <w:sz w:val="18"/>
                  <w:szCs w:val="18"/>
                  <w:color w:val="0000FF"/>
                  <w:w w:val="94"/>
                </w:rPr>
                <w:t>2022).</w:t>
              </w:r>
            </w:hyperlink>
          </w:p>
        </w:tc>
        <w:tc>
          <w:tcPr>
            <w:tcW w:w="20" w:type="dxa"/>
            <w:vAlign w:val="bottom"/>
            <w:tcBorders>
              <w:top w:val="single" w:sz="8" w:color="0000FF"/>
              <w:bottom w:val="single" w:sz="8" w:color="0000EE"/>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6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280" w:type="dxa"/>
            <w:vAlign w:val="bottom"/>
            <w:tcBorders>
              <w:top w:val="single" w:sz="8" w:color="0000FF"/>
            </w:tcBorders>
          </w:tcPr>
          <w:p>
            <w:pPr>
              <w:spacing w:after="0"/>
              <w:rPr>
                <w:sz w:val="14"/>
                <w:szCs w:val="14"/>
                <w:color w:val="auto"/>
              </w:rPr>
            </w:pPr>
          </w:p>
        </w:tc>
        <w:tc>
          <w:tcPr>
            <w:tcW w:w="9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9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920" w:type="dxa"/>
            <w:vAlign w:val="bottom"/>
            <w:tcBorders>
              <w:top w:val="single" w:sz="8" w:color="0000FF"/>
            </w:tcBorders>
          </w:tcPr>
          <w:p>
            <w:pPr>
              <w:spacing w:after="0"/>
              <w:rPr>
                <w:sz w:val="14"/>
                <w:szCs w:val="14"/>
                <w:color w:val="auto"/>
              </w:rPr>
            </w:pPr>
          </w:p>
        </w:tc>
        <w:tc>
          <w:tcPr>
            <w:tcW w:w="7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120" w:type="dxa"/>
            <w:vAlign w:val="bottom"/>
            <w:gridSpan w:val="36"/>
          </w:tcPr>
          <w:p>
            <w:pPr>
              <w:spacing w:after="0" w:line="182" w:lineRule="exact"/>
              <w:rPr>
                <w:rFonts w:ascii="Times New Roman" w:cs="Times New Roman" w:eastAsia="Times New Roman" w:hAnsi="Times New Roman"/>
                <w:sz w:val="18"/>
                <w:szCs w:val="18"/>
                <w:color w:val="0000FF"/>
              </w:rPr>
            </w:pPr>
            <w:hyperlink r:id="rId324">
              <w:r>
                <w:rPr>
                  <w:rFonts w:ascii="Times New Roman" w:cs="Times New Roman" w:eastAsia="Times New Roman" w:hAnsi="Times New Roman"/>
                  <w:sz w:val="18"/>
                  <w:szCs w:val="18"/>
                  <w:color w:val="0000FF"/>
                </w:rPr>
                <w:t>Amended and Restated Bylaws (incorporated by reference to Exhibit 3.2 of the Company’s Current Report on Form 8-K (File No. 001-</w:t>
              </w:r>
            </w:hyperlink>
          </w:p>
        </w:tc>
        <w:tc>
          <w:tcPr>
            <w:tcW w:w="0" w:type="dxa"/>
            <w:vAlign w:val="bottom"/>
          </w:tcPr>
          <w:p>
            <w:pPr>
              <w:spacing w:after="0"/>
              <w:rPr>
                <w:sz w:val="1"/>
                <w:szCs w:val="1"/>
                <w:color w:val="auto"/>
              </w:rPr>
            </w:pPr>
          </w:p>
        </w:tc>
      </w:tr>
      <w:tr>
        <w:trPr>
          <w:trHeight w:val="169"/>
        </w:trPr>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Pr>
          <w:p>
            <w:pPr>
              <w:spacing w:after="0"/>
              <w:rPr>
                <w:sz w:val="14"/>
                <w:szCs w:val="14"/>
                <w:color w:val="auto"/>
              </w:rPr>
            </w:pPr>
          </w:p>
        </w:tc>
        <w:tc>
          <w:tcPr>
            <w:tcW w:w="9740" w:type="dxa"/>
            <w:vAlign w:val="bottom"/>
            <w:tcBorders>
              <w:top w:val="single" w:sz="8" w:color="0000FF"/>
            </w:tcBorders>
            <w:gridSpan w:val="27"/>
          </w:tcPr>
          <w:p>
            <w:pPr>
              <w:spacing w:after="0" w:line="169" w:lineRule="exact"/>
              <w:rPr>
                <w:rFonts w:ascii="Times New Roman" w:cs="Times New Roman" w:eastAsia="Times New Roman" w:hAnsi="Times New Roman"/>
                <w:sz w:val="18"/>
                <w:szCs w:val="18"/>
                <w:color w:val="0000FF"/>
              </w:rPr>
            </w:pPr>
            <w:hyperlink r:id="rId324">
              <w:r>
                <w:rPr>
                  <w:rFonts w:ascii="Times New Roman" w:cs="Times New Roman" w:eastAsia="Times New Roman" w:hAnsi="Times New Roman"/>
                  <w:sz w:val="18"/>
                  <w:szCs w:val="18"/>
                  <w:color w:val="0000FF"/>
                </w:rPr>
                <w:t>40703)</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 filed with the Securities and Exchange Commission on September 13, 2022).</w:t>
              </w:r>
            </w:hyperlink>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120" w:type="dxa"/>
            <w:vAlign w:val="bottom"/>
            <w:gridSpan w:val="36"/>
          </w:tcPr>
          <w:p>
            <w:pPr>
              <w:spacing w:after="0" w:line="182" w:lineRule="exact"/>
              <w:rPr>
                <w:rFonts w:ascii="Times New Roman" w:cs="Times New Roman" w:eastAsia="Times New Roman" w:hAnsi="Times New Roman"/>
                <w:sz w:val="18"/>
                <w:szCs w:val="18"/>
                <w:color w:val="0000FF"/>
              </w:rPr>
            </w:pPr>
            <w:hyperlink r:id="rId325">
              <w:r>
                <w:rPr>
                  <w:rFonts w:ascii="Times New Roman" w:cs="Times New Roman" w:eastAsia="Times New Roman" w:hAnsi="Times New Roman"/>
                  <w:sz w:val="18"/>
                  <w:szCs w:val="18"/>
                  <w:color w:val="0000FF"/>
                </w:rPr>
                <w:t>Delaware Certificate of Change of Registered Agent (incorporated by reference to Exhibit 3.3 of the Company's Registration Statement on</w:t>
              </w:r>
            </w:hyperlink>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20" w:type="dxa"/>
            <w:vAlign w:val="bottom"/>
            <w:tcBorders>
              <w:top w:val="single" w:sz="8" w:color="0000FF"/>
            </w:tcBorders>
            <w:gridSpan w:val="31"/>
          </w:tcPr>
          <w:p>
            <w:pPr>
              <w:spacing w:after="0" w:line="169" w:lineRule="exact"/>
              <w:rPr>
                <w:rFonts w:ascii="Times New Roman" w:cs="Times New Roman" w:eastAsia="Times New Roman" w:hAnsi="Times New Roman"/>
                <w:sz w:val="18"/>
                <w:szCs w:val="18"/>
                <w:color w:val="0000FF"/>
              </w:rPr>
            </w:pPr>
            <w:hyperlink r:id="rId325">
              <w:r>
                <w:rPr>
                  <w:rFonts w:ascii="Times New Roman" w:cs="Times New Roman" w:eastAsia="Times New Roman" w:hAnsi="Times New Roman"/>
                  <w:sz w:val="18"/>
                  <w:szCs w:val="18"/>
                  <w:color w:val="0000FF"/>
                </w:rPr>
                <w:t>Form S-3 (File No. 333-267643), filed with the Securities and Exchange Commission on September 28, 2022).</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5"/>
                <w:szCs w:val="15"/>
                <w:color w:val="auto"/>
              </w:rPr>
            </w:pPr>
          </w:p>
        </w:tc>
        <w:tc>
          <w:tcPr>
            <w:tcW w:w="8040" w:type="dxa"/>
            <w:vAlign w:val="bottom"/>
            <w:tcBorders>
              <w:top w:val="single" w:sz="8" w:color="0000EE"/>
            </w:tcBorders>
            <w:gridSpan w:val="17"/>
          </w:tcPr>
          <w:p>
            <w:pPr>
              <w:spacing w:after="0" w:line="182" w:lineRule="exact"/>
              <w:rPr>
                <w:rFonts w:ascii="Times New Roman" w:cs="Times New Roman" w:eastAsia="Times New Roman" w:hAnsi="Times New Roman"/>
                <w:sz w:val="18"/>
                <w:szCs w:val="18"/>
                <w:color w:val="0000FF"/>
              </w:rPr>
            </w:pPr>
            <w:hyperlink r:id="rId326">
              <w:r>
                <w:rPr>
                  <w:rFonts w:ascii="Times New Roman" w:cs="Times New Roman" w:eastAsia="Times New Roman" w:hAnsi="Times New Roman"/>
                  <w:sz w:val="18"/>
                  <w:szCs w:val="18"/>
                  <w:color w:val="0000FF"/>
                </w:rPr>
                <w:t>Employment Agreement by and between the Registrant and David Hering, dated July 5, 2022 (incorporated by</w:t>
              </w:r>
            </w:hyperlink>
          </w:p>
        </w:tc>
        <w:tc>
          <w:tcPr>
            <w:tcW w:w="2080" w:type="dxa"/>
            <w:vAlign w:val="bottom"/>
            <w:gridSpan w:val="19"/>
          </w:tcPr>
          <w:p>
            <w:pPr>
              <w:spacing w:after="0" w:line="182" w:lineRule="exact"/>
              <w:rPr>
                <w:rFonts w:ascii="Times New Roman" w:cs="Times New Roman" w:eastAsia="Times New Roman" w:hAnsi="Times New Roman"/>
                <w:sz w:val="18"/>
                <w:szCs w:val="18"/>
                <w:color w:val="0000FF"/>
              </w:rPr>
            </w:pPr>
            <w:hyperlink r:id="rId326">
              <w:r>
                <w:rPr>
                  <w:rFonts w:ascii="Times New Roman" w:cs="Times New Roman" w:eastAsia="Times New Roman" w:hAnsi="Times New Roman"/>
                  <w:sz w:val="18"/>
                  <w:szCs w:val="18"/>
                  <w:color w:val="0000FF"/>
                </w:rPr>
                <w:t>reference to Exhibit 10.1 of</w:t>
              </w:r>
            </w:hyperlink>
          </w:p>
        </w:tc>
        <w:tc>
          <w:tcPr>
            <w:tcW w:w="0" w:type="dxa"/>
            <w:vAlign w:val="bottom"/>
          </w:tcPr>
          <w:p>
            <w:pPr>
              <w:spacing w:after="0"/>
              <w:rPr>
                <w:sz w:val="1"/>
                <w:szCs w:val="1"/>
                <w:color w:val="auto"/>
              </w:rPr>
            </w:pPr>
          </w:p>
        </w:tc>
      </w:tr>
      <w:tr>
        <w:trPr>
          <w:trHeight w:val="169"/>
        </w:trPr>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14"/>
                <w:szCs w:val="14"/>
                <w:color w:val="auto"/>
              </w:rPr>
            </w:pPr>
          </w:p>
        </w:tc>
        <w:tc>
          <w:tcPr>
            <w:tcW w:w="9840" w:type="dxa"/>
            <w:vAlign w:val="bottom"/>
            <w:tcBorders>
              <w:top w:val="single" w:sz="8" w:color="0000FF"/>
              <w:bottom w:val="single" w:sz="8" w:color="0000FF"/>
            </w:tcBorders>
            <w:gridSpan w:val="28"/>
          </w:tcPr>
          <w:p>
            <w:pPr>
              <w:spacing w:after="0" w:line="169" w:lineRule="exact"/>
              <w:rPr>
                <w:rFonts w:ascii="Times New Roman" w:cs="Times New Roman" w:eastAsia="Times New Roman" w:hAnsi="Times New Roman"/>
                <w:sz w:val="18"/>
                <w:szCs w:val="18"/>
                <w:color w:val="0000FF"/>
                <w:w w:val="99"/>
              </w:rPr>
            </w:pPr>
            <w:hyperlink r:id="rId326">
              <w:r>
                <w:rPr>
                  <w:rFonts w:ascii="Times New Roman" w:cs="Times New Roman" w:eastAsia="Times New Roman" w:hAnsi="Times New Roman"/>
                  <w:sz w:val="18"/>
                  <w:szCs w:val="18"/>
                  <w:color w:val="0000FF"/>
                  <w:w w:val="99"/>
                </w:rPr>
                <w:t>the Company's Current Report on Form 8-K (File No. 001-40703), filed with the Securities and Exchange Commission on July 5, 2022).</w:t>
              </w:r>
            </w:hyperlink>
          </w:p>
        </w:tc>
        <w:tc>
          <w:tcPr>
            <w:tcW w:w="20" w:type="dxa"/>
            <w:vAlign w:val="bottom"/>
            <w:tcBorders>
              <w:top w:val="single" w:sz="8" w:color="0000FF"/>
              <w:bottom w:val="single" w:sz="8" w:color="0000EE"/>
            </w:tcBorders>
          </w:tcPr>
          <w:p>
            <w:pPr>
              <w:spacing w:after="0"/>
              <w:rPr>
                <w:sz w:val="14"/>
                <w:szCs w:val="14"/>
                <w:color w:val="auto"/>
              </w:rPr>
            </w:pPr>
          </w:p>
        </w:tc>
        <w:tc>
          <w:tcPr>
            <w:tcW w:w="200" w:type="dxa"/>
            <w:vAlign w:val="bottom"/>
            <w:tcBorders>
              <w:top w:val="single" w:sz="8" w:color="0000FF"/>
            </w:tcBorders>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120" w:type="dxa"/>
            <w:vAlign w:val="bottom"/>
            <w:gridSpan w:val="36"/>
          </w:tcPr>
          <w:p>
            <w:pPr>
              <w:spacing w:after="0" w:line="182" w:lineRule="exact"/>
              <w:rPr>
                <w:rFonts w:ascii="Times New Roman" w:cs="Times New Roman" w:eastAsia="Times New Roman" w:hAnsi="Times New Roman"/>
                <w:sz w:val="18"/>
                <w:szCs w:val="18"/>
                <w:color w:val="0000FF"/>
              </w:rPr>
            </w:pPr>
            <w:hyperlink r:id="rId327">
              <w:r>
                <w:rPr>
                  <w:rFonts w:ascii="Times New Roman" w:cs="Times New Roman" w:eastAsia="Times New Roman" w:hAnsi="Times New Roman"/>
                  <w:sz w:val="18"/>
                  <w:szCs w:val="18"/>
                  <w:color w:val="0000FF"/>
                </w:rPr>
                <w:t>Form of Separation Agreement to be entered into between Invivyd, Inc. and Jane Pritchett Henderson (incorporated by reference to Exhibit</w:t>
              </w:r>
            </w:hyperlink>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80" w:type="dxa"/>
            <w:vAlign w:val="bottom"/>
            <w:tcBorders>
              <w:top w:val="single" w:sz="8" w:color="0000FF"/>
            </w:tcBorders>
            <w:gridSpan w:val="34"/>
          </w:tcPr>
          <w:p>
            <w:pPr>
              <w:spacing w:after="0" w:line="169" w:lineRule="exact"/>
              <w:rPr>
                <w:rFonts w:ascii="Times New Roman" w:cs="Times New Roman" w:eastAsia="Times New Roman" w:hAnsi="Times New Roman"/>
                <w:sz w:val="18"/>
                <w:szCs w:val="18"/>
                <w:color w:val="0000FF"/>
              </w:rPr>
            </w:pPr>
            <w:hyperlink r:id="rId32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of the Company's Current Report on Form 8-K (File No. 001-40703), filed with the Securities and Exchange Commission on October</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14"/>
                <w:szCs w:val="14"/>
                <w:color w:val="auto"/>
              </w:rPr>
            </w:pPr>
          </w:p>
        </w:tc>
        <w:tc>
          <w:tcPr>
            <w:tcW w:w="740" w:type="dxa"/>
            <w:vAlign w:val="bottom"/>
            <w:tcBorders>
              <w:top w:val="single" w:sz="8" w:color="0000FF"/>
            </w:tcBorders>
            <w:gridSpan w:val="3"/>
          </w:tcPr>
          <w:p>
            <w:pPr>
              <w:spacing w:after="0" w:line="169" w:lineRule="exact"/>
              <w:rPr>
                <w:rFonts w:ascii="Times New Roman" w:cs="Times New Roman" w:eastAsia="Times New Roman" w:hAnsi="Times New Roman"/>
                <w:sz w:val="18"/>
                <w:szCs w:val="18"/>
                <w:color w:val="0000FF"/>
                <w:w w:val="95"/>
              </w:rPr>
            </w:pPr>
            <w:hyperlink r:id="rId327">
              <w:r>
                <w:rPr>
                  <w:rFonts w:ascii="Times New Roman" w:cs="Times New Roman" w:eastAsia="Times New Roman" w:hAnsi="Times New Roman"/>
                  <w:sz w:val="18"/>
                  <w:szCs w:val="18"/>
                  <w:color w:val="0000FF"/>
                  <w:w w:val="95"/>
                </w:rPr>
                <w:t>13, 2022).</w:t>
              </w:r>
            </w:hyperlink>
          </w:p>
        </w:tc>
        <w:tc>
          <w:tcPr>
            <w:tcW w:w="1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6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280" w:type="dxa"/>
            <w:vAlign w:val="bottom"/>
            <w:tcBorders>
              <w:top w:val="single" w:sz="8" w:color="0000FF"/>
            </w:tcBorders>
          </w:tcPr>
          <w:p>
            <w:pPr>
              <w:spacing w:after="0"/>
              <w:rPr>
                <w:sz w:val="14"/>
                <w:szCs w:val="14"/>
                <w:color w:val="auto"/>
              </w:rPr>
            </w:pPr>
          </w:p>
        </w:tc>
        <w:tc>
          <w:tcPr>
            <w:tcW w:w="9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9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920" w:type="dxa"/>
            <w:vAlign w:val="bottom"/>
            <w:tcBorders>
              <w:top w:val="single" w:sz="8" w:color="0000FF"/>
            </w:tcBorders>
          </w:tcPr>
          <w:p>
            <w:pPr>
              <w:spacing w:after="0"/>
              <w:rPr>
                <w:sz w:val="14"/>
                <w:szCs w:val="14"/>
                <w:color w:val="auto"/>
              </w:rPr>
            </w:pPr>
          </w:p>
        </w:tc>
        <w:tc>
          <w:tcPr>
            <w:tcW w:w="7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EE"/>
            </w:tcBorders>
            <w:gridSpan w:val="3"/>
            <w:shd w:val="clear" w:color="auto" w:fill="0000FF"/>
          </w:tcPr>
          <w:p>
            <w:pPr>
              <w:spacing w:after="0" w:line="20" w:lineRule="exact"/>
              <w:rPr>
                <w:sz w:val="1"/>
                <w:szCs w:val="1"/>
                <w:color w:val="auto"/>
              </w:rPr>
            </w:pPr>
          </w:p>
        </w:tc>
        <w:tc>
          <w:tcPr>
            <w:tcW w:w="8720" w:type="dxa"/>
            <w:vAlign w:val="bottom"/>
            <w:gridSpan w:val="17"/>
            <w:vMerge w:val="restart"/>
          </w:tcPr>
          <w:p>
            <w:pPr>
              <w:ind w:left="100"/>
              <w:spacing w:after="0" w:line="202" w:lineRule="exact"/>
              <w:rPr>
                <w:rFonts w:ascii="Times New Roman" w:cs="Times New Roman" w:eastAsia="Times New Roman" w:hAnsi="Times New Roman"/>
                <w:sz w:val="18"/>
                <w:szCs w:val="18"/>
                <w:color w:val="0000FF"/>
              </w:rPr>
            </w:pPr>
            <w:hyperlink r:id="rId328">
              <w:r>
                <w:rPr>
                  <w:rFonts w:ascii="Times New Roman" w:cs="Times New Roman" w:eastAsia="Times New Roman" w:hAnsi="Times New Roman"/>
                  <w:sz w:val="18"/>
                  <w:szCs w:val="18"/>
                  <w:color w:val="0000FF"/>
                </w:rPr>
                <w:t>Services Agreement, effective as of October 13, 2022, by and between Invivyd, Inc. and Fred Driscoll (incorporated by</w:t>
              </w:r>
            </w:hyperlink>
          </w:p>
        </w:tc>
        <w:tc>
          <w:tcPr>
            <w:tcW w:w="660" w:type="dxa"/>
            <w:vAlign w:val="bottom"/>
            <w:gridSpan w:val="16"/>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Borders>
              <w:bottom w:val="single" w:sz="8" w:color="0000FF"/>
            </w:tcBorders>
            <w:gridSpan w:val="3"/>
          </w:tcPr>
          <w:p>
            <w:pPr>
              <w:spacing w:after="0" w:line="182" w:lineRule="exact"/>
              <w:rPr>
                <w:rFonts w:ascii="Times New Roman" w:cs="Times New Roman" w:eastAsia="Times New Roman" w:hAnsi="Times New Roman"/>
                <w:sz w:val="18"/>
                <w:szCs w:val="18"/>
                <w:color w:val="0000FF"/>
                <w:w w:val="88"/>
              </w:rPr>
            </w:pPr>
            <w:hyperlink r:id="rId328">
              <w:r>
                <w:rPr>
                  <w:rFonts w:ascii="Times New Roman" w:cs="Times New Roman" w:eastAsia="Times New Roman" w:hAnsi="Times New Roman"/>
                  <w:sz w:val="18"/>
                  <w:szCs w:val="18"/>
                  <w:color w:val="0000FF"/>
                  <w:w w:val="88"/>
                </w:rPr>
                <w:t>Consulting</w:t>
              </w:r>
            </w:hyperlink>
          </w:p>
        </w:tc>
        <w:tc>
          <w:tcPr>
            <w:tcW w:w="8720" w:type="dxa"/>
            <w:vAlign w:val="bottom"/>
            <w:tcBorders>
              <w:bottom w:val="single" w:sz="8" w:color="0000FF"/>
            </w:tcBorders>
            <w:gridSpan w:val="17"/>
            <w:vMerge w:val="continue"/>
          </w:tcPr>
          <w:p>
            <w:pPr>
              <w:spacing w:after="0"/>
              <w:rPr>
                <w:sz w:val="15"/>
                <w:szCs w:val="15"/>
                <w:color w:val="auto"/>
              </w:rPr>
            </w:pPr>
          </w:p>
        </w:tc>
        <w:tc>
          <w:tcPr>
            <w:tcW w:w="660" w:type="dxa"/>
            <w:vAlign w:val="bottom"/>
            <w:gridSpan w:val="1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120" w:type="dxa"/>
            <w:vAlign w:val="bottom"/>
            <w:gridSpan w:val="36"/>
          </w:tcPr>
          <w:p>
            <w:pPr>
              <w:spacing w:after="0" w:line="169" w:lineRule="exact"/>
              <w:rPr>
                <w:rFonts w:ascii="Times New Roman" w:cs="Times New Roman" w:eastAsia="Times New Roman" w:hAnsi="Times New Roman"/>
                <w:sz w:val="18"/>
                <w:szCs w:val="18"/>
                <w:color w:val="0000FF"/>
              </w:rPr>
            </w:pPr>
            <w:hyperlink r:id="rId328">
              <w:r>
                <w:rPr>
                  <w:rFonts w:ascii="Times New Roman" w:cs="Times New Roman" w:eastAsia="Times New Roman" w:hAnsi="Times New Roman"/>
                  <w:sz w:val="18"/>
                  <w:szCs w:val="18"/>
                  <w:color w:val="0000FF"/>
                </w:rPr>
                <w:t>reference to Exhibit 10.2 of the Company's Current Report on Form 8-K (File No. 001-40703), filed with the Securities and Exchange</w:t>
              </w:r>
            </w:hyperlink>
          </w:p>
        </w:tc>
        <w:tc>
          <w:tcPr>
            <w:tcW w:w="0" w:type="dxa"/>
            <w:vAlign w:val="bottom"/>
          </w:tcPr>
          <w:p>
            <w:pPr>
              <w:spacing w:after="0"/>
              <w:rPr>
                <w:sz w:val="1"/>
                <w:szCs w:val="1"/>
                <w:color w:val="auto"/>
              </w:rPr>
            </w:pPr>
          </w:p>
        </w:tc>
      </w:tr>
      <w:tr>
        <w:trPr>
          <w:trHeight w:val="169"/>
        </w:trPr>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14"/>
                <w:szCs w:val="14"/>
                <w:color w:val="auto"/>
              </w:rPr>
            </w:pPr>
          </w:p>
        </w:tc>
        <w:tc>
          <w:tcPr>
            <w:tcW w:w="254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328">
              <w:r>
                <w:rPr>
                  <w:rFonts w:ascii="Times New Roman" w:cs="Times New Roman" w:eastAsia="Times New Roman" w:hAnsi="Times New Roman"/>
                  <w:sz w:val="18"/>
                  <w:szCs w:val="18"/>
                  <w:color w:val="0000FF"/>
                  <w:w w:val="99"/>
                </w:rPr>
                <w:t>Commission on October 13, 2022).</w:t>
              </w:r>
            </w:hyperlink>
          </w:p>
        </w:tc>
        <w:tc>
          <w:tcPr>
            <w:tcW w:w="20" w:type="dxa"/>
            <w:vAlign w:val="bottom"/>
            <w:tcBorders>
              <w:top w:val="single" w:sz="8" w:color="0000FF"/>
              <w:bottom w:val="single" w:sz="8" w:color="0000EE"/>
            </w:tcBorders>
          </w:tcPr>
          <w:p>
            <w:pPr>
              <w:spacing w:after="0"/>
              <w:rPr>
                <w:sz w:val="14"/>
                <w:szCs w:val="14"/>
                <w:color w:val="auto"/>
              </w:rPr>
            </w:pPr>
          </w:p>
        </w:tc>
        <w:tc>
          <w:tcPr>
            <w:tcW w:w="7140" w:type="dxa"/>
            <w:vAlign w:val="bottom"/>
            <w:tcBorders>
              <w:top w:val="single" w:sz="8" w:color="0000FF"/>
            </w:tcBorders>
            <w:gridSpan w:val="18"/>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gridSpan w:val="6"/>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120" w:type="dxa"/>
            <w:vAlign w:val="bottom"/>
            <w:gridSpan w:val="36"/>
          </w:tcPr>
          <w:p>
            <w:pPr>
              <w:spacing w:after="0" w:line="182" w:lineRule="exact"/>
              <w:rPr>
                <w:sz w:val="20"/>
                <w:szCs w:val="20"/>
                <w:color w:val="auto"/>
              </w:rPr>
            </w:pPr>
            <w:r>
              <w:rPr>
                <w:rFonts w:ascii="Times New Roman" w:cs="Times New Roman" w:eastAsia="Times New Roman" w:hAnsi="Times New Roman"/>
                <w:sz w:val="18"/>
                <w:szCs w:val="18"/>
                <w:color w:val="0000FF"/>
              </w:rPr>
              <w:t>2020 Equity Incentive Plan and Forms of Stock Option Agreement, Notice of Stock Option Grant and Notice of Exercise.</w:t>
            </w:r>
          </w:p>
        </w:tc>
        <w:tc>
          <w:tcPr>
            <w:tcW w:w="0" w:type="dxa"/>
            <w:vAlign w:val="bottom"/>
          </w:tcPr>
          <w:p>
            <w:pPr>
              <w:spacing w:after="0"/>
              <w:rPr>
                <w:sz w:val="1"/>
                <w:szCs w:val="1"/>
                <w:color w:val="auto"/>
              </w:rPr>
            </w:pPr>
          </w:p>
        </w:tc>
      </w:tr>
      <w:tr>
        <w:trPr>
          <w:trHeight w:val="183"/>
        </w:trPr>
        <w:tc>
          <w:tcPr>
            <w:tcW w:w="10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15"/>
                <w:szCs w:val="15"/>
                <w:color w:val="auto"/>
              </w:rPr>
            </w:pPr>
          </w:p>
        </w:tc>
        <w:tc>
          <w:tcPr>
            <w:tcW w:w="8760" w:type="dxa"/>
            <w:vAlign w:val="bottom"/>
            <w:tcBorders>
              <w:top w:val="single" w:sz="8" w:color="0000FF"/>
            </w:tcBorders>
            <w:gridSpan w:val="18"/>
          </w:tcPr>
          <w:p>
            <w:pPr>
              <w:spacing w:after="0" w:line="182" w:lineRule="exact"/>
              <w:rPr>
                <w:sz w:val="20"/>
                <w:szCs w:val="20"/>
                <w:color w:val="auto"/>
              </w:rPr>
            </w:pPr>
            <w:r>
              <w:rPr>
                <w:rFonts w:ascii="Times New Roman" w:cs="Times New Roman" w:eastAsia="Times New Roman" w:hAnsi="Times New Roman"/>
                <w:sz w:val="18"/>
                <w:szCs w:val="18"/>
                <w:color w:val="0000FF"/>
              </w:rPr>
              <w:t>2021 Equity Incentive Plan and Forms of Stock Option Grant Notice, Stock Option Agreement, Notice of Exercise, RSU</w:t>
            </w:r>
          </w:p>
        </w:tc>
        <w:tc>
          <w:tcPr>
            <w:tcW w:w="20" w:type="dxa"/>
            <w:vAlign w:val="bottom"/>
            <w:tcBorders>
              <w:top w:val="single" w:sz="8" w:color="0000EE"/>
            </w:tcBorders>
          </w:tcPr>
          <w:p>
            <w:pPr>
              <w:spacing w:after="0"/>
              <w:rPr>
                <w:sz w:val="15"/>
                <w:szCs w:val="15"/>
                <w:color w:val="auto"/>
              </w:rPr>
            </w:pPr>
          </w:p>
        </w:tc>
        <w:tc>
          <w:tcPr>
            <w:tcW w:w="1340" w:type="dxa"/>
            <w:vAlign w:val="bottom"/>
            <w:gridSpan w:val="17"/>
          </w:tcPr>
          <w:p>
            <w:pPr>
              <w:spacing w:after="0" w:line="182" w:lineRule="exact"/>
              <w:rPr>
                <w:sz w:val="20"/>
                <w:szCs w:val="20"/>
                <w:color w:val="auto"/>
              </w:rPr>
            </w:pPr>
            <w:r>
              <w:rPr>
                <w:rFonts w:ascii="Times New Roman" w:cs="Times New Roman" w:eastAsia="Times New Roman" w:hAnsi="Times New Roman"/>
                <w:sz w:val="18"/>
                <w:szCs w:val="18"/>
                <w:color w:val="0000FF"/>
              </w:rPr>
              <w:t>Award Grant</w:t>
            </w:r>
          </w:p>
        </w:tc>
        <w:tc>
          <w:tcPr>
            <w:tcW w:w="0" w:type="dxa"/>
            <w:vAlign w:val="bottom"/>
          </w:tcPr>
          <w:p>
            <w:pPr>
              <w:spacing w:after="0"/>
              <w:rPr>
                <w:sz w:val="1"/>
                <w:szCs w:val="1"/>
                <w:color w:val="auto"/>
              </w:rPr>
            </w:pPr>
          </w:p>
        </w:tc>
      </w:tr>
      <w:tr>
        <w:trPr>
          <w:trHeight w:val="169"/>
        </w:trPr>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14"/>
                <w:szCs w:val="14"/>
                <w:color w:val="auto"/>
              </w:rPr>
            </w:pPr>
          </w:p>
        </w:tc>
        <w:tc>
          <w:tcPr>
            <w:tcW w:w="9720" w:type="dxa"/>
            <w:vAlign w:val="bottom"/>
            <w:tcBorders>
              <w:top w:val="single" w:sz="8" w:color="0000FF"/>
            </w:tcBorders>
            <w:gridSpan w:val="26"/>
          </w:tcPr>
          <w:p>
            <w:pPr>
              <w:spacing w:after="0" w:line="169" w:lineRule="exact"/>
              <w:rPr>
                <w:sz w:val="20"/>
                <w:szCs w:val="20"/>
                <w:color w:val="auto"/>
              </w:rPr>
            </w:pPr>
            <w:r>
              <w:rPr>
                <w:rFonts w:ascii="Times New Roman" w:cs="Times New Roman" w:eastAsia="Times New Roman" w:hAnsi="Times New Roman"/>
                <w:sz w:val="18"/>
                <w:szCs w:val="18"/>
                <w:color w:val="0000FF"/>
              </w:rPr>
              <w:t>Notice and RSU Award Agreement.</w:t>
            </w:r>
          </w:p>
        </w:tc>
        <w:tc>
          <w:tcPr>
            <w:tcW w:w="320" w:type="dxa"/>
            <w:vAlign w:val="bottom"/>
            <w:gridSpan w:val="6"/>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620" w:type="dxa"/>
            <w:vAlign w:val="bottom"/>
            <w:gridSpan w:val="1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120" w:type="dxa"/>
            <w:vAlign w:val="bottom"/>
            <w:gridSpan w:val="36"/>
          </w:tcPr>
          <w:p>
            <w:pPr>
              <w:spacing w:after="0" w:line="182" w:lineRule="exact"/>
              <w:rPr>
                <w:sz w:val="20"/>
                <w:szCs w:val="20"/>
                <w:color w:val="auto"/>
              </w:rPr>
            </w:pPr>
            <w:r>
              <w:rPr>
                <w:rFonts w:ascii="Times New Roman" w:cs="Times New Roman" w:eastAsia="Times New Roman" w:hAnsi="Times New Roman"/>
                <w:sz w:val="18"/>
                <w:szCs w:val="18"/>
                <w:color w:val="0000FF"/>
              </w:rPr>
              <w:t>2021 Employee Stock Purchase Plan.</w:t>
            </w:r>
          </w:p>
        </w:tc>
        <w:tc>
          <w:tcPr>
            <w:tcW w:w="0" w:type="dxa"/>
            <w:vAlign w:val="bottom"/>
          </w:tcPr>
          <w:p>
            <w:pPr>
              <w:spacing w:after="0"/>
              <w:rPr>
                <w:sz w:val="1"/>
                <w:szCs w:val="1"/>
                <w:color w:val="auto"/>
              </w:rPr>
            </w:pPr>
          </w:p>
        </w:tc>
      </w:tr>
      <w:tr>
        <w:trPr>
          <w:trHeight w:val="183"/>
        </w:trPr>
        <w:tc>
          <w:tcPr>
            <w:tcW w:w="10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15"/>
                <w:szCs w:val="15"/>
                <w:color w:val="auto"/>
              </w:rPr>
            </w:pPr>
          </w:p>
        </w:tc>
        <w:tc>
          <w:tcPr>
            <w:tcW w:w="2680" w:type="dxa"/>
            <w:vAlign w:val="bottom"/>
            <w:tcBorders>
              <w:top w:val="single" w:sz="8" w:color="0000FF"/>
            </w:tcBorders>
            <w:gridSpan w:val="9"/>
          </w:tcPr>
          <w:p>
            <w:pPr>
              <w:spacing w:after="0" w:line="182" w:lineRule="exact"/>
              <w:rPr>
                <w:sz w:val="20"/>
                <w:szCs w:val="20"/>
                <w:color w:val="auto"/>
              </w:rPr>
            </w:pPr>
            <w:r>
              <w:rPr>
                <w:rFonts w:ascii="Times New Roman" w:cs="Times New Roman" w:eastAsia="Times New Roman" w:hAnsi="Times New Roman"/>
                <w:sz w:val="18"/>
                <w:szCs w:val="18"/>
                <w:color w:val="0000FF"/>
              </w:rPr>
              <w:t>Certification of Principal Executive</w:t>
            </w:r>
          </w:p>
        </w:tc>
        <w:tc>
          <w:tcPr>
            <w:tcW w:w="20" w:type="dxa"/>
            <w:vAlign w:val="bottom"/>
            <w:tcBorders>
              <w:top w:val="single" w:sz="8" w:color="0000EE"/>
            </w:tcBorders>
          </w:tcPr>
          <w:p>
            <w:pPr>
              <w:spacing w:after="0"/>
              <w:rPr>
                <w:sz w:val="15"/>
                <w:szCs w:val="15"/>
                <w:color w:val="auto"/>
              </w:rPr>
            </w:pPr>
          </w:p>
        </w:tc>
        <w:tc>
          <w:tcPr>
            <w:tcW w:w="7420" w:type="dxa"/>
            <w:vAlign w:val="bottom"/>
            <w:gridSpan w:val="26"/>
          </w:tcPr>
          <w:p>
            <w:pPr>
              <w:spacing w:after="0" w:line="182" w:lineRule="exact"/>
              <w:rPr>
                <w:sz w:val="20"/>
                <w:szCs w:val="20"/>
                <w:color w:val="auto"/>
              </w:rPr>
            </w:pPr>
            <w:r>
              <w:rPr>
                <w:rFonts w:ascii="Times New Roman" w:cs="Times New Roman" w:eastAsia="Times New Roman" w:hAnsi="Times New Roman"/>
                <w:sz w:val="18"/>
                <w:szCs w:val="18"/>
                <w:color w:val="0000FF"/>
              </w:rPr>
              <w:t>Officer Pursuant to Rules 13a-14(a) and 15d-14(a) under the Securities Exchange Act of 1934, as</w:t>
            </w:r>
          </w:p>
        </w:tc>
        <w:tc>
          <w:tcPr>
            <w:tcW w:w="0" w:type="dxa"/>
            <w:vAlign w:val="bottom"/>
          </w:tcPr>
          <w:p>
            <w:pPr>
              <w:spacing w:after="0"/>
              <w:rPr>
                <w:sz w:val="1"/>
                <w:szCs w:val="1"/>
                <w:color w:val="auto"/>
              </w:rPr>
            </w:pPr>
          </w:p>
        </w:tc>
      </w:tr>
      <w:tr>
        <w:trPr>
          <w:trHeight w:val="169"/>
        </w:trPr>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14"/>
                <w:szCs w:val="14"/>
                <w:color w:val="auto"/>
              </w:rPr>
            </w:pPr>
          </w:p>
        </w:tc>
        <w:tc>
          <w:tcPr>
            <w:tcW w:w="4980" w:type="dxa"/>
            <w:vAlign w:val="bottom"/>
            <w:tcBorders>
              <w:top w:val="single" w:sz="8" w:color="0000FF"/>
              <w:bottom w:val="single" w:sz="8" w:color="0000FF"/>
            </w:tcBorders>
            <w:gridSpan w:val="11"/>
          </w:tcPr>
          <w:p>
            <w:pPr>
              <w:spacing w:after="0" w:line="169"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4680" w:type="dxa"/>
            <w:vAlign w:val="bottom"/>
            <w:tcBorders>
              <w:top w:val="single" w:sz="8" w:color="0000FF"/>
            </w:tcBorders>
            <w:gridSpan w:val="12"/>
          </w:tcPr>
          <w:p>
            <w:pPr>
              <w:spacing w:after="0"/>
              <w:rPr>
                <w:sz w:val="14"/>
                <w:szCs w:val="14"/>
                <w:color w:val="auto"/>
              </w:rPr>
            </w:pPr>
          </w:p>
        </w:tc>
        <w:tc>
          <w:tcPr>
            <w:tcW w:w="380" w:type="dxa"/>
            <w:vAlign w:val="bottom"/>
            <w:gridSpan w:val="9"/>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120" w:type="dxa"/>
            <w:vAlign w:val="bottom"/>
            <w:gridSpan w:val="36"/>
          </w:tcPr>
          <w:p>
            <w:pPr>
              <w:spacing w:after="0" w:line="182"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169"/>
        </w:trPr>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14"/>
                <w:szCs w:val="14"/>
                <w:color w:val="auto"/>
              </w:rPr>
            </w:pPr>
          </w:p>
        </w:tc>
        <w:tc>
          <w:tcPr>
            <w:tcW w:w="4980" w:type="dxa"/>
            <w:vAlign w:val="bottom"/>
            <w:tcBorders>
              <w:top w:val="single" w:sz="8" w:color="0000FF"/>
              <w:bottom w:val="single" w:sz="8" w:color="0000FF"/>
            </w:tcBorders>
            <w:gridSpan w:val="11"/>
          </w:tcPr>
          <w:p>
            <w:pPr>
              <w:spacing w:after="0" w:line="169"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4620" w:type="dxa"/>
            <w:vAlign w:val="bottom"/>
            <w:tcBorders>
              <w:top w:val="single" w:sz="8" w:color="0000FF"/>
            </w:tcBorders>
            <w:gridSpan w:val="11"/>
          </w:tcPr>
          <w:p>
            <w:pPr>
              <w:spacing w:after="0"/>
              <w:rPr>
                <w:sz w:val="14"/>
                <w:szCs w:val="14"/>
                <w:color w:val="auto"/>
              </w:rPr>
            </w:pPr>
          </w:p>
        </w:tc>
        <w:tc>
          <w:tcPr>
            <w:tcW w:w="440" w:type="dxa"/>
            <w:vAlign w:val="bottom"/>
            <w:gridSpan w:val="10"/>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120" w:type="dxa"/>
            <w:vAlign w:val="bottom"/>
            <w:gridSpan w:val="36"/>
          </w:tcPr>
          <w:p>
            <w:pPr>
              <w:spacing w:after="0" w:line="182"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169"/>
        </w:trPr>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rPr>
                <w:sz w:val="14"/>
                <w:szCs w:val="14"/>
                <w:color w:val="auto"/>
              </w:rPr>
            </w:pPr>
          </w:p>
        </w:tc>
        <w:tc>
          <w:tcPr>
            <w:tcW w:w="900" w:type="dxa"/>
            <w:vAlign w:val="bottom"/>
            <w:tcBorders>
              <w:top w:val="single" w:sz="8" w:color="0000FF"/>
              <w:bottom w:val="single" w:sz="8" w:color="0000FF"/>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FF"/>
                <w:w w:val="97"/>
              </w:rPr>
              <w:t>Act of 2002.</w:t>
            </w:r>
          </w:p>
        </w:tc>
        <w:tc>
          <w:tcPr>
            <w:tcW w:w="20" w:type="dxa"/>
            <w:vAlign w:val="bottom"/>
            <w:tcBorders>
              <w:top w:val="single" w:sz="8" w:color="0000FF"/>
              <w:bottom w:val="single" w:sz="8" w:color="0000EE"/>
            </w:tcBorders>
          </w:tcPr>
          <w:p>
            <w:pPr>
              <w:spacing w:after="0"/>
              <w:rPr>
                <w:sz w:val="14"/>
                <w:szCs w:val="14"/>
                <w:color w:val="auto"/>
              </w:rPr>
            </w:pPr>
          </w:p>
        </w:tc>
        <w:tc>
          <w:tcPr>
            <w:tcW w:w="9180" w:type="dxa"/>
            <w:vAlign w:val="bottom"/>
            <w:tcBorders>
              <w:top w:val="single" w:sz="8" w:color="0000FF"/>
            </w:tcBorders>
            <w:gridSpan w:val="30"/>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0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5"/>
          </w:tcPr>
          <w:p>
            <w:pPr>
              <w:spacing w:after="0" w:line="182" w:lineRule="exact"/>
              <w:rPr>
                <w:sz w:val="20"/>
                <w:szCs w:val="20"/>
                <w:color w:val="auto"/>
              </w:rPr>
            </w:pPr>
            <w:r>
              <w:rPr>
                <w:rFonts w:ascii="Times New Roman" w:cs="Times New Roman" w:eastAsia="Times New Roman" w:hAnsi="Times New Roman"/>
                <w:sz w:val="18"/>
                <w:szCs w:val="18"/>
                <w:color w:val="0000FF"/>
                <w:w w:val="98"/>
              </w:rPr>
              <w:t>Certification</w:t>
            </w:r>
          </w:p>
        </w:tc>
        <w:tc>
          <w:tcPr>
            <w:tcW w:w="9200" w:type="dxa"/>
            <w:vAlign w:val="bottom"/>
            <w:gridSpan w:val="31"/>
          </w:tcPr>
          <w:p>
            <w:pPr>
              <w:ind w:left="20"/>
              <w:spacing w:after="0" w:line="182" w:lineRule="exact"/>
              <w:rPr>
                <w:sz w:val="20"/>
                <w:szCs w:val="20"/>
                <w:color w:val="auto"/>
              </w:rPr>
            </w:pPr>
            <w:r>
              <w:rPr>
                <w:rFonts w:ascii="Times New Roman" w:cs="Times New Roman" w:eastAsia="Times New Roman" w:hAnsi="Times New Roman"/>
                <w:sz w:val="18"/>
                <w:szCs w:val="18"/>
                <w:color w:val="0000FF"/>
              </w:rPr>
              <w:t>of Principal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169"/>
        </w:trPr>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40" w:type="dxa"/>
            <w:vAlign w:val="bottom"/>
          </w:tcPr>
          <w:p>
            <w:pPr>
              <w:spacing w:after="0"/>
              <w:rPr>
                <w:sz w:val="14"/>
                <w:szCs w:val="14"/>
                <w:color w:val="auto"/>
              </w:rPr>
            </w:pPr>
          </w:p>
        </w:tc>
        <w:tc>
          <w:tcPr>
            <w:tcW w:w="900" w:type="dxa"/>
            <w:vAlign w:val="bottom"/>
            <w:tcBorders>
              <w:top w:val="single" w:sz="8" w:color="0000FF"/>
              <w:bottom w:val="single" w:sz="8" w:color="0000FF"/>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FF"/>
                <w:w w:val="97"/>
              </w:rPr>
              <w:t>Act of 2002.</w:t>
            </w:r>
          </w:p>
        </w:tc>
        <w:tc>
          <w:tcPr>
            <w:tcW w:w="20" w:type="dxa"/>
            <w:vAlign w:val="bottom"/>
            <w:tcBorders>
              <w:top w:val="single" w:sz="8" w:color="0000FF"/>
              <w:bottom w:val="single" w:sz="8" w:color="0000EE"/>
            </w:tcBorders>
          </w:tcPr>
          <w:p>
            <w:pPr>
              <w:spacing w:after="0"/>
              <w:rPr>
                <w:sz w:val="14"/>
                <w:szCs w:val="14"/>
                <w:color w:val="auto"/>
              </w:rPr>
            </w:pPr>
          </w:p>
        </w:tc>
        <w:tc>
          <w:tcPr>
            <w:tcW w:w="9120" w:type="dxa"/>
            <w:vAlign w:val="bottom"/>
            <w:tcBorders>
              <w:top w:val="single" w:sz="8" w:color="0000FF"/>
            </w:tcBorders>
            <w:gridSpan w:val="27"/>
          </w:tcPr>
          <w:p>
            <w:pPr>
              <w:spacing w:after="0"/>
              <w:rPr>
                <w:sz w:val="14"/>
                <w:szCs w:val="14"/>
                <w:color w:val="auto"/>
              </w:rPr>
            </w:pPr>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0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5"/>
          </w:tcPr>
          <w:p>
            <w:pPr>
              <w:spacing w:after="0" w:line="177" w:lineRule="exact"/>
              <w:rPr>
                <w:sz w:val="20"/>
                <w:szCs w:val="20"/>
                <w:color w:val="auto"/>
              </w:rPr>
            </w:pPr>
            <w:r>
              <w:rPr>
                <w:rFonts w:ascii="Times New Roman" w:cs="Times New Roman" w:eastAsia="Times New Roman" w:hAnsi="Times New Roman"/>
                <w:sz w:val="18"/>
                <w:szCs w:val="18"/>
                <w:color w:val="auto"/>
                <w:w w:val="95"/>
              </w:rPr>
              <w:t>Inline XBRL</w:t>
            </w:r>
          </w:p>
        </w:tc>
        <w:tc>
          <w:tcPr>
            <w:tcW w:w="9200" w:type="dxa"/>
            <w:vAlign w:val="bottom"/>
            <w:gridSpan w:val="31"/>
          </w:tcPr>
          <w:p>
            <w:pPr>
              <w:ind w:left="60"/>
              <w:spacing w:after="0" w:line="177" w:lineRule="exact"/>
              <w:rPr>
                <w:sz w:val="20"/>
                <w:szCs w:val="20"/>
                <w:color w:val="auto"/>
              </w:rPr>
            </w:pPr>
            <w:r>
              <w:rPr>
                <w:rFonts w:ascii="Times New Roman" w:cs="Times New Roman" w:eastAsia="Times New Roman" w:hAnsi="Times New Roman"/>
                <w:sz w:val="18"/>
                <w:szCs w:val="18"/>
                <w:color w:val="auto"/>
              </w:rPr>
              <w:t>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20" w:type="dxa"/>
            <w:vAlign w:val="bottom"/>
            <w:gridSpan w:val="36"/>
          </w:tcPr>
          <w:p>
            <w:pPr>
              <w:spacing w:after="0" w:line="202" w:lineRule="exact"/>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03"/>
        </w:trPr>
        <w:tc>
          <w:tcPr>
            <w:tcW w:w="10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101.SCH*</w:t>
            </w:r>
          </w:p>
        </w:tc>
        <w:tc>
          <w:tcPr>
            <w:tcW w:w="140" w:type="dxa"/>
            <w:vAlign w:val="bottom"/>
          </w:tcPr>
          <w:p>
            <w:pPr>
              <w:spacing w:after="0"/>
              <w:rPr>
                <w:sz w:val="17"/>
                <w:szCs w:val="17"/>
                <w:color w:val="auto"/>
              </w:rPr>
            </w:pPr>
          </w:p>
        </w:tc>
        <w:tc>
          <w:tcPr>
            <w:tcW w:w="10120" w:type="dxa"/>
            <w:vAlign w:val="bottom"/>
            <w:gridSpan w:val="36"/>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03"/>
        </w:trPr>
        <w:tc>
          <w:tcPr>
            <w:tcW w:w="10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101.CAL*</w:t>
            </w:r>
          </w:p>
        </w:tc>
        <w:tc>
          <w:tcPr>
            <w:tcW w:w="140" w:type="dxa"/>
            <w:vAlign w:val="bottom"/>
          </w:tcPr>
          <w:p>
            <w:pPr>
              <w:spacing w:after="0"/>
              <w:rPr>
                <w:sz w:val="17"/>
                <w:szCs w:val="17"/>
                <w:color w:val="auto"/>
              </w:rPr>
            </w:pPr>
          </w:p>
        </w:tc>
        <w:tc>
          <w:tcPr>
            <w:tcW w:w="10120" w:type="dxa"/>
            <w:vAlign w:val="bottom"/>
            <w:gridSpan w:val="36"/>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03"/>
        </w:trPr>
        <w:tc>
          <w:tcPr>
            <w:tcW w:w="10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101.DEF*</w:t>
            </w:r>
          </w:p>
        </w:tc>
        <w:tc>
          <w:tcPr>
            <w:tcW w:w="140" w:type="dxa"/>
            <w:vAlign w:val="bottom"/>
          </w:tcPr>
          <w:p>
            <w:pPr>
              <w:spacing w:after="0"/>
              <w:rPr>
                <w:sz w:val="17"/>
                <w:szCs w:val="17"/>
                <w:color w:val="auto"/>
              </w:rPr>
            </w:pPr>
          </w:p>
        </w:tc>
        <w:tc>
          <w:tcPr>
            <w:tcW w:w="10120" w:type="dxa"/>
            <w:vAlign w:val="bottom"/>
            <w:gridSpan w:val="36"/>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03"/>
        </w:trPr>
        <w:tc>
          <w:tcPr>
            <w:tcW w:w="10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101.LAB*</w:t>
            </w:r>
          </w:p>
        </w:tc>
        <w:tc>
          <w:tcPr>
            <w:tcW w:w="140" w:type="dxa"/>
            <w:vAlign w:val="bottom"/>
          </w:tcPr>
          <w:p>
            <w:pPr>
              <w:spacing w:after="0"/>
              <w:rPr>
                <w:sz w:val="17"/>
                <w:szCs w:val="17"/>
                <w:color w:val="auto"/>
              </w:rPr>
            </w:pPr>
          </w:p>
        </w:tc>
        <w:tc>
          <w:tcPr>
            <w:tcW w:w="10120" w:type="dxa"/>
            <w:vAlign w:val="bottom"/>
            <w:gridSpan w:val="36"/>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03"/>
        </w:trPr>
        <w:tc>
          <w:tcPr>
            <w:tcW w:w="10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101.PRE*</w:t>
            </w:r>
          </w:p>
        </w:tc>
        <w:tc>
          <w:tcPr>
            <w:tcW w:w="140" w:type="dxa"/>
            <w:vAlign w:val="bottom"/>
          </w:tcPr>
          <w:p>
            <w:pPr>
              <w:spacing w:after="0"/>
              <w:rPr>
                <w:sz w:val="17"/>
                <w:szCs w:val="17"/>
                <w:color w:val="auto"/>
              </w:rPr>
            </w:pPr>
          </w:p>
        </w:tc>
        <w:tc>
          <w:tcPr>
            <w:tcW w:w="10120" w:type="dxa"/>
            <w:vAlign w:val="bottom"/>
            <w:gridSpan w:val="36"/>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0"/>
                <w:szCs w:val="20"/>
                <w:color w:val="auto"/>
              </w:rPr>
            </w:pPr>
          </w:p>
        </w:tc>
        <w:tc>
          <w:tcPr>
            <w:tcW w:w="10120" w:type="dxa"/>
            <w:vAlign w:val="bottom"/>
            <w:gridSpan w:val="36"/>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480" w:hanging="459"/>
        <w:spacing w:after="0"/>
        <w:tabs>
          <w:tab w:leader="none" w:pos="4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480" w:right="320" w:hanging="459"/>
        <w:spacing w:after="0" w:line="234" w:lineRule="auto"/>
        <w:tabs>
          <w:tab w:leader="none" w:pos="4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Schedules have been omitted pursuant to Item 601(a)(5) of Regulation S-K. The registrant undertakes to furnish supplemental copies of any of the omitted schedules upon request by the SEC.</w:t>
      </w:r>
    </w:p>
    <w:p>
      <w:pPr>
        <w:spacing w:after="0" w:line="1" w:lineRule="exact"/>
        <w:rPr>
          <w:sz w:val="20"/>
          <w:szCs w:val="20"/>
          <w:color w:val="auto"/>
        </w:rPr>
      </w:pPr>
    </w:p>
    <w:p>
      <w:pPr>
        <w:ind w:left="480" w:right="520" w:hanging="459"/>
        <w:spacing w:after="0" w:line="229" w:lineRule="auto"/>
        <w:tabs>
          <w:tab w:leader="none" w:pos="4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and not “filed” for purposes of Section 18 of the Securities Exchange Act of 1934, as amended (the “Exchange Act”), or otherwise subject to the liability of that section. Such certification will not be deemed to be incorporated by reference into any filing under the Securities Act of 1933, as amended, or the Exchange Act, except to the extent specifically incorporated by reference into such filing.</w:t>
      </w:r>
    </w:p>
    <w:p>
      <w:pPr>
        <w:spacing w:after="0" w:line="2" w:lineRule="exact"/>
        <w:rPr>
          <w:sz w:val="20"/>
          <w:szCs w:val="20"/>
          <w:color w:val="auto"/>
        </w:rPr>
      </w:pPr>
    </w:p>
    <w:p>
      <w:pPr>
        <w:ind w:left="5540" w:right="2680" w:hanging="5519"/>
        <w:spacing w:after="0" w:line="746" w:lineRule="auto"/>
        <w:tabs>
          <w:tab w:leader="none" w:pos="48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 solely to reflect the name change of the company from Adagio Therapeutics, Inc. to Invivyd, Inc.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-220345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97" w:name="page98"/>
    <w:bookmarkEnd w:id="9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INVIVYD, INC.</w:t>
      </w:r>
    </w:p>
    <w:p>
      <w:pPr>
        <w:spacing w:after="0" w:line="198" w:lineRule="exact"/>
        <w:rPr>
          <w:sz w:val="20"/>
          <w:szCs w:val="20"/>
          <w:color w:val="auto"/>
        </w:rPr>
      </w:pPr>
    </w:p>
    <w:p>
      <w:pPr>
        <w:ind w:left="20"/>
        <w:spacing w:after="0"/>
        <w:tabs>
          <w:tab w:leader="none" w:pos="5680" w:val="left"/>
          <w:tab w:leader="none" w:pos="7700" w:val="left"/>
        </w:tabs>
        <w:rPr>
          <w:sz w:val="20"/>
          <w:szCs w:val="20"/>
          <w:color w:val="auto"/>
        </w:rPr>
      </w:pPr>
      <w:r>
        <w:rPr>
          <w:rFonts w:ascii="Times New Roman" w:cs="Times New Roman" w:eastAsia="Times New Roman" w:hAnsi="Times New Roman"/>
          <w:sz w:val="18"/>
          <w:szCs w:val="18"/>
          <w:color w:val="auto"/>
        </w:rPr>
        <w:t>Date: November 10,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Hering,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5"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David Hering, M.B.A.</w:t>
      </w:r>
    </w:p>
    <w:p>
      <w:pPr>
        <w:jc w:val="center"/>
        <w:ind w:left="6020"/>
        <w:spacing w:after="0" w:line="234" w:lineRule="auto"/>
        <w:rPr>
          <w:sz w:val="20"/>
          <w:szCs w:val="20"/>
          <w:color w:val="auto"/>
        </w:rPr>
      </w:pPr>
      <w:r>
        <w:rPr>
          <w:rFonts w:ascii="Times New Roman" w:cs="Times New Roman" w:eastAsia="Times New Roman" w:hAnsi="Times New Roman"/>
          <w:sz w:val="18"/>
          <w:szCs w:val="18"/>
          <w:b w:val="1"/>
          <w:bCs w:val="1"/>
          <w:color w:val="auto"/>
        </w:rPr>
        <w:t>Chief Executive Officer and Director</w:t>
      </w:r>
    </w:p>
    <w:p>
      <w:pPr>
        <w:spacing w:after="0" w:line="1"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i w:val="1"/>
          <w:iCs w:val="1"/>
          <w:color w:val="auto"/>
        </w:rPr>
        <w:t>(Principal Executive Officer)</w:t>
      </w:r>
    </w:p>
    <w:p>
      <w:pPr>
        <w:spacing w:after="0" w:line="178" w:lineRule="exact"/>
        <w:rPr>
          <w:sz w:val="20"/>
          <w:szCs w:val="20"/>
          <w:color w:val="auto"/>
        </w:rPr>
      </w:pPr>
    </w:p>
    <w:p>
      <w:pPr>
        <w:ind w:left="20"/>
        <w:spacing w:after="0"/>
        <w:tabs>
          <w:tab w:leader="none" w:pos="5680" w:val="left"/>
          <w:tab w:leader="none" w:pos="7720" w:val="left"/>
        </w:tabs>
        <w:rPr>
          <w:sz w:val="20"/>
          <w:szCs w:val="20"/>
          <w:color w:val="auto"/>
        </w:rPr>
      </w:pPr>
      <w:r>
        <w:rPr>
          <w:rFonts w:ascii="Times New Roman" w:cs="Times New Roman" w:eastAsia="Times New Roman" w:hAnsi="Times New Roman"/>
          <w:sz w:val="18"/>
          <w:szCs w:val="18"/>
          <w:color w:val="auto"/>
        </w:rPr>
        <w:t>Date: November 10,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Frederick W. Driscoll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5"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Frederick W. Driscoll</w:t>
      </w:r>
    </w:p>
    <w:p>
      <w:pPr>
        <w:jc w:val="center"/>
        <w:ind w:left="6020"/>
        <w:spacing w:after="0" w:line="234" w:lineRule="auto"/>
        <w:rPr>
          <w:sz w:val="20"/>
          <w:szCs w:val="20"/>
          <w:color w:val="auto"/>
        </w:rPr>
      </w:pPr>
      <w:r>
        <w:rPr>
          <w:rFonts w:ascii="Times New Roman" w:cs="Times New Roman" w:eastAsia="Times New Roman" w:hAnsi="Times New Roman"/>
          <w:sz w:val="18"/>
          <w:szCs w:val="18"/>
          <w:b w:val="1"/>
          <w:bCs w:val="1"/>
          <w:color w:val="auto"/>
        </w:rPr>
        <w:t>Interim Chief Financial Officer</w:t>
      </w:r>
    </w:p>
    <w:p>
      <w:pPr>
        <w:spacing w:after="0" w:line="1"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i w:val="1"/>
          <w:iCs w:val="1"/>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INVIVYD,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2020 EQUITY INCENTIVE PLAN</w:t>
      </w:r>
    </w:p>
    <w:p>
      <w:pPr>
        <w:spacing w:after="0" w:line="8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2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b w:val="1"/>
          <w:bCs w:val="1"/>
          <w:color w:val="auto"/>
        </w:rPr>
        <w:t>PURPOSE.</w:t>
      </w:r>
    </w:p>
    <w:p>
      <w:pPr>
        <w:spacing w:after="0" w:line="194" w:lineRule="exact"/>
        <w:rPr>
          <w:sz w:val="20"/>
          <w:szCs w:val="20"/>
          <w:color w:val="auto"/>
        </w:rPr>
      </w:pPr>
    </w:p>
    <w:p>
      <w:pPr>
        <w:ind w:right="40" w:firstLine="509"/>
        <w:spacing w:after="0" w:line="244" w:lineRule="auto"/>
        <w:rPr>
          <w:sz w:val="20"/>
          <w:szCs w:val="20"/>
          <w:color w:val="auto"/>
        </w:rPr>
      </w:pPr>
      <w:r>
        <w:rPr>
          <w:rFonts w:ascii="Times New Roman" w:cs="Times New Roman" w:eastAsia="Times New Roman" w:hAnsi="Times New Roman"/>
          <w:sz w:val="20"/>
          <w:szCs w:val="20"/>
          <w:color w:val="auto"/>
        </w:rPr>
        <w:t>The purpose of the Plan is to advance the interests of the Company’s stockholders by enhancing the Company’s ability to attract, retain and motivate persons who make (or are expected to make) important contributions to the Company by providing such persons with equity ownership opportunities and thereby better aligning the interests of such persons with those of the Company’s stockholders. Capitalized terms used in the Plan are defined in Article XI below.</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ELIGIBILITY.</w:t>
      </w:r>
    </w:p>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Service Providers are eligible to be granted Awards under the Plan, subject to the limitations described herein.</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ADMINISTRATION AND DELEGATION.</w:t>
      </w:r>
    </w:p>
    <w:p>
      <w:pPr>
        <w:spacing w:after="0" w:line="194"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9"/>
          <w:szCs w:val="19"/>
          <w:color w:val="auto"/>
        </w:rPr>
        <w:t xml:space="preserve">3.1 </w:t>
      </w:r>
      <w:r>
        <w:rPr>
          <w:rFonts w:ascii="Times New Roman" w:cs="Times New Roman" w:eastAsia="Times New Roman" w:hAnsi="Times New Roman"/>
          <w:sz w:val="19"/>
          <w:szCs w:val="19"/>
          <w:u w:val="single" w:color="auto"/>
          <w:color w:val="auto"/>
        </w:rPr>
        <w:t>Administration</w:t>
      </w:r>
      <w:r>
        <w:rPr>
          <w:rFonts w:ascii="Times New Roman" w:cs="Times New Roman" w:eastAsia="Times New Roman" w:hAnsi="Times New Roman"/>
          <w:sz w:val="19"/>
          <w:szCs w:val="19"/>
          <w:color w:val="auto"/>
        </w:rPr>
        <w:t>. The Plan will be administered by the Administrator. The Administrator shall have authority to determine which Service Providers will receive Awards, to grant Awards and to set all terms and conditions of Awards (including, but not limited to, vesting, exercise and forfeiture provisions). In addition, the Administrator shall have the authority to take all actions and make all determinations contemplated by the Plan and to adopt, amend and repeal such administrative rules, guidelines and practices relating to the Plan as it shall deem advisable. The Administrator may correct any defect or ambiguity, supply any omission or reconcile any inconsistency in the Plan or any Award in the manner and to the extent it shall deem necessary or appropriate to carry the Plan and any Awards into effect, as determined by the Administrator. The Administrator shall make all determinations under the Plan in the Administrator’s sole discretion and all such determinations shall be final and binding on all persons having or claiming any interest in the Plan or in any Award.</w:t>
      </w:r>
    </w:p>
    <w:p>
      <w:pPr>
        <w:spacing w:after="0" w:line="170" w:lineRule="exact"/>
        <w:rPr>
          <w:sz w:val="20"/>
          <w:szCs w:val="20"/>
          <w:color w:val="auto"/>
        </w:rPr>
      </w:pPr>
    </w:p>
    <w:p>
      <w:pPr>
        <w:ind w:right="240" w:firstLine="509"/>
        <w:spacing w:after="0" w:line="256" w:lineRule="auto"/>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u w:val="single" w:color="auto"/>
          <w:color w:val="auto"/>
        </w:rPr>
        <w:t>Appointment of Committees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To the extent permitted by Applicable Laws, the Board may delegate any or all of its powers under the Plan to one or more Committees. The Board may abolish any Committee at any time and re-vest in itself any previously delegated authority.</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IV.</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STOCK AVAILABLE FOR AWARDS.</w:t>
      </w:r>
    </w:p>
    <w:p>
      <w:pPr>
        <w:spacing w:after="0" w:line="190"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u w:val="single" w:color="auto"/>
          <w:color w:val="auto"/>
        </w:rPr>
        <w:t>Number of Shares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Subject to adjustment under Article VIII hereof, Awards may be made under the Plan covering up to 1,985,294 shares of Common Stock. If any Award expires or lapses or is terminated, surrendered or canceled without having been fully exercised or is forfeited in whole or in part (including, without limitation, as the result of shares of Common Stock subject to such Award being repurchased by the Company at or below the original issuance price), in any case in a manner that results in any shares of Common Stock covered by such Award not being issued or being so reacquired by the Company, the unused Common Stock covered by such Award shall again be available for the grant of Awards under the Plan. Further, shares of Common Stock delivered (either by actual delivery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9" w:name="page100"/>
    <w:bookmarkEnd w:id="99"/>
    <w:p>
      <w:pPr>
        <w:ind w:right="180"/>
        <w:spacing w:after="0" w:line="269" w:lineRule="auto"/>
        <w:rPr>
          <w:sz w:val="20"/>
          <w:szCs w:val="20"/>
          <w:color w:val="auto"/>
        </w:rPr>
      </w:pPr>
      <w:r>
        <w:rPr>
          <w:rFonts w:ascii="Times New Roman" w:cs="Times New Roman" w:eastAsia="Times New Roman" w:hAnsi="Times New Roman"/>
          <w:sz w:val="20"/>
          <w:szCs w:val="20"/>
          <w:color w:val="auto"/>
        </w:rPr>
        <w:t>attestation) to the Company by a Participant to satisfy the applicable exercise or purchase price of an Award and/or to satisfy any applicable tax withholding obligation (including, without limitation, shares retained by the</w:t>
      </w:r>
    </w:p>
    <w:p>
      <w:pPr>
        <w:spacing w:after="0" w:line="146"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20"/>
          <w:szCs w:val="20"/>
          <w:color w:val="auto"/>
        </w:rPr>
        <w:t>Company from the Award being exercised or purchased and/or creating the tax obligation) shall be added to the number of shares of Common Stock available for the grant of Awards under the Plan. However, in the case of Incentive Stock Options, the foregoing provisions shall be subject to any limitations under the Code. Shares of Common Stock issued under the Plan may consist in whole or in part of authorized but unissued shares, shares purchased on the open market or treasury shares.</w:t>
      </w:r>
    </w:p>
    <w:p>
      <w:pPr>
        <w:spacing w:after="0" w:line="180" w:lineRule="exact"/>
        <w:rPr>
          <w:sz w:val="20"/>
          <w:szCs w:val="20"/>
          <w:color w:val="auto"/>
        </w:rPr>
      </w:pPr>
    </w:p>
    <w:p>
      <w:pPr>
        <w:ind w:right="80" w:firstLine="509"/>
        <w:spacing w:after="0" w:line="259" w:lineRule="auto"/>
        <w:rPr>
          <w:sz w:val="20"/>
          <w:szCs w:val="20"/>
          <w:color w:val="auto"/>
        </w:rPr>
      </w:pPr>
      <w:r>
        <w:rPr>
          <w:rFonts w:ascii="Times New Roman" w:cs="Times New Roman" w:eastAsia="Times New Roman" w:hAnsi="Times New Roman"/>
          <w:sz w:val="19"/>
          <w:szCs w:val="19"/>
          <w:color w:val="auto"/>
        </w:rPr>
        <w:t xml:space="preserve">4.2 </w:t>
      </w:r>
      <w:r>
        <w:rPr>
          <w:rFonts w:ascii="Times New Roman" w:cs="Times New Roman" w:eastAsia="Times New Roman" w:hAnsi="Times New Roman"/>
          <w:sz w:val="19"/>
          <w:szCs w:val="19"/>
          <w:u w:val="single" w:color="auto"/>
          <w:color w:val="auto"/>
        </w:rPr>
        <w:t>Substitute Awards</w:t>
      </w:r>
      <w:r>
        <w:rPr>
          <w:rFonts w:ascii="Times New Roman" w:cs="Times New Roman" w:eastAsia="Times New Roman" w:hAnsi="Times New Roman"/>
          <w:sz w:val="19"/>
          <w:szCs w:val="19"/>
          <w:color w:val="auto"/>
        </w:rPr>
        <w:t>. In connection with a merger or consolidation of an entity with the Company or the acquisition by the Company of property or stock of an entity, the Administrator may grant Awards in substitution for any options or other stock or stock-based awards granted prior to such merger or consolidation by such entity or an affiliate thereof. Substitute Awards may be granted on such terms as the Administrator deems appropriate in the circumstances, notwithstanding any limitations on Awards contained in the Plan. Substitute Awards shall not count against the overall share limit set forth in Section 4.1 hereof, except as may be required by reason of Section 422 of the Code.</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V.</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STOCK OPTIONS.</w:t>
      </w:r>
    </w:p>
    <w:p>
      <w:pPr>
        <w:spacing w:after="0" w:line="1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 xml:space="preserve">5.1 </w:t>
      </w: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The Administrator may grant Options to any Service Provider, subject to the limitations on Incentive Stock Options</w:t>
      </w:r>
    </w:p>
    <w:p>
      <w:pPr>
        <w:spacing w:after="0" w:line="8" w:lineRule="exact"/>
        <w:rPr>
          <w:sz w:val="20"/>
          <w:szCs w:val="20"/>
          <w:color w:val="auto"/>
        </w:rPr>
      </w:pPr>
    </w:p>
    <w:p>
      <w:pPr>
        <w:jc w:val="both"/>
        <w:ind w:right="60"/>
        <w:spacing w:after="0" w:line="242" w:lineRule="auto"/>
        <w:rPr>
          <w:sz w:val="20"/>
          <w:szCs w:val="20"/>
          <w:color w:val="auto"/>
        </w:rPr>
      </w:pPr>
      <w:r>
        <w:rPr>
          <w:rFonts w:ascii="Times New Roman" w:cs="Times New Roman" w:eastAsia="Times New Roman" w:hAnsi="Times New Roman"/>
          <w:sz w:val="20"/>
          <w:szCs w:val="20"/>
          <w:color w:val="auto"/>
        </w:rPr>
        <w:t>described below. The Administrator shall determine the number of shares of Common Stock to be covered by each Option, the exercise price of each Option and the conditions and limitations applicable to the exercise of each Option, including, without limitation, conditions relating to Applicable Laws, as it considers necessary or advisable.</w:t>
      </w:r>
    </w:p>
    <w:p>
      <w:pPr>
        <w:spacing w:after="0" w:line="187" w:lineRule="exact"/>
        <w:rPr>
          <w:sz w:val="20"/>
          <w:szCs w:val="20"/>
          <w:color w:val="auto"/>
        </w:rPr>
      </w:pPr>
    </w:p>
    <w:p>
      <w:pPr>
        <w:ind w:right="160" w:firstLine="509"/>
        <w:spacing w:after="0" w:line="264" w:lineRule="auto"/>
        <w:rPr>
          <w:sz w:val="20"/>
          <w:szCs w:val="20"/>
          <w:color w:val="auto"/>
        </w:rPr>
      </w:pPr>
      <w:r>
        <w:rPr>
          <w:rFonts w:ascii="Times New Roman" w:cs="Times New Roman" w:eastAsia="Times New Roman" w:hAnsi="Times New Roman"/>
          <w:sz w:val="19"/>
          <w:szCs w:val="19"/>
          <w:color w:val="auto"/>
        </w:rPr>
        <w:t xml:space="preserve">5.2 </w:t>
      </w:r>
      <w:r>
        <w:rPr>
          <w:rFonts w:ascii="Times New Roman" w:cs="Times New Roman" w:eastAsia="Times New Roman" w:hAnsi="Times New Roman"/>
          <w:sz w:val="19"/>
          <w:szCs w:val="19"/>
          <w:u w:val="single" w:color="auto"/>
          <w:color w:val="auto"/>
        </w:rPr>
        <w:t>Incentive Stock Options</w:t>
      </w:r>
      <w:r>
        <w:rPr>
          <w:rFonts w:ascii="Times New Roman" w:cs="Times New Roman" w:eastAsia="Times New Roman" w:hAnsi="Times New Roman"/>
          <w:sz w:val="19"/>
          <w:szCs w:val="19"/>
          <w:color w:val="auto"/>
        </w:rPr>
        <w:t>. The Administrator may grant Options intended to qualify as Incentive Stock Options only to employees of the Company, any of the Company’s present or future “parent corporations” or “subsidiary corporations” as defined in Sections 424(e) or</w:t>
      </w:r>
    </w:p>
    <w:p>
      <w:pPr>
        <w:ind w:right="20" w:firstLine="8"/>
        <w:spacing w:after="0" w:line="237" w:lineRule="auto"/>
        <w:tabs>
          <w:tab w:leader="none" w:pos="247"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Code, respectively, and any other entities the employees of which are eligible to receive Incentive Stock Options under the Code. All Options intended to qualify as Incentive Stock Options shall be subject to and shall be construed consistently with the requirements of Section 422 of the Code. Neither the Company nor the Administrator shall have any liability to a Participant, or any other party, (i) if an Option (or any part thereof) which is intended to qualify as an Incentive Stock Option fails to qualify as an Incentive Stock Option or (ii) for any action or omission by the Administrator that causes an Option not to qualify as an Incentive Stock Option, including, without limitation, the conversion of an Incentive Stock Option to a Non-Qualified Stock Option or the grant of an Option intended as an Incentive Stock Option that fails to satisfy the requirements under the Code applicable to an Incentive Stock Option. Any Option that is intended to qualify as an Incentive Stock Option, but fails to so qualify for any reason, including, without limitation, the portion of any Option becoming exercisable in excess of the $100,000 limitation described in Treasury Regulation Section 1.422-4, shall be treated as a Non-Qualified Stock Option for all purposes.</w:t>
      </w:r>
    </w:p>
    <w:p>
      <w:pPr>
        <w:spacing w:after="0" w:line="191"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20"/>
          <w:szCs w:val="20"/>
          <w:color w:val="auto"/>
        </w:rPr>
        <w:t xml:space="preserve">5.3 </w:t>
      </w:r>
      <w:r>
        <w:rPr>
          <w:rFonts w:ascii="Times New Roman" w:cs="Times New Roman" w:eastAsia="Times New Roman" w:hAnsi="Times New Roman"/>
          <w:sz w:val="20"/>
          <w:szCs w:val="20"/>
          <w:u w:val="single" w:color="auto"/>
          <w:color w:val="auto"/>
        </w:rPr>
        <w:t>Exercise Price</w:t>
      </w:r>
      <w:r>
        <w:rPr>
          <w:rFonts w:ascii="Times New Roman" w:cs="Times New Roman" w:eastAsia="Times New Roman" w:hAnsi="Times New Roman"/>
          <w:sz w:val="20"/>
          <w:szCs w:val="20"/>
          <w:color w:val="auto"/>
        </w:rPr>
        <w:t>. The Administrator shall establish the exercise price of each Option and specify the exercise price in the applicable Award Agreement. The exercise price shall be not less than 100% of the Fair Market Value on the date the Option is granted. In the case of an Incentive Stock Option granted to an employee who, at the time of grant of the Option, owns (or is treated as owning under Section 424 of the Code) stock representing more than 10% of the voting power of all classes of stock of the Company (or a “parent corporation” or “subsidiary corporation” thereof within the meaning of Sections 424(e)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00" w:name="page101"/>
    <w:bookmarkEnd w:id="100"/>
    <w:p>
      <w:pPr>
        <w:ind w:right="240"/>
        <w:spacing w:after="0" w:line="269" w:lineRule="auto"/>
        <w:rPr>
          <w:sz w:val="20"/>
          <w:szCs w:val="20"/>
          <w:color w:val="auto"/>
        </w:rPr>
      </w:pPr>
      <w:r>
        <w:rPr>
          <w:rFonts w:ascii="Times New Roman" w:cs="Times New Roman" w:eastAsia="Times New Roman" w:hAnsi="Times New Roman"/>
          <w:sz w:val="20"/>
          <w:szCs w:val="20"/>
          <w:color w:val="auto"/>
        </w:rPr>
        <w:t>424(f) of the Code, respectively), the per share exercise price shall be no less than 110% of the Fair Market Value on the date the Option is granted.</w:t>
      </w:r>
    </w:p>
    <w:p>
      <w:pPr>
        <w:spacing w:after="0" w:line="173" w:lineRule="exact"/>
        <w:rPr>
          <w:sz w:val="20"/>
          <w:szCs w:val="20"/>
          <w:color w:val="auto"/>
        </w:rPr>
      </w:pPr>
    </w:p>
    <w:p>
      <w:pPr>
        <w:ind w:right="120" w:firstLine="509"/>
        <w:spacing w:after="0" w:line="242" w:lineRule="auto"/>
        <w:rPr>
          <w:sz w:val="20"/>
          <w:szCs w:val="20"/>
          <w:color w:val="auto"/>
        </w:rPr>
      </w:pPr>
      <w:r>
        <w:rPr>
          <w:rFonts w:ascii="Times New Roman" w:cs="Times New Roman" w:eastAsia="Times New Roman" w:hAnsi="Times New Roman"/>
          <w:sz w:val="20"/>
          <w:szCs w:val="20"/>
          <w:color w:val="auto"/>
        </w:rPr>
        <w:t xml:space="preserve">5.4 </w:t>
      </w:r>
      <w:r>
        <w:rPr>
          <w:rFonts w:ascii="Times New Roman" w:cs="Times New Roman" w:eastAsia="Times New Roman" w:hAnsi="Times New Roman"/>
          <w:sz w:val="20"/>
          <w:szCs w:val="20"/>
          <w:u w:val="single" w:color="auto"/>
          <w:color w:val="auto"/>
        </w:rPr>
        <w:t>Duration of Options</w:t>
      </w:r>
      <w:r>
        <w:rPr>
          <w:rFonts w:ascii="Times New Roman" w:cs="Times New Roman" w:eastAsia="Times New Roman" w:hAnsi="Times New Roman"/>
          <w:sz w:val="20"/>
          <w:szCs w:val="20"/>
          <w:color w:val="auto"/>
        </w:rPr>
        <w:t>. Each Option shall be exercisable at such times and subject to such terms and conditions as the Administrator may specify in the applicable Award Agreement, provided that the term of any Option shall not exceed ten years. In the case of an Incentive Stock Option granted to an employee who, at the time of grant of the Option, owns (or is treated as owning under Section 424 of the Code) stock representing more than 10% of the voting power of all classes of stock of the Company (or a “parent corporation” or “subsidiary corporation” thereof within the meaning of Sections 424(e) or 424(f) of the Code, respectively), the term of the Option shall not exceed five years.</w:t>
      </w:r>
    </w:p>
    <w:p>
      <w:pPr>
        <w:spacing w:after="0" w:line="188"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20"/>
          <w:szCs w:val="20"/>
          <w:color w:val="auto"/>
        </w:rPr>
        <w:t xml:space="preserve">5.5 </w:t>
      </w:r>
      <w:r>
        <w:rPr>
          <w:rFonts w:ascii="Times New Roman" w:cs="Times New Roman" w:eastAsia="Times New Roman" w:hAnsi="Times New Roman"/>
          <w:sz w:val="20"/>
          <w:szCs w:val="20"/>
          <w:u w:val="single" w:color="auto"/>
          <w:color w:val="auto"/>
        </w:rPr>
        <w:t>Exercise of Option; Notification of Disposition</w:t>
      </w:r>
      <w:r>
        <w:rPr>
          <w:rFonts w:ascii="Times New Roman" w:cs="Times New Roman" w:eastAsia="Times New Roman" w:hAnsi="Times New Roman"/>
          <w:sz w:val="20"/>
          <w:szCs w:val="20"/>
          <w:color w:val="auto"/>
        </w:rPr>
        <w:t>. Options may be exercised by delivery to the Company of a written notice of exercise, in a form approved by the Administrator (which may be an electronic form), signed by the person authorized to exercise the Option, together with payment in full (i) as specified in Section 5.6 hereof for the number of shares for which the Option is exercised and (ii) as specified in Section 9.5 hereof for any applicable withholding taxes. Unless otherwise determined by the Administrator, an Option may not be exercised for a fraction of a share of Common Stock. If an Option is designated as an Incentive Stock Option, the Participant shall give prompt notice to the Company of any disposition or other transfer of any shares of Common Stock acquired from the Option if such disposition or transfer is made (i) within two years from the grant date with respect to such Option or (ii) within one year after the transfer of such shares to the Participant (other than any such disposition made in connection with a Change in Control). Such notice shall specify the date of such disposition or other transfer and the amount realized, in cash, other property, assumption of indebtedness or other consideration, by the Participant in such disposition or other transfer.</w:t>
      </w:r>
    </w:p>
    <w:p>
      <w:pPr>
        <w:spacing w:after="0" w:line="1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20"/>
          <w:szCs w:val="20"/>
          <w:color w:val="auto"/>
        </w:rPr>
        <w:t xml:space="preserve">5.6 </w:t>
      </w:r>
      <w:r>
        <w:rPr>
          <w:rFonts w:ascii="Times New Roman" w:cs="Times New Roman" w:eastAsia="Times New Roman" w:hAnsi="Times New Roman"/>
          <w:sz w:val="20"/>
          <w:szCs w:val="20"/>
          <w:u w:val="single" w:color="auto"/>
          <w:color w:val="auto"/>
        </w:rPr>
        <w:t>Payment Upon Exercise</w:t>
      </w:r>
      <w:r>
        <w:rPr>
          <w:rFonts w:ascii="Times New Roman" w:cs="Times New Roman" w:eastAsia="Times New Roman" w:hAnsi="Times New Roman"/>
          <w:sz w:val="20"/>
          <w:szCs w:val="20"/>
          <w:color w:val="auto"/>
        </w:rPr>
        <w:t>. Common Stock purchased upon the exercise of an Option granted under the Plan shall be paid for in cash, by wire transfer of immediately available funds or by check, payable to the order of the Company, or, subject to Section 10.8, any Company insider trading policy (including, without limitation, any blackout periods) and Applicable Laws, by:</w:t>
      </w:r>
    </w:p>
    <w:p>
      <w:pPr>
        <w:spacing w:after="0" w:line="66" w:lineRule="exact"/>
        <w:rPr>
          <w:sz w:val="20"/>
          <w:szCs w:val="20"/>
          <w:color w:val="auto"/>
        </w:rPr>
      </w:pPr>
    </w:p>
    <w:p>
      <w:pPr>
        <w:ind w:firstLine="517"/>
        <w:spacing w:after="0" w:line="243" w:lineRule="auto"/>
        <w:tabs>
          <w:tab w:leader="none" w:pos="778"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Company is a Publicly Listed Company, unless the Administrator otherwise determines, (A) delivery of an irrevocable and unconditional undertaking by a broker acceptable to the Company to deliver promptly to the Company sufficient funds to pay the exercise price, or (B) delivery by the Participant to the Company of a copy of irrevocable and unconditional instructions to a broker acceptable to the Company to deliver promptly to the Company cash or a check sufficient to pay the exercise price, provided in either case, that such amount is paid to the Company at such time as may be required by the Administrator;</w:t>
      </w:r>
    </w:p>
    <w:p>
      <w:pPr>
        <w:spacing w:after="0" w:line="185" w:lineRule="exact"/>
        <w:rPr>
          <w:rFonts w:ascii="Times New Roman" w:cs="Times New Roman" w:eastAsia="Times New Roman" w:hAnsi="Times New Roman"/>
          <w:sz w:val="20"/>
          <w:szCs w:val="20"/>
          <w:color w:val="auto"/>
        </w:rPr>
      </w:pPr>
    </w:p>
    <w:p>
      <w:pPr>
        <w:ind w:right="120" w:firstLine="517"/>
        <w:spacing w:after="0" w:line="243" w:lineRule="auto"/>
        <w:tabs>
          <w:tab w:leader="none" w:pos="789"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the Administrator, delivery (either by actual delivery or attestation) of shares of Common Stock owned by the Participant valued at their Fair Market Value, provided (A) such method of payment is then permitted under Applicable Laws, (B) such Common Stock, if acquired directly from the Company, was owned by the Participant for such minimum period of time, if any, as may be established by the Company at any time, and (C) such Common Stock is not subject to any repurchase, forfeiture, unfulfilled vesting or other similar requirements;</w:t>
      </w:r>
    </w:p>
    <w:p>
      <w:pPr>
        <w:spacing w:after="0" w:line="185" w:lineRule="exact"/>
        <w:rPr>
          <w:rFonts w:ascii="Times New Roman" w:cs="Times New Roman" w:eastAsia="Times New Roman" w:hAnsi="Times New Roman"/>
          <w:sz w:val="20"/>
          <w:szCs w:val="20"/>
          <w:color w:val="auto"/>
        </w:rPr>
      </w:pPr>
    </w:p>
    <w:p>
      <w:pPr>
        <w:ind w:right="500" w:firstLine="517"/>
        <w:spacing w:after="0" w:line="269" w:lineRule="auto"/>
        <w:tabs>
          <w:tab w:leader="none" w:pos="778"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the Administrator, surrendering shares of Common Stock then issuable upon exercise of the Option valued at their Fair Market Value on the date of exercise;</w:t>
      </w:r>
    </w:p>
    <w:p>
      <w:pPr>
        <w:spacing w:after="0" w:line="159" w:lineRule="exact"/>
        <w:rPr>
          <w:rFonts w:ascii="Times New Roman" w:cs="Times New Roman" w:eastAsia="Times New Roman" w:hAnsi="Times New Roman"/>
          <w:sz w:val="20"/>
          <w:szCs w:val="20"/>
          <w:color w:val="auto"/>
        </w:rPr>
      </w:pPr>
    </w:p>
    <w:p>
      <w:pPr>
        <w:ind w:right="120" w:firstLine="517"/>
        <w:spacing w:after="0" w:line="269" w:lineRule="auto"/>
        <w:tabs>
          <w:tab w:leader="none" w:pos="789"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the Administrator, delivery of a promissory note of the Participant to the Company on terms determined by the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163195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5" w:right="359" w:bottom="1440" w:gutter="0" w:footer="0" w:header="0"/>
        </w:sectPr>
      </w:pPr>
    </w:p>
    <w:bookmarkStart w:id="101" w:name="page102"/>
    <w:bookmarkEnd w:id="101"/>
    <w:p>
      <w:pPr>
        <w:ind w:right="940" w:firstLine="517"/>
        <w:spacing w:after="0" w:line="269" w:lineRule="auto"/>
        <w:tabs>
          <w:tab w:leader="none" w:pos="778"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the Administrator, delivery of property of any other kind which constitutes good and valuable consideration as determined by the Administrator; or</w:t>
      </w:r>
    </w:p>
    <w:p>
      <w:pPr>
        <w:spacing w:after="0" w:line="159" w:lineRule="exact"/>
        <w:rPr>
          <w:rFonts w:ascii="Times New Roman" w:cs="Times New Roman" w:eastAsia="Times New Roman" w:hAnsi="Times New Roman"/>
          <w:sz w:val="20"/>
          <w:szCs w:val="20"/>
          <w:color w:val="auto"/>
        </w:rPr>
      </w:pPr>
    </w:p>
    <w:p>
      <w:pPr>
        <w:ind w:left="760" w:hanging="243"/>
        <w:spacing w:after="0"/>
        <w:tabs>
          <w:tab w:leader="none" w:pos="76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combination of the above permitted forms of payment (including, without limitation, cash or check).</w:t>
      </w:r>
    </w:p>
    <w:p>
      <w:pPr>
        <w:spacing w:after="0" w:line="229" w:lineRule="exact"/>
        <w:rPr>
          <w:sz w:val="20"/>
          <w:szCs w:val="20"/>
          <w:color w:val="auto"/>
        </w:rPr>
      </w:pPr>
    </w:p>
    <w:p>
      <w:pPr>
        <w:ind w:right="80" w:firstLine="509"/>
        <w:spacing w:after="0" w:line="244" w:lineRule="auto"/>
        <w:rPr>
          <w:sz w:val="20"/>
          <w:szCs w:val="20"/>
          <w:color w:val="auto"/>
        </w:rPr>
      </w:pPr>
      <w:r>
        <w:rPr>
          <w:rFonts w:ascii="Times New Roman" w:cs="Times New Roman" w:eastAsia="Times New Roman" w:hAnsi="Times New Roman"/>
          <w:sz w:val="20"/>
          <w:szCs w:val="20"/>
          <w:color w:val="auto"/>
        </w:rPr>
        <w:t xml:space="preserve">5.7 </w:t>
      </w:r>
      <w:r>
        <w:rPr>
          <w:rFonts w:ascii="Times New Roman" w:cs="Times New Roman" w:eastAsia="Times New Roman" w:hAnsi="Times New Roman"/>
          <w:sz w:val="20"/>
          <w:szCs w:val="20"/>
          <w:u w:val="single" w:color="auto"/>
          <w:color w:val="auto"/>
        </w:rPr>
        <w:t>Early Exercise of Options</w:t>
      </w:r>
      <w:r>
        <w:rPr>
          <w:rFonts w:ascii="Times New Roman" w:cs="Times New Roman" w:eastAsia="Times New Roman" w:hAnsi="Times New Roman"/>
          <w:sz w:val="20"/>
          <w:szCs w:val="20"/>
          <w:color w:val="auto"/>
        </w:rPr>
        <w:t>. The Administrator may provide in the terms of an Award Agreement that the Service Provider may exercise an Option in whole or in part prior to the full vesting of the Option in exchange for unvested shares of Restricted Stock with respect to any unvested portion of the Option so exercised. Shares of Restricted Stock acquired upon the exercise of any unvested portion of an Option shall be subject to such terms and conditions as the Administrator shall determine.</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VI.</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RESTRICTED STOCK; RESTRICTED STOCK UNITS.</w:t>
      </w:r>
    </w:p>
    <w:p>
      <w:pPr>
        <w:spacing w:after="0" w:line="194"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20"/>
          <w:szCs w:val="20"/>
          <w:color w:val="auto"/>
        </w:rPr>
        <w:t xml:space="preserve">6.1 </w:t>
      </w: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The Administrator may grant Restricted Stock, or the right to purchase Restricted Stock, to any Service Provider, subject to the right of the Company to repurchase all or part of such shares at their issue price or other stated or formula price from the Participant (or to require forfeiture of such shares if issued at no cost) in the event that conditions specified by the Administrator in the applicable Award Agreement are not satisfied prior to the end of the applicable restriction period or periods established by the Administrator for such Award. In addition, the Administrator may grant to Service Providers Restricted Stock Units, which may be subject to vesting and forfeiture conditions during applicable restriction period or periods, as set forth in an applicable Award Agreement.</w:t>
      </w:r>
    </w:p>
    <w:p>
      <w:pPr>
        <w:spacing w:after="0" w:line="188" w:lineRule="exact"/>
        <w:rPr>
          <w:sz w:val="20"/>
          <w:szCs w:val="20"/>
          <w:color w:val="auto"/>
        </w:rPr>
      </w:pPr>
    </w:p>
    <w:p>
      <w:pPr>
        <w:jc w:val="both"/>
        <w:ind w:right="40" w:firstLine="509"/>
        <w:spacing w:after="0" w:line="254" w:lineRule="auto"/>
        <w:rPr>
          <w:sz w:val="20"/>
          <w:szCs w:val="20"/>
          <w:color w:val="auto"/>
        </w:rPr>
      </w:pPr>
      <w:r>
        <w:rPr>
          <w:rFonts w:ascii="Times New Roman" w:cs="Times New Roman" w:eastAsia="Times New Roman" w:hAnsi="Times New Roman"/>
          <w:sz w:val="20"/>
          <w:szCs w:val="20"/>
          <w:color w:val="auto"/>
        </w:rPr>
        <w:t xml:space="preserve">6.2 </w:t>
      </w:r>
      <w:r>
        <w:rPr>
          <w:rFonts w:ascii="Times New Roman" w:cs="Times New Roman" w:eastAsia="Times New Roman" w:hAnsi="Times New Roman"/>
          <w:sz w:val="20"/>
          <w:szCs w:val="20"/>
          <w:u w:val="single" w:color="auto"/>
          <w:color w:val="auto"/>
        </w:rPr>
        <w:t>Terms and Conditions for All Restricted Stock and Restricted Stock Unit Awards</w:t>
      </w:r>
      <w:r>
        <w:rPr>
          <w:rFonts w:ascii="Times New Roman" w:cs="Times New Roman" w:eastAsia="Times New Roman" w:hAnsi="Times New Roman"/>
          <w:sz w:val="20"/>
          <w:szCs w:val="20"/>
          <w:color w:val="auto"/>
        </w:rPr>
        <w:t>. The Administrator shall determine and set forth in the applicable Award Agreement the terms and conditions applicable to each Restricted Stock and Restricted Stock Unit Award, including, without limitation, the conditions for vesting and repurchase (or forfeiture) and the issue price, in each case, if any.</w:t>
      </w:r>
    </w:p>
    <w:p>
      <w:pPr>
        <w:spacing w:after="0" w:line="1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 xml:space="preserve">6.3 </w:t>
      </w:r>
      <w:r>
        <w:rPr>
          <w:rFonts w:ascii="Times New Roman" w:cs="Times New Roman" w:eastAsia="Times New Roman" w:hAnsi="Times New Roman"/>
          <w:sz w:val="20"/>
          <w:szCs w:val="20"/>
          <w:u w:val="single" w:color="auto"/>
          <w:color w:val="auto"/>
        </w:rPr>
        <w:t>Additional Provisions Relating to Restricted Stock</w:t>
      </w:r>
      <w:r>
        <w:rPr>
          <w:rFonts w:ascii="Times New Roman" w:cs="Times New Roman" w:eastAsia="Times New Roman" w:hAnsi="Times New Roman"/>
          <w:sz w:val="20"/>
          <w:szCs w:val="20"/>
          <w:color w:val="auto"/>
        </w:rPr>
        <w:t>.</w:t>
      </w:r>
    </w:p>
    <w:p>
      <w:pPr>
        <w:spacing w:after="0" w:line="212" w:lineRule="exact"/>
        <w:rPr>
          <w:sz w:val="20"/>
          <w:szCs w:val="20"/>
          <w:color w:val="auto"/>
        </w:rPr>
      </w:pPr>
    </w:p>
    <w:p>
      <w:pPr>
        <w:ind w:right="80" w:firstLine="517"/>
        <w:spacing w:after="0" w:line="241" w:lineRule="auto"/>
        <w:tabs>
          <w:tab w:leader="none" w:pos="778"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Dividends. </w:t>
      </w:r>
      <w:r>
        <w:rPr>
          <w:rFonts w:ascii="Times New Roman" w:cs="Times New Roman" w:eastAsia="Times New Roman" w:hAnsi="Times New Roman"/>
          <w:sz w:val="20"/>
          <w:szCs w:val="20"/>
          <w:color w:val="auto"/>
        </w:rPr>
        <w:t>Participants holding shares of Restricted Stock will be entitled to all ordinary cash dividends paid with respect to such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shares to the extent such dividends have a record date that is on or after the date on which the Participant to whom such Restricted Stock is granted becomes the record holder of such Restricted Stock, unless otherwise provided by the Administrator in the applicable Award Agreement. In addition, unless otherwise provided by the Administrator, if any dividends or distributions are paid in shares, or consist of a dividend or distribution to holders of Common Stock of property other than an ordinary cash dividend, the shares or other property will be subject to the same restrictions on transferability and forfeitability as the shares of Restricted Stock with respect to which they were paid. Each dividend payment will be made as provided in the applicable Award Agreement, but in no event later than the end of the calendar year in which the dividends are paid to stockholders of that class of stock or, if later, the 15th day of the third month following the later of (A) the date the dividends are paid to stockholders of that class of stock, and (B) the date the dividends are no longer subject to forfeiture.</w:t>
      </w:r>
    </w:p>
    <w:p>
      <w:pPr>
        <w:spacing w:after="0" w:line="189" w:lineRule="exact"/>
        <w:rPr>
          <w:rFonts w:ascii="Times New Roman" w:cs="Times New Roman" w:eastAsia="Times New Roman" w:hAnsi="Times New Roman"/>
          <w:sz w:val="20"/>
          <w:szCs w:val="20"/>
          <w:color w:val="auto"/>
        </w:rPr>
      </w:pPr>
    </w:p>
    <w:p>
      <w:pPr>
        <w:ind w:firstLine="517"/>
        <w:spacing w:after="0" w:line="273" w:lineRule="auto"/>
        <w:tabs>
          <w:tab w:leader="none" w:pos="789"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Stock Certificates. </w:t>
      </w:r>
      <w:r>
        <w:rPr>
          <w:rFonts w:ascii="Times New Roman" w:cs="Times New Roman" w:eastAsia="Times New Roman" w:hAnsi="Times New Roman"/>
          <w:sz w:val="20"/>
          <w:szCs w:val="20"/>
          <w:color w:val="auto"/>
        </w:rPr>
        <w:t>The Company may require that any stock certificates issued in respect of shares of Restricted Stock be deposited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 escrow by the Participant, together with a stock power endorsed in blank, with the Company (or its designee).</w:t>
      </w:r>
    </w:p>
    <w:p>
      <w:pPr>
        <w:spacing w:after="0" w:line="1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 xml:space="preserve">6.4 </w:t>
      </w:r>
      <w:r>
        <w:rPr>
          <w:rFonts w:ascii="Times New Roman" w:cs="Times New Roman" w:eastAsia="Times New Roman" w:hAnsi="Times New Roman"/>
          <w:sz w:val="20"/>
          <w:szCs w:val="20"/>
          <w:u w:val="single" w:color="auto"/>
          <w:color w:val="auto"/>
        </w:rPr>
        <w:t>Additional Provisions Relating to Restricted Stock Units</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5" w:right="359" w:bottom="1440" w:gutter="0" w:footer="0" w:header="0"/>
        </w:sectPr>
      </w:pPr>
    </w:p>
    <w:bookmarkStart w:id="102" w:name="page103"/>
    <w:bookmarkEnd w:id="102"/>
    <w:p>
      <w:pPr>
        <w:ind w:right="40" w:firstLine="517"/>
        <w:spacing w:after="0" w:line="247" w:lineRule="auto"/>
        <w:tabs>
          <w:tab w:leader="none" w:pos="778"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Settlement. </w:t>
      </w:r>
      <w:r>
        <w:rPr>
          <w:rFonts w:ascii="Times New Roman" w:cs="Times New Roman" w:eastAsia="Times New Roman" w:hAnsi="Times New Roman"/>
          <w:sz w:val="20"/>
          <w:szCs w:val="20"/>
          <w:color w:val="auto"/>
        </w:rPr>
        <w:t>Upon the vesting of a Restricted Stock Unit, the Participant shall be entitled to receive from the Company one share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Common Stock or an amount of cash or other property equal to the Fair Market Value of one share of Common Stock on the settlement date, as the Administrator shall determine and as provided in the applicable Award Agreement. The Administrator may provide that settlement of Restricted Stock Units shall occur upon or as soon as reasonably practicable after the vesting of the Restricted Stock Units or shall instead be deferred, on a mandatory basis or at the election of the Participant, in a manner that complies with Section 409A.</w:t>
      </w:r>
    </w:p>
    <w:p>
      <w:pPr>
        <w:spacing w:after="0" w:line="180" w:lineRule="exact"/>
        <w:rPr>
          <w:rFonts w:ascii="Times New Roman" w:cs="Times New Roman" w:eastAsia="Times New Roman" w:hAnsi="Times New Roman"/>
          <w:sz w:val="20"/>
          <w:szCs w:val="20"/>
          <w:color w:val="auto"/>
        </w:rPr>
      </w:pPr>
    </w:p>
    <w:p>
      <w:pPr>
        <w:ind w:right="560" w:firstLine="517"/>
        <w:spacing w:after="0" w:line="273" w:lineRule="auto"/>
        <w:tabs>
          <w:tab w:leader="none" w:pos="789"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Voting Rights. </w:t>
      </w:r>
      <w:r>
        <w:rPr>
          <w:rFonts w:ascii="Times New Roman" w:cs="Times New Roman" w:eastAsia="Times New Roman" w:hAnsi="Times New Roman"/>
          <w:sz w:val="20"/>
          <w:szCs w:val="20"/>
          <w:color w:val="auto"/>
        </w:rPr>
        <w:t>A Participant shall have no voting rights with respect to any Restricted Stock Units unless and until shares 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delivered in settlement thereof.</w:t>
      </w:r>
    </w:p>
    <w:p>
      <w:pPr>
        <w:spacing w:after="0" w:line="151" w:lineRule="exact"/>
        <w:rPr>
          <w:rFonts w:ascii="Times New Roman" w:cs="Times New Roman" w:eastAsia="Times New Roman" w:hAnsi="Times New Roman"/>
          <w:sz w:val="20"/>
          <w:szCs w:val="20"/>
          <w:color w:val="auto"/>
        </w:rPr>
      </w:pPr>
    </w:p>
    <w:p>
      <w:pPr>
        <w:ind w:right="40" w:firstLine="517"/>
        <w:spacing w:after="0" w:line="244" w:lineRule="auto"/>
        <w:tabs>
          <w:tab w:leader="none" w:pos="778"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Dividend Equivalents. </w:t>
      </w:r>
      <w:r>
        <w:rPr>
          <w:rFonts w:ascii="Times New Roman" w:cs="Times New Roman" w:eastAsia="Times New Roman" w:hAnsi="Times New Roman"/>
          <w:sz w:val="20"/>
          <w:szCs w:val="20"/>
          <w:color w:val="auto"/>
        </w:rPr>
        <w:t>To the extent provided by the Administrator, a grant of Restricted Stock Units may provide a Participant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with the right to receive Dividend Equivalents. Dividend Equivalents may be paid currently or credited to an account for the Participant, may be settled in cash and/or shares of Common Stock and may be subject to the same restrictions on transfer and forfeitability as the Restricted Stock Units with respect to which the Dividend Equivalents are paid, as determined by the Administrator, subject, in each case, to such terms and conditions as the Administrator shall establish and set forth in the applicable Award Agreement.</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VII.</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OTHER STOCK-BASED AWARDS.</w:t>
      </w:r>
    </w:p>
    <w:p>
      <w:pPr>
        <w:spacing w:after="0" w:line="194"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20"/>
          <w:szCs w:val="20"/>
          <w:color w:val="auto"/>
        </w:rPr>
        <w:t>Other Stock-Based Awards may be granted hereunder to Participants, including, without limitation, Awards entitling Participants to receive shares of Common Stock to be delivered in the future. Such Other Stock-Based Awards shall also be available as a form of payment in the settlement of other Awards granted under the Plan, as stand-alone payments and/or as payment in lieu of compensation to which a Participant is otherwise entitled. Other Stock-Based Awards may be paid in shares of Common Stock, cash or other property, as the Administrator shall determine. Subject to the provisions of the Plan, the Administrator shall determine the terms and conditions of each Other Stock-Based Award, including, without limitation, any purchase price, transfer restrictions, vesting conditions and other terms and conditions applicable thereto, which shall be set forth in the applicable Award Agreement.</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VIII.</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ADJUSTMENTS FOR CHANGES IN COMMON STOCK AND CERTAIN OTHER EVENTS.</w:t>
      </w:r>
    </w:p>
    <w:p>
      <w:pPr>
        <w:spacing w:after="0" w:line="194" w:lineRule="exact"/>
        <w:rPr>
          <w:sz w:val="20"/>
          <w:szCs w:val="20"/>
          <w:color w:val="auto"/>
        </w:rPr>
      </w:pPr>
    </w:p>
    <w:p>
      <w:pPr>
        <w:ind w:right="100" w:firstLine="509"/>
        <w:spacing w:after="0" w:line="239" w:lineRule="auto"/>
        <w:rPr>
          <w:sz w:val="20"/>
          <w:szCs w:val="20"/>
          <w:color w:val="auto"/>
        </w:rPr>
      </w:pPr>
      <w:r>
        <w:rPr>
          <w:rFonts w:ascii="Times New Roman" w:cs="Times New Roman" w:eastAsia="Times New Roman" w:hAnsi="Times New Roman"/>
          <w:sz w:val="20"/>
          <w:szCs w:val="20"/>
          <w:color w:val="auto"/>
        </w:rPr>
        <w:t xml:space="preserve">8.1 </w:t>
      </w:r>
      <w:r>
        <w:rPr>
          <w:rFonts w:ascii="Times New Roman" w:cs="Times New Roman" w:eastAsia="Times New Roman" w:hAnsi="Times New Roman"/>
          <w:sz w:val="20"/>
          <w:szCs w:val="20"/>
          <w:u w:val="single" w:color="auto"/>
          <w:color w:val="auto"/>
        </w:rPr>
        <w:t>Certain Transactions or Events</w:t>
      </w:r>
      <w:r>
        <w:rPr>
          <w:rFonts w:ascii="Times New Roman" w:cs="Times New Roman" w:eastAsia="Times New Roman" w:hAnsi="Times New Roman"/>
          <w:sz w:val="20"/>
          <w:szCs w:val="20"/>
          <w:color w:val="auto"/>
        </w:rPr>
        <w:t>. In the event that the Administrator determines that any dividend or other distribution (whether in the form of cash, Common Stock, other securities, or other property), reorganization, merger, consolidation, combination, repurchase, recapitalization, liquidation, dissolution, or sale, transfer, exchange or other disposition of assets of the Company, or sale or exchange of Common Stock or other securities of the Company, issuance of warrants or other rights to purchase Common Stock or other securities of the Company, or other similar corporate transaction or event, as determined by the Administrator, affects the Common Stock such that an adjustment is determined by the Administrator to be appropriate in order to prevent dilution or enlargement of the benefits or potential benefits intended by the Company to be made available under the Plan or with respect to any Award, then the Administrator may, in such manner as it may deem equitable, adjust any or all of:</w:t>
      </w:r>
    </w:p>
    <w:p>
      <w:pPr>
        <w:spacing w:after="0" w:line="85" w:lineRule="exact"/>
        <w:rPr>
          <w:sz w:val="20"/>
          <w:szCs w:val="20"/>
          <w:color w:val="auto"/>
        </w:rPr>
      </w:pPr>
    </w:p>
    <w:p>
      <w:pPr>
        <w:ind w:firstLine="517"/>
        <w:spacing w:after="0" w:line="254" w:lineRule="auto"/>
        <w:tabs>
          <w:tab w:leader="none" w:pos="778"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and kind of shares of Common Stock (or other securities or property) with respect to which Awards may be granted or awarded (including, but not limited to, adjustments of the limitations in Section 4.1 hereof on the maximum number and kind of shares which may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1" w:right="359" w:bottom="1440" w:gutter="0" w:footer="0" w:header="0"/>
        </w:sectPr>
      </w:pPr>
    </w:p>
    <w:bookmarkStart w:id="103" w:name="page104"/>
    <w:bookmarkEnd w:id="103"/>
    <w:p>
      <w:pPr>
        <w:ind w:left="800" w:hanging="283"/>
        <w:spacing w:after="0"/>
        <w:tabs>
          <w:tab w:leader="none" w:pos="80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and kind of shares of Common Stock (or other securities or property) subject to outstanding Awards;</w:t>
      </w:r>
    </w:p>
    <w:p>
      <w:pPr>
        <w:spacing w:after="0" w:line="215" w:lineRule="exact"/>
        <w:rPr>
          <w:rFonts w:ascii="Times New Roman" w:cs="Times New Roman" w:eastAsia="Times New Roman" w:hAnsi="Times New Roman"/>
          <w:sz w:val="20"/>
          <w:szCs w:val="20"/>
          <w:color w:val="auto"/>
        </w:rPr>
      </w:pPr>
    </w:p>
    <w:p>
      <w:pPr>
        <w:ind w:left="780" w:hanging="263"/>
        <w:spacing w:after="0"/>
        <w:tabs>
          <w:tab w:leader="none" w:pos="78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 or exercise price with respect to any Award; and</w:t>
      </w:r>
    </w:p>
    <w:p>
      <w:pPr>
        <w:spacing w:after="0" w:line="215" w:lineRule="exact"/>
        <w:rPr>
          <w:rFonts w:ascii="Times New Roman" w:cs="Times New Roman" w:eastAsia="Times New Roman" w:hAnsi="Times New Roman"/>
          <w:sz w:val="20"/>
          <w:szCs w:val="20"/>
          <w:color w:val="auto"/>
        </w:rPr>
      </w:pPr>
    </w:p>
    <w:p>
      <w:pPr>
        <w:ind w:right="440" w:firstLine="517"/>
        <w:spacing w:after="0" w:line="269" w:lineRule="auto"/>
        <w:tabs>
          <w:tab w:leader="none" w:pos="789"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terms and conditions of any Awards (including, without limitation, any applicable financial or other performance “targets” specified in an Award Agreement).</w:t>
      </w:r>
    </w:p>
    <w:p>
      <w:pPr>
        <w:spacing w:after="0" w:line="173" w:lineRule="exact"/>
        <w:rPr>
          <w:sz w:val="20"/>
          <w:szCs w:val="20"/>
          <w:color w:val="auto"/>
        </w:rPr>
      </w:pPr>
    </w:p>
    <w:p>
      <w:pPr>
        <w:ind w:right="20" w:firstLine="509"/>
        <w:spacing w:after="0" w:line="239" w:lineRule="auto"/>
        <w:rPr>
          <w:sz w:val="20"/>
          <w:szCs w:val="20"/>
          <w:color w:val="auto"/>
        </w:rPr>
      </w:pPr>
      <w:r>
        <w:rPr>
          <w:rFonts w:ascii="Times New Roman" w:cs="Times New Roman" w:eastAsia="Times New Roman" w:hAnsi="Times New Roman"/>
          <w:sz w:val="20"/>
          <w:szCs w:val="20"/>
          <w:color w:val="auto"/>
        </w:rPr>
        <w:t xml:space="preserve">8.2 </w:t>
      </w:r>
      <w:r>
        <w:rPr>
          <w:rFonts w:ascii="Times New Roman" w:cs="Times New Roman" w:eastAsia="Times New Roman" w:hAnsi="Times New Roman"/>
          <w:sz w:val="20"/>
          <w:szCs w:val="20"/>
          <w:u w:val="single" w:color="auto"/>
          <w:color w:val="auto"/>
        </w:rPr>
        <w:t>Additional Transactions or Events</w:t>
      </w:r>
      <w:r>
        <w:rPr>
          <w:rFonts w:ascii="Times New Roman" w:cs="Times New Roman" w:eastAsia="Times New Roman" w:hAnsi="Times New Roman"/>
          <w:sz w:val="20"/>
          <w:szCs w:val="20"/>
          <w:color w:val="auto"/>
        </w:rPr>
        <w:t>. In the event of any transaction or event described in Section 8.1 hereof (including, without limitation any change in control) or any unusual or nonrecurring transaction or event affecting the Company or the financial statements or financial condition of the Company, or any change in any Applicable Laws or accounting principles, the Administrator, on such terms and conditions as it deems appropriate, either by the terms of the Award or by action taken and either automatically or upon the Participant’s request, is hereby authorized to take any one or more of the following actions whenever the Administrator determines that such action is appropriate in order to (x) prevent dilution or enlargement of the benefits or potential benefits intended by the Company to be made available under the Plan or with respect to any Award granted or issued under the Plan, (y) to facilitate such transaction or event or (z) give effect to such changes in Applicable Laws or accounting principles:</w:t>
      </w:r>
    </w:p>
    <w:p>
      <w:pPr>
        <w:spacing w:after="0" w:line="85" w:lineRule="exact"/>
        <w:rPr>
          <w:sz w:val="20"/>
          <w:szCs w:val="20"/>
          <w:color w:val="auto"/>
        </w:rPr>
      </w:pPr>
    </w:p>
    <w:p>
      <w:pPr>
        <w:ind w:right="100" w:firstLine="517"/>
        <w:spacing w:after="0" w:line="246" w:lineRule="auto"/>
        <w:tabs>
          <w:tab w:leader="none" w:pos="778"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for the cancellation of any such Award in exchange for either an amount of cash or other property with a value equal to the amount that could have been obtained upon the exercise or settlement of the vested portion of such Award or realization of the Participant’s rights under the vested portion of such Award, as applicable; provided that, if the amount that could have been obtained upon the exercise or settlement of the vested portion of such Award or realization of the Participant’s rights, in any case, is equal to or less than zero, then the vested portion of such Award may be terminated without payment;</w:t>
      </w:r>
    </w:p>
    <w:p>
      <w:pPr>
        <w:spacing w:after="0" w:line="184" w:lineRule="exact"/>
        <w:rPr>
          <w:rFonts w:ascii="Times New Roman" w:cs="Times New Roman" w:eastAsia="Times New Roman" w:hAnsi="Times New Roman"/>
          <w:sz w:val="20"/>
          <w:szCs w:val="20"/>
          <w:color w:val="auto"/>
        </w:rPr>
      </w:pPr>
    </w:p>
    <w:p>
      <w:pPr>
        <w:ind w:right="60" w:firstLine="517"/>
        <w:spacing w:after="0" w:line="255" w:lineRule="auto"/>
        <w:tabs>
          <w:tab w:leader="none" w:pos="789"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that such Award shall vest and, to the extent applicable, be exercisable as to all shares covered thereby, notwithstanding anything to the contrary in the Plan or the provisions of such Award;</w:t>
      </w:r>
    </w:p>
    <w:p>
      <w:pPr>
        <w:spacing w:after="0" w:line="172" w:lineRule="exact"/>
        <w:rPr>
          <w:rFonts w:ascii="Times New Roman" w:cs="Times New Roman" w:eastAsia="Times New Roman" w:hAnsi="Times New Roman"/>
          <w:sz w:val="20"/>
          <w:szCs w:val="20"/>
          <w:color w:val="auto"/>
        </w:rPr>
      </w:pPr>
    </w:p>
    <w:p>
      <w:pPr>
        <w:jc w:val="both"/>
        <w:ind w:right="180" w:firstLine="517"/>
        <w:spacing w:after="0" w:line="274" w:lineRule="auto"/>
        <w:tabs>
          <w:tab w:leader="none" w:pos="778"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provide that such Award be assumed by the successor or survivor corporation, or a parent or subsidiary thereof, or shall be substituted for by awards covering the stock of the successor or survivor corporation, or a parent or subsidiary thereof, with appropriate adjustments as to the number and kind of shares and applicable exercise or purchase price, in all cases, as determined by the Administrator;</w:t>
      </w:r>
    </w:p>
    <w:p>
      <w:pPr>
        <w:spacing w:after="0" w:line="156" w:lineRule="exact"/>
        <w:rPr>
          <w:rFonts w:ascii="Times New Roman" w:cs="Times New Roman" w:eastAsia="Times New Roman" w:hAnsi="Times New Roman"/>
          <w:sz w:val="19"/>
          <w:szCs w:val="19"/>
          <w:color w:val="auto"/>
        </w:rPr>
      </w:pPr>
    </w:p>
    <w:p>
      <w:pPr>
        <w:ind w:right="300" w:firstLine="517"/>
        <w:spacing w:after="0" w:line="247" w:lineRule="auto"/>
        <w:tabs>
          <w:tab w:leader="none" w:pos="789"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make adjustments in the number and type of shares of Common Stock (or other securities or property) subject to outstanding Awards, and/or in the terms and conditions of (including, without limitation, the grant or exercise price), and the criteria included in, outstanding Awards;</w:t>
      </w:r>
    </w:p>
    <w:p>
      <w:pPr>
        <w:spacing w:after="0" w:line="180" w:lineRule="exact"/>
        <w:rPr>
          <w:rFonts w:ascii="Times New Roman" w:cs="Times New Roman" w:eastAsia="Times New Roman" w:hAnsi="Times New Roman"/>
          <w:sz w:val="20"/>
          <w:szCs w:val="20"/>
          <w:color w:val="auto"/>
        </w:rPr>
      </w:pPr>
    </w:p>
    <w:p>
      <w:pPr>
        <w:ind w:right="620" w:firstLine="517"/>
        <w:spacing w:after="0" w:line="269" w:lineRule="auto"/>
        <w:tabs>
          <w:tab w:leader="none" w:pos="778"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replace such Award with other rights or property selected by the Administrator; and/or (f) To provide that the Award will terminate and cannot vest, be exercised or become payable after the applicable event.</w:t>
      </w:r>
    </w:p>
    <w:p>
      <w:pPr>
        <w:spacing w:after="0" w:line="159"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20"/>
          <w:szCs w:val="20"/>
          <w:color w:val="auto"/>
        </w:rPr>
        <w:t xml:space="preserve">8.3 </w:t>
      </w:r>
      <w:r>
        <w:rPr>
          <w:rFonts w:ascii="Times New Roman" w:cs="Times New Roman" w:eastAsia="Times New Roman" w:hAnsi="Times New Roman"/>
          <w:sz w:val="20"/>
          <w:szCs w:val="20"/>
          <w:u w:val="single" w:color="auto"/>
          <w:color w:val="auto"/>
        </w:rPr>
        <w:t>Equity Restructurings</w:t>
      </w:r>
      <w:r>
        <w:rPr>
          <w:rFonts w:ascii="Times New Roman" w:cs="Times New Roman" w:eastAsia="Times New Roman" w:hAnsi="Times New Roman"/>
          <w:sz w:val="20"/>
          <w:szCs w:val="20"/>
          <w:color w:val="auto"/>
        </w:rPr>
        <w:t>. In connection with the occurrence of any Equity Restructuring, and notwithstanding anything to the contrary in this Article VIII, the Administrator will equitably adjust each outstanding Award, which adjustments may include adjustments to the number and type of securities subject to each outstanding Award and/or the exercise price or grant price thereof, if applicable, the grant of new Awards to Participants, and/or the making of a cash payment to Participants, as the Administrator deems appropriate to reflect such Equity Restructuring. The adjustments provided under this Section shall be nondiscretionary and shall be final and binding on the affected Participant and the Company; provided that whether an adjustment is equitable shall be determined by the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180975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5" w:right="359" w:bottom="1440" w:gutter="0" w:footer="0" w:header="0"/>
        </w:sectPr>
      </w:pPr>
    </w:p>
    <w:bookmarkStart w:id="104" w:name="page105"/>
    <w:bookmarkEnd w:id="104"/>
    <w:p>
      <w:pPr>
        <w:ind w:right="40" w:firstLine="509"/>
        <w:spacing w:after="0" w:line="246" w:lineRule="auto"/>
        <w:rPr>
          <w:sz w:val="20"/>
          <w:szCs w:val="20"/>
          <w:color w:val="auto"/>
        </w:rPr>
      </w:pPr>
      <w:r>
        <w:rPr>
          <w:rFonts w:ascii="Times New Roman" w:cs="Times New Roman" w:eastAsia="Times New Roman" w:hAnsi="Times New Roman"/>
          <w:sz w:val="20"/>
          <w:szCs w:val="20"/>
          <w:color w:val="auto"/>
        </w:rPr>
        <w:t xml:space="preserve">8.4 </w:t>
      </w:r>
      <w:r>
        <w:rPr>
          <w:rFonts w:ascii="Times New Roman" w:cs="Times New Roman" w:eastAsia="Times New Roman" w:hAnsi="Times New Roman"/>
          <w:sz w:val="20"/>
          <w:szCs w:val="20"/>
          <w:u w:val="single" w:color="auto"/>
          <w:color w:val="auto"/>
        </w:rPr>
        <w:t>Administrative Stand Still</w:t>
      </w:r>
      <w:r>
        <w:rPr>
          <w:rFonts w:ascii="Times New Roman" w:cs="Times New Roman" w:eastAsia="Times New Roman" w:hAnsi="Times New Roman"/>
          <w:sz w:val="20"/>
          <w:szCs w:val="20"/>
          <w:color w:val="auto"/>
        </w:rPr>
        <w:t>. In the event of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without limitation, any Equity Restructuring, for reasons of administrative convenience the Administrator may refuse to permit the exercise of any Award during a period of up to thirty days prior to the consummation of any such transaction.</w:t>
      </w:r>
    </w:p>
    <w:p>
      <w:pPr>
        <w:spacing w:after="0" w:line="185" w:lineRule="exact"/>
        <w:rPr>
          <w:sz w:val="20"/>
          <w:szCs w:val="20"/>
          <w:color w:val="auto"/>
        </w:rPr>
      </w:pPr>
    </w:p>
    <w:p>
      <w:pPr>
        <w:ind w:firstLine="509"/>
        <w:spacing w:after="0"/>
        <w:rPr>
          <w:sz w:val="20"/>
          <w:szCs w:val="20"/>
          <w:color w:val="auto"/>
        </w:rPr>
      </w:pPr>
      <w:r>
        <w:rPr>
          <w:rFonts w:ascii="Times New Roman" w:cs="Times New Roman" w:eastAsia="Times New Roman" w:hAnsi="Times New Roman"/>
          <w:sz w:val="20"/>
          <w:szCs w:val="20"/>
          <w:color w:val="auto"/>
        </w:rPr>
        <w:t xml:space="preserve">8.5 </w:t>
      </w: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 Except as expressly provided in the Plan or pursuant to action of the Administrator under the Plan, no Participant shall have any rights by reason of any subdivision or consolidation of shares of stock of any class, the payment of any dividend, any increase or decrease in the number of shares of stock of any class or any dissolution, liquidation, merger, or consolidation of the Company or any other corporation. Except as expressly provided in the Plan or pursuant to action of the Administrator under the Plan, no issuance by the Company of shares of stock of any class, or securities convertible into shares of stock of any class, shall affect, and no adjustment by reason thereof shall be made with respect to, the number of shares of Common Stock subject to an Award or the grant or exercise price of any Award. The existence of the Plan, any Award Agreements and the Awards granted hereunder shall not affect or restrict in any way the right or power of the Company to make or authorize (i) any adjustment, recapitalization, reorganization or other change in the Company’s capital structure or its business, (ii) any merger, consolidation dissolution or liquidation of the Company or sale of Company assets or (iii) any sale or issuance of securities, including, without limitation, securities with rights superior to those of the Common Stock or which are convertible into or exchangeable for Common Stock. The Administrator may treat Participants and Awards (or portions thereof) differently under this Article VIII.</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IX.</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GENERAL PROVISIONS APPLICABLE TO AWARDS.</w:t>
      </w:r>
    </w:p>
    <w:p>
      <w:pPr>
        <w:spacing w:after="0" w:line="194"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20"/>
          <w:szCs w:val="20"/>
          <w:color w:val="auto"/>
        </w:rPr>
        <w:t xml:space="preserve">9.1 </w:t>
      </w:r>
      <w:r>
        <w:rPr>
          <w:rFonts w:ascii="Times New Roman" w:cs="Times New Roman" w:eastAsia="Times New Roman" w:hAnsi="Times New Roman"/>
          <w:sz w:val="20"/>
          <w:szCs w:val="20"/>
          <w:u w:val="single" w:color="auto"/>
          <w:color w:val="auto"/>
        </w:rPr>
        <w:t>Transferability</w:t>
      </w:r>
      <w:r>
        <w:rPr>
          <w:rFonts w:ascii="Times New Roman" w:cs="Times New Roman" w:eastAsia="Times New Roman" w:hAnsi="Times New Roman"/>
          <w:sz w:val="20"/>
          <w:szCs w:val="20"/>
          <w:color w:val="auto"/>
        </w:rPr>
        <w:t>. Except as the Administrator may otherwise determine or provide in an Award Agreement or otherwise, in any case in accordance with Applicable Laws, Awards, including any interest therein, may not be sold, assigned, transferred, pledged or otherwise encumbered by the person to whom they are granted, either voluntarily or by operation of law, except by will or the laws of descent and distribution, and, during the life of the Participant, shall be exercisable only by the Participant. References to a Participant, to the extent relevant in the context, shall include references to authorized transferees.</w:t>
      </w:r>
    </w:p>
    <w:p>
      <w:pPr>
        <w:spacing w:after="0" w:line="171" w:lineRule="exact"/>
        <w:rPr>
          <w:sz w:val="20"/>
          <w:szCs w:val="20"/>
          <w:color w:val="auto"/>
        </w:rPr>
      </w:pPr>
    </w:p>
    <w:p>
      <w:pPr>
        <w:jc w:val="both"/>
        <w:ind w:right="440" w:firstLine="509"/>
        <w:spacing w:after="0" w:line="295" w:lineRule="auto"/>
        <w:rPr>
          <w:sz w:val="20"/>
          <w:szCs w:val="20"/>
          <w:color w:val="auto"/>
        </w:rPr>
      </w:pPr>
      <w:r>
        <w:rPr>
          <w:rFonts w:ascii="Times New Roman" w:cs="Times New Roman" w:eastAsia="Times New Roman" w:hAnsi="Times New Roman"/>
          <w:sz w:val="19"/>
          <w:szCs w:val="19"/>
          <w:color w:val="auto"/>
        </w:rPr>
        <w:t xml:space="preserve">9.2 </w:t>
      </w:r>
      <w:r>
        <w:rPr>
          <w:rFonts w:ascii="Times New Roman" w:cs="Times New Roman" w:eastAsia="Times New Roman" w:hAnsi="Times New Roman"/>
          <w:sz w:val="19"/>
          <w:szCs w:val="19"/>
          <w:u w:val="single" w:color="auto"/>
          <w:color w:val="auto"/>
        </w:rPr>
        <w:t>Documentation</w:t>
      </w:r>
      <w:r>
        <w:rPr>
          <w:rFonts w:ascii="Times New Roman" w:cs="Times New Roman" w:eastAsia="Times New Roman" w:hAnsi="Times New Roman"/>
          <w:sz w:val="19"/>
          <w:szCs w:val="19"/>
          <w:color w:val="auto"/>
        </w:rPr>
        <w:t>. Each Award shall be evidenced in an Award Agreement, which may be in such form (written, electronic or otherwise) as the Administrator shall determine. Each Award may contain terms and conditions in addition to those set forth in the Plan.</w:t>
      </w:r>
    </w:p>
    <w:p>
      <w:pPr>
        <w:spacing w:after="0" w:line="138" w:lineRule="exact"/>
        <w:rPr>
          <w:sz w:val="20"/>
          <w:szCs w:val="20"/>
          <w:color w:val="auto"/>
        </w:rPr>
      </w:pPr>
    </w:p>
    <w:p>
      <w:pPr>
        <w:ind w:right="420" w:firstLine="509"/>
        <w:spacing w:after="0" w:line="254" w:lineRule="auto"/>
        <w:rPr>
          <w:sz w:val="20"/>
          <w:szCs w:val="20"/>
          <w:color w:val="auto"/>
        </w:rPr>
      </w:pPr>
      <w:r>
        <w:rPr>
          <w:rFonts w:ascii="Times New Roman" w:cs="Times New Roman" w:eastAsia="Times New Roman" w:hAnsi="Times New Roman"/>
          <w:sz w:val="20"/>
          <w:szCs w:val="20"/>
          <w:color w:val="auto"/>
        </w:rPr>
        <w:t xml:space="preserve">9.3 </w:t>
      </w:r>
      <w:r>
        <w:rPr>
          <w:rFonts w:ascii="Times New Roman" w:cs="Times New Roman" w:eastAsia="Times New Roman" w:hAnsi="Times New Roman"/>
          <w:sz w:val="20"/>
          <w:szCs w:val="20"/>
          <w:u w:val="single" w:color="auto"/>
          <w:color w:val="auto"/>
        </w:rPr>
        <w:t>Discretion</w:t>
      </w:r>
      <w:r>
        <w:rPr>
          <w:rFonts w:ascii="Times New Roman" w:cs="Times New Roman" w:eastAsia="Times New Roman" w:hAnsi="Times New Roman"/>
          <w:sz w:val="20"/>
          <w:szCs w:val="20"/>
          <w:color w:val="auto"/>
        </w:rPr>
        <w:t>. Except as otherwise provided by the Plan, each Award may be made alone or in addition or in relation to any other Award. The terms of each Award to a Participant need not be identical, and the Administrator need not treat Participants or Awards (or portions thereof) uniformly.</w:t>
      </w:r>
    </w:p>
    <w:p>
      <w:pPr>
        <w:spacing w:after="0" w:line="174" w:lineRule="exact"/>
        <w:rPr>
          <w:sz w:val="20"/>
          <w:szCs w:val="20"/>
          <w:color w:val="auto"/>
        </w:rPr>
      </w:pPr>
    </w:p>
    <w:p>
      <w:pPr>
        <w:ind w:right="260" w:firstLine="509"/>
        <w:spacing w:after="0" w:line="244" w:lineRule="auto"/>
        <w:rPr>
          <w:sz w:val="20"/>
          <w:szCs w:val="20"/>
          <w:color w:val="auto"/>
        </w:rPr>
      </w:pPr>
      <w:r>
        <w:rPr>
          <w:rFonts w:ascii="Times New Roman" w:cs="Times New Roman" w:eastAsia="Times New Roman" w:hAnsi="Times New Roman"/>
          <w:sz w:val="20"/>
          <w:szCs w:val="20"/>
          <w:color w:val="auto"/>
        </w:rPr>
        <w:t xml:space="preserve">9.4 </w:t>
      </w:r>
      <w:r>
        <w:rPr>
          <w:rFonts w:ascii="Times New Roman" w:cs="Times New Roman" w:eastAsia="Times New Roman" w:hAnsi="Times New Roman"/>
          <w:sz w:val="20"/>
          <w:szCs w:val="20"/>
          <w:u w:val="single" w:color="auto"/>
          <w:color w:val="auto"/>
        </w:rPr>
        <w:t>Termination of Status</w:t>
      </w:r>
      <w:r>
        <w:rPr>
          <w:rFonts w:ascii="Times New Roman" w:cs="Times New Roman" w:eastAsia="Times New Roman" w:hAnsi="Times New Roman"/>
          <w:sz w:val="20"/>
          <w:szCs w:val="20"/>
          <w:color w:val="auto"/>
        </w:rPr>
        <w:t>. The Administrator shall determine the effect on an Award of the disability, death, retirement, authorized leave of absence or any other change or purported change in a Participant’s Service Provider status and the extent to which, and the period during which, the Participant, the Participant’s legal representative, conservator, guardian or Designated Beneficiary may exercise rights under the Award, if applicable.</w:t>
      </w:r>
    </w:p>
    <w:p>
      <w:pPr>
        <w:spacing w:after="0" w:line="185" w:lineRule="exact"/>
        <w:rPr>
          <w:sz w:val="20"/>
          <w:szCs w:val="20"/>
          <w:color w:val="auto"/>
        </w:rPr>
      </w:pPr>
    </w:p>
    <w:p>
      <w:pPr>
        <w:ind w:right="200" w:firstLine="509"/>
        <w:spacing w:after="0" w:line="269" w:lineRule="auto"/>
        <w:rPr>
          <w:sz w:val="20"/>
          <w:szCs w:val="20"/>
          <w:color w:val="auto"/>
        </w:rPr>
      </w:pPr>
      <w:r>
        <w:rPr>
          <w:rFonts w:ascii="Times New Roman" w:cs="Times New Roman" w:eastAsia="Times New Roman" w:hAnsi="Times New Roman"/>
          <w:sz w:val="20"/>
          <w:szCs w:val="20"/>
          <w:color w:val="auto"/>
        </w:rPr>
        <w:t xml:space="preserve">9.5 </w:t>
      </w:r>
      <w:r>
        <w:rPr>
          <w:rFonts w:ascii="Times New Roman" w:cs="Times New Roman" w:eastAsia="Times New Roman" w:hAnsi="Times New Roman"/>
          <w:sz w:val="20"/>
          <w:szCs w:val="20"/>
          <w:u w:val="single" w:color="auto"/>
          <w:color w:val="auto"/>
        </w:rPr>
        <w:t>Withholding</w:t>
      </w:r>
      <w:r>
        <w:rPr>
          <w:rFonts w:ascii="Times New Roman" w:cs="Times New Roman" w:eastAsia="Times New Roman" w:hAnsi="Times New Roman"/>
          <w:sz w:val="20"/>
          <w:szCs w:val="20"/>
          <w:color w:val="auto"/>
        </w:rPr>
        <w:t>. Each Participant shall pay to the Company, or make provision satisfactory to the Administrator for payment of, any taxes required by law to be withheld in connection with Awards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163195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5" w:right="359" w:bottom="1440" w:gutter="0" w:footer="0" w:header="0"/>
        </w:sectPr>
      </w:pPr>
    </w:p>
    <w:bookmarkStart w:id="105" w:name="page106"/>
    <w:bookmarkEnd w:id="105"/>
    <w:p>
      <w:pPr>
        <w:ind w:right="240"/>
        <w:spacing w:after="0" w:line="246" w:lineRule="auto"/>
        <w:rPr>
          <w:sz w:val="20"/>
          <w:szCs w:val="20"/>
          <w:color w:val="auto"/>
        </w:rPr>
      </w:pPr>
      <w:r>
        <w:rPr>
          <w:rFonts w:ascii="Times New Roman" w:cs="Times New Roman" w:eastAsia="Times New Roman" w:hAnsi="Times New Roman"/>
          <w:sz w:val="20"/>
          <w:szCs w:val="20"/>
          <w:color w:val="auto"/>
        </w:rPr>
        <w:t>such Participant no later than the date of the event creating the tax liability. Except as the Administrator may otherwise determine, all such payments shall be made in cash, by wire transfer of immediately available funds or by certified check. Notwithstanding the foregoing, Participants may satisfy such tax obligations, subject to Section 10.8, any Company insider trading policy (including blackout periods) and Applicable Laws, (i) to the extent permitted by the Administrator, in whole or in part by delivery of shares of Common Stock, including shares retained from the Award creating the tax obligation, valued at their</w:t>
      </w:r>
    </w:p>
    <w:p>
      <w:pPr>
        <w:spacing w:after="0" w:line="185"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auto"/>
        </w:rPr>
        <w:t>Fair Market Value, and (ii) if there is a public market for shares of Common Stock at the time the tax obligations are satisfied, unless the Administrator otherwise determines, (A) delivery (including, without limitation, telephonically to the extent permitted by the Company) of an irrevocable and unconditional undertaking by a broker acceptable to the Company to deliver promptly to the Company sufficient funds to satisfy the tax obligations, or (B) delivery by the Participant to the Company of a copy of irrevocable and unconditional instructions to a broker acceptable to the Company to deliver promptly to the Company cash or a check sufficient to satisfy the tax withholding; provided that such amount is paid to the Company at such time as may be required by the Administrator. The Company may, to the extent permitted by Applicable Laws, deduct any such tax obligations based on applicable withholding rates from any payment of any kind otherwise due to a Participant.</w:t>
      </w:r>
    </w:p>
    <w:p>
      <w:pPr>
        <w:spacing w:after="0" w:line="191" w:lineRule="exact"/>
        <w:rPr>
          <w:sz w:val="20"/>
          <w:szCs w:val="20"/>
          <w:color w:val="auto"/>
        </w:rPr>
      </w:pPr>
    </w:p>
    <w:p>
      <w:pPr>
        <w:ind w:right="80" w:firstLine="509"/>
        <w:spacing w:after="0" w:line="246" w:lineRule="auto"/>
        <w:rPr>
          <w:sz w:val="20"/>
          <w:szCs w:val="20"/>
          <w:color w:val="auto"/>
        </w:rPr>
      </w:pPr>
      <w:r>
        <w:rPr>
          <w:rFonts w:ascii="Times New Roman" w:cs="Times New Roman" w:eastAsia="Times New Roman" w:hAnsi="Times New Roman"/>
          <w:sz w:val="20"/>
          <w:szCs w:val="20"/>
          <w:color w:val="auto"/>
        </w:rPr>
        <w:t xml:space="preserve">9.6 </w:t>
      </w:r>
      <w:r>
        <w:rPr>
          <w:rFonts w:ascii="Times New Roman" w:cs="Times New Roman" w:eastAsia="Times New Roman" w:hAnsi="Times New Roman"/>
          <w:sz w:val="20"/>
          <w:szCs w:val="20"/>
          <w:u w:val="single" w:color="auto"/>
          <w:color w:val="auto"/>
        </w:rPr>
        <w:t>Amendment of Award</w:t>
      </w:r>
      <w:r>
        <w:rPr>
          <w:rFonts w:ascii="Times New Roman" w:cs="Times New Roman" w:eastAsia="Times New Roman" w:hAnsi="Times New Roman"/>
          <w:sz w:val="20"/>
          <w:szCs w:val="20"/>
          <w:color w:val="auto"/>
        </w:rPr>
        <w:t>. The Administrator may amend, modify or terminate any outstanding Award, including but not limited to, substituting therefor another Award of the same or a different type, changing the date of exercise or settlement, and converting an Incentive Stock Option to a Non-Qualified Stock Option. The Participant’s consent to such action shall be required unless (i) the Administrator determines that the action, taking into account any related action, would not materially and adversely affect the Participant, or (ii) the change is permitted under Article VIII and Section 10.6 hereof.</w:t>
      </w:r>
    </w:p>
    <w:p>
      <w:pPr>
        <w:spacing w:after="0" w:line="171" w:lineRule="exact"/>
        <w:rPr>
          <w:sz w:val="20"/>
          <w:szCs w:val="20"/>
          <w:color w:val="auto"/>
        </w:rPr>
      </w:pPr>
    </w:p>
    <w:p>
      <w:pPr>
        <w:ind w:right="20" w:firstLine="509"/>
        <w:spacing w:after="0" w:line="241" w:lineRule="auto"/>
        <w:rPr>
          <w:sz w:val="20"/>
          <w:szCs w:val="20"/>
          <w:color w:val="auto"/>
        </w:rPr>
      </w:pPr>
      <w:r>
        <w:rPr>
          <w:rFonts w:ascii="Times New Roman" w:cs="Times New Roman" w:eastAsia="Times New Roman" w:hAnsi="Times New Roman"/>
          <w:sz w:val="20"/>
          <w:szCs w:val="20"/>
          <w:color w:val="auto"/>
        </w:rPr>
        <w:t xml:space="preserve">9.7 </w:t>
      </w:r>
      <w:r>
        <w:rPr>
          <w:rFonts w:ascii="Times New Roman" w:cs="Times New Roman" w:eastAsia="Times New Roman" w:hAnsi="Times New Roman"/>
          <w:sz w:val="20"/>
          <w:szCs w:val="20"/>
          <w:u w:val="single" w:color="auto"/>
          <w:color w:val="auto"/>
        </w:rPr>
        <w:t>Conditions on Delivery of Stock</w:t>
      </w:r>
      <w:r>
        <w:rPr>
          <w:rFonts w:ascii="Times New Roman" w:cs="Times New Roman" w:eastAsia="Times New Roman" w:hAnsi="Times New Roman"/>
          <w:sz w:val="20"/>
          <w:szCs w:val="20"/>
          <w:color w:val="auto"/>
        </w:rPr>
        <w:t>. The Company will not be obligated to deliver any shares of Common Stock pursuant to the Plan or to remove restrictions from shares previously delivered under the Plan until (i) all conditions of the Award have been met or removed to the satisfaction of the Company, (ii) in the opinion of the Company’s counsel, all other legal matters in connection with the issuance and delivery of such shares have been satisfied, including, without limitation, any applicable securities laws and any applicable stock exchange or stock market rules and regulations, and (iii) the Participant has executed and delivered to the Company such representations or agreements as the Administrator deems necessary or appropriate to satisfy the requirements of any Applicable Laws. The inability of the Company to obtain authority from any regulatory body having jurisdiction, which authority is determined by the Administrator to be necessary to the lawful issuance and sale of any securities hereunder, shall relieve the Company of any liability in respect of the failure to issue or sell such shares as to which such requisite authority shall not have been obtained.</w:t>
      </w:r>
    </w:p>
    <w:p>
      <w:pPr>
        <w:spacing w:after="0" w:line="190" w:lineRule="exact"/>
        <w:rPr>
          <w:sz w:val="20"/>
          <w:szCs w:val="20"/>
          <w:color w:val="auto"/>
        </w:rPr>
      </w:pPr>
    </w:p>
    <w:p>
      <w:pPr>
        <w:ind w:right="140" w:firstLine="509"/>
        <w:spacing w:after="0" w:line="269" w:lineRule="auto"/>
        <w:rPr>
          <w:sz w:val="20"/>
          <w:szCs w:val="20"/>
          <w:color w:val="auto"/>
        </w:rPr>
      </w:pPr>
      <w:r>
        <w:rPr>
          <w:rFonts w:ascii="Times New Roman" w:cs="Times New Roman" w:eastAsia="Times New Roman" w:hAnsi="Times New Roman"/>
          <w:sz w:val="20"/>
          <w:szCs w:val="20"/>
          <w:color w:val="auto"/>
        </w:rPr>
        <w:t xml:space="preserve">9.8 </w:t>
      </w:r>
      <w:r>
        <w:rPr>
          <w:rFonts w:ascii="Times New Roman" w:cs="Times New Roman" w:eastAsia="Times New Roman" w:hAnsi="Times New Roman"/>
          <w:sz w:val="20"/>
          <w:szCs w:val="20"/>
          <w:u w:val="single" w:color="auto"/>
          <w:color w:val="auto"/>
        </w:rPr>
        <w:t>Acceleration</w:t>
      </w:r>
      <w:r>
        <w:rPr>
          <w:rFonts w:ascii="Times New Roman" w:cs="Times New Roman" w:eastAsia="Times New Roman" w:hAnsi="Times New Roman"/>
          <w:sz w:val="20"/>
          <w:szCs w:val="20"/>
          <w:color w:val="auto"/>
        </w:rPr>
        <w:t>. The Administrator may at any time provide that any Award shall become vested and/or exercisable in full or in part, free of some or all restrictions or conditions, or otherwise realizable in full or in part, as the case may be.</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X.</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MISCELLANEOUS.</w:t>
      </w:r>
    </w:p>
    <w:p>
      <w:pPr>
        <w:spacing w:after="0" w:line="194" w:lineRule="exact"/>
        <w:rPr>
          <w:sz w:val="20"/>
          <w:szCs w:val="20"/>
          <w:color w:val="auto"/>
        </w:rPr>
      </w:pPr>
    </w:p>
    <w:p>
      <w:pPr>
        <w:ind w:right="320" w:firstLine="509"/>
        <w:spacing w:after="0" w:line="254" w:lineRule="auto"/>
        <w:rPr>
          <w:sz w:val="20"/>
          <w:szCs w:val="20"/>
          <w:color w:val="auto"/>
        </w:rPr>
      </w:pPr>
      <w:r>
        <w:rPr>
          <w:rFonts w:ascii="Times New Roman" w:cs="Times New Roman" w:eastAsia="Times New Roman" w:hAnsi="Times New Roman"/>
          <w:sz w:val="20"/>
          <w:szCs w:val="20"/>
          <w:color w:val="auto"/>
        </w:rPr>
        <w:t xml:space="preserve">10.1 </w:t>
      </w:r>
      <w:r>
        <w:rPr>
          <w:rFonts w:ascii="Times New Roman" w:cs="Times New Roman" w:eastAsia="Times New Roman" w:hAnsi="Times New Roman"/>
          <w:sz w:val="20"/>
          <w:szCs w:val="20"/>
          <w:u w:val="single" w:color="auto"/>
          <w:color w:val="auto"/>
        </w:rPr>
        <w:t>No Right To Employment or Other Status</w:t>
      </w:r>
      <w:r>
        <w:rPr>
          <w:rFonts w:ascii="Times New Roman" w:cs="Times New Roman" w:eastAsia="Times New Roman" w:hAnsi="Times New Roman"/>
          <w:sz w:val="20"/>
          <w:szCs w:val="20"/>
          <w:color w:val="auto"/>
        </w:rPr>
        <w:t>. No person shall have any claim or right to be granted an Award, and the grant of an Award shall not be construed as giving a Participant the right to continued employment or any other relationship with the Company. The Company expressly reserves the right at any time to dismiss or otherwise terminate its relationship with a Participant free from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20"/>
          <w:szCs w:val="20"/>
          <w:color w:val="auto"/>
        </w:rPr>
        <w:t>liability or claim under the Plan or any Award, except as expressly provided in an applicable Award Agreement.</w:t>
      </w:r>
    </w:p>
    <w:p>
      <w:pPr>
        <w:spacing w:after="0" w:line="216"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20"/>
          <w:szCs w:val="20"/>
          <w:color w:val="auto"/>
        </w:rPr>
        <w:t xml:space="preserve">10.2 </w:t>
      </w:r>
      <w:r>
        <w:rPr>
          <w:rFonts w:ascii="Times New Roman" w:cs="Times New Roman" w:eastAsia="Times New Roman" w:hAnsi="Times New Roman"/>
          <w:sz w:val="20"/>
          <w:szCs w:val="20"/>
          <w:u w:val="single" w:color="auto"/>
          <w:color w:val="auto"/>
        </w:rPr>
        <w:t>No Rights As Stockholder; Certificates</w:t>
      </w:r>
      <w:r>
        <w:rPr>
          <w:rFonts w:ascii="Times New Roman" w:cs="Times New Roman" w:eastAsia="Times New Roman" w:hAnsi="Times New Roman"/>
          <w:sz w:val="20"/>
          <w:szCs w:val="20"/>
          <w:color w:val="auto"/>
        </w:rPr>
        <w:t>. Subject to the provisions of the applicable Award Agreement, no Participant or Designated Beneficiary shall have any rights as a stockholder with respect to any shares of Common Stock to be distributed with respect to an Award until becoming the record holder of such shares. Notwithstanding any other provision of the Plan, unless otherwise determined by the Administrator or required by any Applicable Laws, the Company shall not be required to deliver to any Participant certificates evidencing shares of Common Stock issued in connection with any Award and instead such shares of Common Stock may be recorded in the books of the Company (or, as applicable, its transfer agent or stock plan administrator). The Company may place legends on stock certificates issued under the Plan deemed necessary or appropriate by the Administrator in order to comply with Applicable Laws.</w:t>
      </w:r>
    </w:p>
    <w:p>
      <w:pPr>
        <w:spacing w:after="0" w:line="199" w:lineRule="exact"/>
        <w:rPr>
          <w:sz w:val="20"/>
          <w:szCs w:val="20"/>
          <w:color w:val="auto"/>
        </w:rPr>
      </w:pPr>
    </w:p>
    <w:p>
      <w:pPr>
        <w:ind w:right="180" w:firstLine="509"/>
        <w:spacing w:after="0" w:line="244" w:lineRule="auto"/>
        <w:rPr>
          <w:sz w:val="20"/>
          <w:szCs w:val="20"/>
          <w:color w:val="auto"/>
        </w:rPr>
      </w:pPr>
      <w:r>
        <w:rPr>
          <w:rFonts w:ascii="Times New Roman" w:cs="Times New Roman" w:eastAsia="Times New Roman" w:hAnsi="Times New Roman"/>
          <w:sz w:val="20"/>
          <w:szCs w:val="20"/>
          <w:color w:val="auto"/>
        </w:rPr>
        <w:t xml:space="preserve">10.3 </w:t>
      </w:r>
      <w:r>
        <w:rPr>
          <w:rFonts w:ascii="Times New Roman" w:cs="Times New Roman" w:eastAsia="Times New Roman" w:hAnsi="Times New Roman"/>
          <w:sz w:val="20"/>
          <w:szCs w:val="20"/>
          <w:u w:val="single" w:color="auto"/>
          <w:color w:val="auto"/>
        </w:rPr>
        <w:t>Effective Date and Term of Plan</w:t>
      </w:r>
      <w:r>
        <w:rPr>
          <w:rFonts w:ascii="Times New Roman" w:cs="Times New Roman" w:eastAsia="Times New Roman" w:hAnsi="Times New Roman"/>
          <w:sz w:val="20"/>
          <w:szCs w:val="20"/>
          <w:color w:val="auto"/>
        </w:rPr>
        <w:t>. The Plan shall become effective on the date on which it is adopted by the Board. No Awards shall be granted under the Plan after the completion of ten years from the earlier of (i) the date on which the Plan was adopted by the Board or (ii) the date the Plan was approved by the Company’s stockholders, but Awards previously granted may extend beyond that date in accordance with the terms of the Plan.</w:t>
      </w:r>
    </w:p>
    <w:p>
      <w:pPr>
        <w:spacing w:after="0" w:line="185"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20"/>
          <w:szCs w:val="20"/>
          <w:color w:val="auto"/>
        </w:rPr>
        <w:t xml:space="preserve">10.4 </w:t>
      </w:r>
      <w:r>
        <w:rPr>
          <w:rFonts w:ascii="Times New Roman" w:cs="Times New Roman" w:eastAsia="Times New Roman" w:hAnsi="Times New Roman"/>
          <w:sz w:val="20"/>
          <w:szCs w:val="20"/>
          <w:u w:val="single" w:color="auto"/>
          <w:color w:val="auto"/>
        </w:rPr>
        <w:t>Amendment of Plan</w:t>
      </w:r>
      <w:r>
        <w:rPr>
          <w:rFonts w:ascii="Times New Roman" w:cs="Times New Roman" w:eastAsia="Times New Roman" w:hAnsi="Times New Roman"/>
          <w:sz w:val="20"/>
          <w:szCs w:val="20"/>
          <w:color w:val="auto"/>
        </w:rPr>
        <w:t>. The Administrator may amend, suspend or terminate the Plan or any portion thereof at any time; provided that no amendment of the Plan shall materially and adversely affect (as determined by the Administrator) any Award outstanding at the time of such amendment without the consent of the affected Participant. Awards outstanding under the Plan at the time of any suspension or termination of the Plan shall continue to be governed in accordance with the terms of the Plan and the applicable Award Agreement, as in effect prior to such suspension or termination. The Board shall obtain stockholder approval of any Plan amendment to the extent necessary to comply with Applicable Laws.</w:t>
      </w:r>
    </w:p>
    <w:p>
      <w:pPr>
        <w:spacing w:after="0" w:line="171" w:lineRule="exact"/>
        <w:rPr>
          <w:sz w:val="20"/>
          <w:szCs w:val="20"/>
          <w:color w:val="auto"/>
        </w:rPr>
      </w:pPr>
    </w:p>
    <w:p>
      <w:pPr>
        <w:ind w:right="200" w:firstLine="509"/>
        <w:spacing w:after="0" w:line="254" w:lineRule="auto"/>
        <w:rPr>
          <w:sz w:val="20"/>
          <w:szCs w:val="20"/>
          <w:color w:val="auto"/>
        </w:rPr>
      </w:pPr>
      <w:r>
        <w:rPr>
          <w:rFonts w:ascii="Times New Roman" w:cs="Times New Roman" w:eastAsia="Times New Roman" w:hAnsi="Times New Roman"/>
          <w:sz w:val="20"/>
          <w:szCs w:val="20"/>
          <w:color w:val="auto"/>
        </w:rPr>
        <w:t xml:space="preserve">10.5 </w:t>
      </w:r>
      <w:r>
        <w:rPr>
          <w:rFonts w:ascii="Times New Roman" w:cs="Times New Roman" w:eastAsia="Times New Roman" w:hAnsi="Times New Roman"/>
          <w:sz w:val="20"/>
          <w:szCs w:val="20"/>
          <w:u w:val="single" w:color="auto"/>
          <w:color w:val="auto"/>
        </w:rPr>
        <w:t>Provisions for Foreign Participants</w:t>
      </w:r>
      <w:r>
        <w:rPr>
          <w:rFonts w:ascii="Times New Roman" w:cs="Times New Roman" w:eastAsia="Times New Roman" w:hAnsi="Times New Roman"/>
          <w:sz w:val="20"/>
          <w:szCs w:val="20"/>
          <w:color w:val="auto"/>
        </w:rPr>
        <w:t>. The Administrator may modify Awards granted to Participants who are foreign nationals or employed outside the United States or establish subplans or procedures under the Plan to address differences in laws, rules, regulations or customs of such foreign jurisdictions with respect to tax, securities, currency, employee benefit or other matters.</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 xml:space="preserve">10.6 </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w:t>
      </w:r>
    </w:p>
    <w:p>
      <w:pPr>
        <w:spacing w:after="0" w:line="212" w:lineRule="exact"/>
        <w:rPr>
          <w:sz w:val="20"/>
          <w:szCs w:val="20"/>
          <w:color w:val="auto"/>
        </w:rPr>
      </w:pPr>
    </w:p>
    <w:p>
      <w:pPr>
        <w:ind w:right="20" w:firstLine="517"/>
        <w:spacing w:after="0" w:line="253" w:lineRule="auto"/>
        <w:tabs>
          <w:tab w:leader="none" w:pos="778"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General. </w:t>
      </w:r>
      <w:r>
        <w:rPr>
          <w:rFonts w:ascii="Times New Roman" w:cs="Times New Roman" w:eastAsia="Times New Roman" w:hAnsi="Times New Roman"/>
          <w:sz w:val="19"/>
          <w:szCs w:val="19"/>
          <w:color w:val="auto"/>
        </w:rPr>
        <w:t>The Company intends that all Awards be structured in compliance with, or to satisfy an exemption from, Section 409A,</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such that no adverse tax consequences, interest, or penalties under Section 409A apply in connection with any Awards. Notwithstanding anything herein or in any Award Agreement to the contrary, the Administrator may, without a Participant’s prior consent, amend this Plan and/or Awards, adopt policies and procedures, or take any other actions (including, without limitation, amendments, policies, procedures and actions with retroactive effect) as are necessary or appropriate to preserve the intended tax treatment of Awards under the Plan, including, without limitation, any such actions intended to (A) exempt this Plan and/or any Award from the application of Section 409A, and/or (B) comply with the requirements of Section 409A, including, without limitation any such regulations, guidance, compliance programs and other interpretative authority that may be issued after the date of grant of any Award. The Company makes no representations or warranties as to the tax treatment of any Award under Section 409A or otherwise. The Company shall have no obligation under this Section 10.6 or otherwise to take any action (whether or not described herein) to avoid the imposition of taxes, penalties or interest under Section 409A with respect to any Award and shall have no liability to any Participant or any other person if any Award, compensation or other benefits under the Plan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178435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5" w:right="359" w:bottom="1440" w:gutter="0" w:footer="0" w:header="0"/>
        </w:sectPr>
      </w:pPr>
    </w:p>
    <w:bookmarkStart w:id="107" w:name="page108"/>
    <w:bookmarkEnd w:id="107"/>
    <w:p>
      <w:pPr>
        <w:ind w:right="300"/>
        <w:spacing w:after="0" w:line="269" w:lineRule="auto"/>
        <w:rPr>
          <w:sz w:val="20"/>
          <w:szCs w:val="20"/>
          <w:color w:val="auto"/>
        </w:rPr>
      </w:pPr>
      <w:r>
        <w:rPr>
          <w:rFonts w:ascii="Times New Roman" w:cs="Times New Roman" w:eastAsia="Times New Roman" w:hAnsi="Times New Roman"/>
          <w:sz w:val="20"/>
          <w:szCs w:val="20"/>
          <w:color w:val="auto"/>
        </w:rPr>
        <w:t>determined to constitute non-compliant, “nonqualified deferred compensation” subject to the imposition of taxes, penalties and/or interest under Section 409A.</w:t>
      </w:r>
    </w:p>
    <w:p>
      <w:pPr>
        <w:spacing w:after="0" w:line="155" w:lineRule="exact"/>
        <w:rPr>
          <w:sz w:val="20"/>
          <w:szCs w:val="20"/>
          <w:color w:val="auto"/>
        </w:rPr>
      </w:pPr>
    </w:p>
    <w:p>
      <w:pPr>
        <w:ind w:right="80" w:firstLine="517"/>
        <w:spacing w:after="0" w:line="243" w:lineRule="auto"/>
        <w:tabs>
          <w:tab w:leader="none" w:pos="789"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Separation from Service. </w:t>
      </w:r>
      <w:r>
        <w:rPr>
          <w:rFonts w:ascii="Times New Roman" w:cs="Times New Roman" w:eastAsia="Times New Roman" w:hAnsi="Times New Roman"/>
          <w:sz w:val="20"/>
          <w:szCs w:val="20"/>
          <w:color w:val="auto"/>
        </w:rPr>
        <w:t>With respect to any Award that constitutes “nonqualified deferred compensation” under Section 409A,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any payment or settlement of such Award that is to be made upon a termination of a Participant’s Service Provider relationship shall, to the extent necessary to avoid the imposition of taxes under Section 409A, be made only upon the Participant’s “separation from service” (within the meaning of Section 409A), whether such “separation from service” occurs upon or subsequent to the termination of the Participant’s Service Provider relationship. For purposes of any such provision of this Plan or any Award Agreement relating to any such payments or benefits, references to a “termination,” “termination of employment” or like terms shall mean “separation from service.”</w:t>
      </w:r>
    </w:p>
    <w:p>
      <w:pPr>
        <w:spacing w:after="0" w:line="384" w:lineRule="exact"/>
        <w:rPr>
          <w:rFonts w:ascii="Times New Roman" w:cs="Times New Roman" w:eastAsia="Times New Roman" w:hAnsi="Times New Roman"/>
          <w:sz w:val="20"/>
          <w:szCs w:val="20"/>
          <w:color w:val="auto"/>
        </w:rPr>
      </w:pPr>
    </w:p>
    <w:p>
      <w:pPr>
        <w:ind w:firstLine="517"/>
        <w:spacing w:after="0" w:line="241" w:lineRule="auto"/>
        <w:tabs>
          <w:tab w:leader="none" w:pos="778"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Payments to Specified Employees. </w:t>
      </w:r>
      <w:r>
        <w:rPr>
          <w:rFonts w:ascii="Times New Roman" w:cs="Times New Roman" w:eastAsia="Times New Roman" w:hAnsi="Times New Roman"/>
          <w:sz w:val="20"/>
          <w:szCs w:val="20"/>
          <w:color w:val="auto"/>
        </w:rPr>
        <w:t>Notwithstanding any contrary provision in the Plan or any Award Agreement, any payment(s)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“nonqualified deferred compensation” that are otherwise required to be made under an Award to a “specified employee” (as defined under Section 409A and determined by the Administrator) as a result of his or her “separation from service” shall, to the extent necessary to avoid the imposition of taxes under Code Section 409A(a)(2)(B)(i), be delayed until the expiration of the six-month period immediately following such “separation from service” (or, if earlier, until the date of death of the specified employee) and shall instead be paid (in a manner set forth in the Award agreement) on the day that immediately follows the end of such six-month period or as soon as administratively practicable thereafter (without interest). Any payments of “nonqualified deferred compensation” under such Award that are, by their terms, payable more than six months following the Participant’s “separation from service” shall be paid at the time or times such payments are otherwise scheduled to be made.</w:t>
      </w:r>
    </w:p>
    <w:p>
      <w:pPr>
        <w:spacing w:after="0" w:line="194" w:lineRule="exact"/>
        <w:rPr>
          <w:sz w:val="20"/>
          <w:szCs w:val="20"/>
          <w:color w:val="auto"/>
        </w:rPr>
      </w:pPr>
    </w:p>
    <w:p>
      <w:pPr>
        <w:ind w:right="80" w:firstLine="509"/>
        <w:spacing w:after="0" w:line="241" w:lineRule="auto"/>
        <w:rPr>
          <w:sz w:val="20"/>
          <w:szCs w:val="20"/>
          <w:color w:val="auto"/>
        </w:rPr>
      </w:pPr>
      <w:r>
        <w:rPr>
          <w:rFonts w:ascii="Times New Roman" w:cs="Times New Roman" w:eastAsia="Times New Roman" w:hAnsi="Times New Roman"/>
          <w:sz w:val="20"/>
          <w:szCs w:val="20"/>
          <w:color w:val="auto"/>
        </w:rPr>
        <w:t xml:space="preserve">10.7 </w:t>
      </w:r>
      <w:r>
        <w:rPr>
          <w:rFonts w:ascii="Times New Roman" w:cs="Times New Roman" w:eastAsia="Times New Roman" w:hAnsi="Times New Roman"/>
          <w:sz w:val="20"/>
          <w:szCs w:val="20"/>
          <w:u w:val="single" w:color="auto"/>
          <w:color w:val="auto"/>
        </w:rPr>
        <w:t>Limitations on Liability</w:t>
      </w:r>
      <w:r>
        <w:rPr>
          <w:rFonts w:ascii="Times New Roman" w:cs="Times New Roman" w:eastAsia="Times New Roman" w:hAnsi="Times New Roman"/>
          <w:sz w:val="20"/>
          <w:szCs w:val="20"/>
          <w:color w:val="auto"/>
        </w:rPr>
        <w:t>. Notwithstanding any other provisions of the Plan, no individual acting as a director, officer, other employee or agent of the Company will be liable to any Participant, former Participant, spouse, beneficiary, or any other person for any claim, loss, liability, or expense incurred in connection with the Plan or any Award, nor will such individual be personally liable with respect to the Plan because of any contract or other instrument he or she executes in his or her capacity as an Administrator, director, officer, other employee or agent of the Company. The Company will indemnify and hold harmless each director, officer, other employee and agent of the Company to whom any duty or power relating to the administration or interpretation of the Plan has been or will be granted or delegated, against any cost or expense (including, without limitation, attorneys’ fees) or liability (including, without limitation, any sum paid in settlement of a claim with the Administrator’s approval) arising out of any act or omission to act concerning this Plan unless arising out of such person’s own fraud or bad faith.</w:t>
      </w:r>
    </w:p>
    <w:p>
      <w:pPr>
        <w:spacing w:after="0" w:line="190" w:lineRule="exact"/>
        <w:rPr>
          <w:sz w:val="20"/>
          <w:szCs w:val="20"/>
          <w:color w:val="auto"/>
        </w:rPr>
      </w:pPr>
    </w:p>
    <w:p>
      <w:pPr>
        <w:ind w:right="20" w:firstLine="509"/>
        <w:spacing w:after="0" w:line="239" w:lineRule="auto"/>
        <w:rPr>
          <w:sz w:val="20"/>
          <w:szCs w:val="20"/>
          <w:color w:val="auto"/>
        </w:rPr>
      </w:pPr>
      <w:r>
        <w:rPr>
          <w:rFonts w:ascii="Times New Roman" w:cs="Times New Roman" w:eastAsia="Times New Roman" w:hAnsi="Times New Roman"/>
          <w:sz w:val="20"/>
          <w:szCs w:val="20"/>
          <w:color w:val="auto"/>
        </w:rPr>
        <w:t xml:space="preserve">10.8 </w:t>
      </w:r>
      <w:r>
        <w:rPr>
          <w:rFonts w:ascii="Times New Roman" w:cs="Times New Roman" w:eastAsia="Times New Roman" w:hAnsi="Times New Roman"/>
          <w:sz w:val="20"/>
          <w:szCs w:val="20"/>
          <w:u w:val="single" w:color="auto"/>
          <w:color w:val="auto"/>
        </w:rPr>
        <w:t>Lock-Up Period</w:t>
      </w:r>
      <w:r>
        <w:rPr>
          <w:rFonts w:ascii="Times New Roman" w:cs="Times New Roman" w:eastAsia="Times New Roman" w:hAnsi="Times New Roman"/>
          <w:sz w:val="20"/>
          <w:szCs w:val="20"/>
          <w:color w:val="auto"/>
        </w:rPr>
        <w:t>. By accepting an Award, each Participant agrees that the Participant will not, without the prior written consent of the managing underwriter, during the period commencing on the date of the final prospectus relating to an initial public offering of any of the Company’s securities and ending on the date specified by the Company and the managing underwriter (such period not to exceed one hundred eighty (180) days, or such other period as may be requested by the Company or an underwriter to accommodate regulatory restrictions on (1) the publication or other distribution of research reports, and (2) analyst recommendations and opinions, including, but not limited to, the restrictions contained in FINRA Rule 2241 or NYSE Rule 472(f)(4)), (i)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(directly or indirectly) for Common Stock held immediately before the effective date of the registration statement for such offering or (ii) enter into any swap or other arrangement that transfers to another, in whole or in part, any of the economic consequences of ownership of such securities, whether any such transaction described in clause (i) or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5" w:right="359" w:bottom="1440" w:gutter="0" w:footer="0" w:header="0"/>
        </w:sectPr>
      </w:pPr>
    </w:p>
    <w:bookmarkStart w:id="108" w:name="page109"/>
    <w:bookmarkEnd w:id="108"/>
    <w:p>
      <w:pPr>
        <w:spacing w:after="0" w:line="245" w:lineRule="auto"/>
        <w:rPr>
          <w:sz w:val="20"/>
          <w:szCs w:val="20"/>
          <w:color w:val="auto"/>
        </w:rPr>
      </w:pPr>
      <w:r>
        <w:rPr>
          <w:rFonts w:ascii="Times New Roman" w:cs="Times New Roman" w:eastAsia="Times New Roman" w:hAnsi="Times New Roman"/>
          <w:sz w:val="20"/>
          <w:szCs w:val="20"/>
          <w:color w:val="auto"/>
        </w:rPr>
        <w:t>above is to be settled by delivery of Common Stock or other securities, in cash, or otherwise. The foregoing provisions of this Section shall apply only to an initial public offering of the Company’s securities and shall not apply to the sale of any shares to an underwriter pursuant to an underwriting agreement for such initial public offering. The underwriters in connection with such registration are intended third-party beneficiaries of this Section and shall have the right, power, and authority to enforce the provisions hereof as though they were a party hereto. Each Participant further agrees to execute such agreements as may be reasonably requested by the underwriters in connection with such registration that are consistent with this Section or that are necessary to give further effect thereto.</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 xml:space="preserve">10.9 </w:t>
      </w:r>
      <w:r>
        <w:rPr>
          <w:rFonts w:ascii="Times New Roman" w:cs="Times New Roman" w:eastAsia="Times New Roman" w:hAnsi="Times New Roman"/>
          <w:sz w:val="20"/>
          <w:szCs w:val="20"/>
          <w:u w:val="single" w:color="auto"/>
          <w:color w:val="auto"/>
        </w:rPr>
        <w:t>Right of First Refusal</w:t>
      </w:r>
      <w:r>
        <w:rPr>
          <w:rFonts w:ascii="Times New Roman" w:cs="Times New Roman" w:eastAsia="Times New Roman" w:hAnsi="Times New Roman"/>
          <w:sz w:val="20"/>
          <w:szCs w:val="20"/>
          <w:color w:val="auto"/>
        </w:rPr>
        <w:t>.</w:t>
      </w:r>
    </w:p>
    <w:p>
      <w:pPr>
        <w:spacing w:after="0" w:line="212" w:lineRule="exact"/>
        <w:rPr>
          <w:sz w:val="20"/>
          <w:szCs w:val="20"/>
          <w:color w:val="auto"/>
        </w:rPr>
      </w:pPr>
    </w:p>
    <w:p>
      <w:pPr>
        <w:ind w:right="40" w:firstLine="517"/>
        <w:spacing w:after="0" w:line="242" w:lineRule="auto"/>
        <w:tabs>
          <w:tab w:leader="none" w:pos="778"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Before any shares of Common Stock held by a Participant or any permitted transferee (each, a “</w:t>
      </w:r>
      <w:r>
        <w:rPr>
          <w:rFonts w:ascii="Times New Roman" w:cs="Times New Roman" w:eastAsia="Times New Roman" w:hAnsi="Times New Roman"/>
          <w:sz w:val="20"/>
          <w:szCs w:val="20"/>
          <w:b w:val="1"/>
          <w:bCs w:val="1"/>
          <w:i w:val="1"/>
          <w:iCs w:val="1"/>
          <w:color w:val="auto"/>
        </w:rPr>
        <w:t>Holder</w:t>
      </w:r>
      <w:r>
        <w:rPr>
          <w:rFonts w:ascii="Times New Roman" w:cs="Times New Roman" w:eastAsia="Times New Roman" w:hAnsi="Times New Roman"/>
          <w:sz w:val="20"/>
          <w:szCs w:val="20"/>
          <w:color w:val="auto"/>
        </w:rPr>
        <w:t>”) may be sold, pledged, assigned, hypothecated, transferred, or otherwise disposed of (each, a “</w:t>
      </w:r>
      <w:r>
        <w:rPr>
          <w:rFonts w:ascii="Times New Roman" w:cs="Times New Roman" w:eastAsia="Times New Roman" w:hAnsi="Times New Roman"/>
          <w:sz w:val="20"/>
          <w:szCs w:val="20"/>
          <w:b w:val="1"/>
          <w:bCs w:val="1"/>
          <w:i w:val="1"/>
          <w:iCs w:val="1"/>
          <w:color w:val="auto"/>
        </w:rPr>
        <w:t>Transfer</w:t>
      </w:r>
      <w:r>
        <w:rPr>
          <w:rFonts w:ascii="Times New Roman" w:cs="Times New Roman" w:eastAsia="Times New Roman" w:hAnsi="Times New Roman"/>
          <w:sz w:val="20"/>
          <w:szCs w:val="20"/>
          <w:color w:val="auto"/>
        </w:rPr>
        <w:t>”), the Company or its assignee(s) shall have a right of first refusal to purchase the shares of Common Stock proposed to be Transferred on the terms and conditions set forth in this Section 10.9 (the “</w:t>
      </w:r>
      <w:r>
        <w:rPr>
          <w:rFonts w:ascii="Times New Roman" w:cs="Times New Roman" w:eastAsia="Times New Roman" w:hAnsi="Times New Roman"/>
          <w:sz w:val="20"/>
          <w:szCs w:val="20"/>
          <w:b w:val="1"/>
          <w:bCs w:val="1"/>
          <w:i w:val="1"/>
          <w:iCs w:val="1"/>
          <w:color w:val="auto"/>
        </w:rPr>
        <w:t>Right of First Refusal</w:t>
      </w:r>
      <w:r>
        <w:rPr>
          <w:rFonts w:ascii="Times New Roman" w:cs="Times New Roman" w:eastAsia="Times New Roman" w:hAnsi="Times New Roman"/>
          <w:sz w:val="20"/>
          <w:szCs w:val="20"/>
          <w:color w:val="auto"/>
        </w:rPr>
        <w:t>”). In the event that the Company’s charter, bylaws and/or a stockholders’ agreement applicable to the shares of Common Stock contain a right of first refusal with respect to the shares of Common Stock, such right of first refusal shall apply to the shares of Common Stock to the extent such provisions are more restrictive than the Right of First Refusal set forth in this Section 10.9 and the Right of First Refusal set forth in this Section 10.9 shall not in any way restrict the operation of the Company’s charter, bylaws or the operation of any applicable stockholders’ agreement.</w:t>
      </w:r>
    </w:p>
    <w:p>
      <w:pPr>
        <w:spacing w:after="0" w:line="187" w:lineRule="exact"/>
        <w:rPr>
          <w:rFonts w:ascii="Times New Roman" w:cs="Times New Roman" w:eastAsia="Times New Roman" w:hAnsi="Times New Roman"/>
          <w:sz w:val="20"/>
          <w:szCs w:val="20"/>
          <w:color w:val="auto"/>
        </w:rPr>
      </w:pPr>
    </w:p>
    <w:p>
      <w:pPr>
        <w:ind w:right="20" w:firstLine="517"/>
        <w:spacing w:after="0" w:line="243" w:lineRule="auto"/>
        <w:tabs>
          <w:tab w:leader="none" w:pos="789"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any Holder desires to Transfer any shares of Common Stock, the Holder shall deliver to the Company a written notice (the “</w:t>
      </w:r>
      <w:r>
        <w:rPr>
          <w:rFonts w:ascii="Times New Roman" w:cs="Times New Roman" w:eastAsia="Times New Roman" w:hAnsi="Times New Roman"/>
          <w:sz w:val="20"/>
          <w:szCs w:val="20"/>
          <w:b w:val="1"/>
          <w:bCs w:val="1"/>
          <w:i w:val="1"/>
          <w:iCs w:val="1"/>
          <w:color w:val="auto"/>
        </w:rPr>
        <w:t>Notice</w:t>
      </w:r>
      <w:r>
        <w:rPr>
          <w:rFonts w:ascii="Times New Roman" w:cs="Times New Roman" w:eastAsia="Times New Roman" w:hAnsi="Times New Roman"/>
          <w:sz w:val="20"/>
          <w:szCs w:val="20"/>
          <w:color w:val="auto"/>
        </w:rPr>
        <w:t>”) stating: (A) the Holder’s bona fide intention to sell or otherwise Transfer such shares of Common Stock; (B) the name of each proposed purchaser or other transferee (“</w:t>
      </w:r>
      <w:r>
        <w:rPr>
          <w:rFonts w:ascii="Times New Roman" w:cs="Times New Roman" w:eastAsia="Times New Roman" w:hAnsi="Times New Roman"/>
          <w:sz w:val="20"/>
          <w:szCs w:val="20"/>
          <w:b w:val="1"/>
          <w:bCs w:val="1"/>
          <w:i w:val="1"/>
          <w:iCs w:val="1"/>
          <w:color w:val="auto"/>
        </w:rPr>
        <w:t>Proposed Transferee</w:t>
      </w:r>
      <w:r>
        <w:rPr>
          <w:rFonts w:ascii="Times New Roman" w:cs="Times New Roman" w:eastAsia="Times New Roman" w:hAnsi="Times New Roman"/>
          <w:sz w:val="20"/>
          <w:szCs w:val="20"/>
          <w:color w:val="auto"/>
        </w:rPr>
        <w:t>”); (C) the number of shares of Common Stock to be Transferred to each Proposed Transferee; and (D) the price for which the Holder proposes to Transfer the shares of Common Stock (the “</w:t>
      </w:r>
      <w:r>
        <w:rPr>
          <w:rFonts w:ascii="Times New Roman" w:cs="Times New Roman" w:eastAsia="Times New Roman" w:hAnsi="Times New Roman"/>
          <w:sz w:val="20"/>
          <w:szCs w:val="20"/>
          <w:b w:val="1"/>
          <w:bCs w:val="1"/>
          <w:i w:val="1"/>
          <w:iCs w:val="1"/>
          <w:color w:val="auto"/>
        </w:rPr>
        <w:t>Offered Price</w:t>
      </w:r>
      <w:r>
        <w:rPr>
          <w:rFonts w:ascii="Times New Roman" w:cs="Times New Roman" w:eastAsia="Times New Roman" w:hAnsi="Times New Roman"/>
          <w:sz w:val="20"/>
          <w:szCs w:val="20"/>
          <w:color w:val="auto"/>
        </w:rPr>
        <w:t>”), and the Holder shall offer such shares of Common Stock at the Offered Price to the Company or its assignee(s).</w:t>
      </w:r>
    </w:p>
    <w:p>
      <w:pPr>
        <w:spacing w:after="0" w:line="185" w:lineRule="exact"/>
        <w:rPr>
          <w:rFonts w:ascii="Times New Roman" w:cs="Times New Roman" w:eastAsia="Times New Roman" w:hAnsi="Times New Roman"/>
          <w:sz w:val="20"/>
          <w:szCs w:val="20"/>
          <w:color w:val="auto"/>
        </w:rPr>
      </w:pPr>
    </w:p>
    <w:p>
      <w:pPr>
        <w:ind w:right="140" w:firstLine="517"/>
        <w:spacing w:after="0" w:line="249" w:lineRule="auto"/>
        <w:tabs>
          <w:tab w:leader="none" w:pos="778"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twenty-five days after receipt of the Notice, the Company and/or its assignee(s) may elect in writing to purchase all, or any portion of the shares of Common Stock proposed to be Transferred to any one or more of the Proposed Transferees by delivery of a written exercise notice to the Holder (a “</w:t>
      </w:r>
      <w:r>
        <w:rPr>
          <w:rFonts w:ascii="Times New Roman" w:cs="Times New Roman" w:eastAsia="Times New Roman" w:hAnsi="Times New Roman"/>
          <w:sz w:val="20"/>
          <w:szCs w:val="20"/>
          <w:b w:val="1"/>
          <w:bCs w:val="1"/>
          <w:i w:val="1"/>
          <w:iCs w:val="1"/>
          <w:color w:val="auto"/>
        </w:rPr>
        <w:t>Company Notice</w:t>
      </w:r>
      <w:r>
        <w:rPr>
          <w:rFonts w:ascii="Times New Roman" w:cs="Times New Roman" w:eastAsia="Times New Roman" w:hAnsi="Times New Roman"/>
          <w:sz w:val="20"/>
          <w:szCs w:val="20"/>
          <w:color w:val="auto"/>
        </w:rPr>
        <w:t>”). The purchase price (“</w:t>
      </w:r>
      <w:r>
        <w:rPr>
          <w:rFonts w:ascii="Times New Roman" w:cs="Times New Roman" w:eastAsia="Times New Roman" w:hAnsi="Times New Roman"/>
          <w:sz w:val="20"/>
          <w:szCs w:val="20"/>
          <w:b w:val="1"/>
          <w:bCs w:val="1"/>
          <w:i w:val="1"/>
          <w:iCs w:val="1"/>
          <w:color w:val="auto"/>
        </w:rPr>
        <w:t>Purchase Price</w:t>
      </w:r>
      <w:r>
        <w:rPr>
          <w:rFonts w:ascii="Times New Roman" w:cs="Times New Roman" w:eastAsia="Times New Roman" w:hAnsi="Times New Roman"/>
          <w:sz w:val="20"/>
          <w:szCs w:val="20"/>
          <w:color w:val="auto"/>
        </w:rPr>
        <w:t>”) for the shares of Common Stock repurchased under this Section 10.9 shall be the Offered Price.</w:t>
      </w:r>
    </w:p>
    <w:p>
      <w:pPr>
        <w:spacing w:after="0" w:line="166" w:lineRule="exact"/>
        <w:rPr>
          <w:rFonts w:ascii="Times New Roman" w:cs="Times New Roman" w:eastAsia="Times New Roman" w:hAnsi="Times New Roman"/>
          <w:sz w:val="20"/>
          <w:szCs w:val="20"/>
          <w:color w:val="auto"/>
        </w:rPr>
      </w:pPr>
    </w:p>
    <w:p>
      <w:pPr>
        <w:ind w:firstLine="517"/>
        <w:spacing w:after="0" w:line="245" w:lineRule="auto"/>
        <w:tabs>
          <w:tab w:leader="none" w:pos="789"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of the Purchase Price shall be made, at the option of the Company or its assignee(s), in cash (by check or wire transfer), by cancellation of all or a portion of any outstanding indebtedness of the Holder to the Company (or, in the case of repurchase by an assignee, to the assignee), or by any combination thereof, within five days after delivery of the Company Notice or in the manner and at the times mutually agreed to by the Company and the Holder. Should the Offered Price specified in the Notice be payable in property other than cash, the Company or its assignee shall have the right to pay the purchase price in the form of cash equal in amount to the value of such property, as determined by the Administrator.</w:t>
      </w:r>
    </w:p>
    <w:p>
      <w:pPr>
        <w:spacing w:after="0" w:line="170" w:lineRule="exact"/>
        <w:rPr>
          <w:rFonts w:ascii="Times New Roman" w:cs="Times New Roman" w:eastAsia="Times New Roman" w:hAnsi="Times New Roman"/>
          <w:sz w:val="20"/>
          <w:szCs w:val="20"/>
          <w:color w:val="auto"/>
        </w:rPr>
      </w:pPr>
    </w:p>
    <w:p>
      <w:pPr>
        <w:ind w:right="20" w:firstLine="517"/>
        <w:spacing w:after="0" w:line="246" w:lineRule="auto"/>
        <w:tabs>
          <w:tab w:leader="none" w:pos="778"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all or a portion of the shares of Common Stock proposed in the Notice to be Transferred are not purchased by the Company and/or its assignee(s) as provided in this Section 10.9, then the Holder may sell or otherwise Transfer such shares of Common Stock to that Proposed Transferee at the Offered Price or at a higher price; provided that such sale or other Transfer is consummated within sixty days after the date of the Notice; and provided, further, that any such sale or other Transfer is effected in accordance with any Applicable Laws and the Proposed Transferee agrees in writing that the provisions of this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09" w:name="page110"/>
    <w:bookmarkEnd w:id="109"/>
    <w:p>
      <w:pPr>
        <w:ind w:right="120"/>
        <w:spacing w:after="0" w:line="246" w:lineRule="auto"/>
        <w:rPr>
          <w:sz w:val="20"/>
          <w:szCs w:val="20"/>
          <w:color w:val="auto"/>
        </w:rPr>
      </w:pPr>
      <w:r>
        <w:rPr>
          <w:rFonts w:ascii="Times New Roman" w:cs="Times New Roman" w:eastAsia="Times New Roman" w:hAnsi="Times New Roman"/>
          <w:sz w:val="20"/>
          <w:szCs w:val="20"/>
          <w:color w:val="auto"/>
        </w:rPr>
        <w:t>and the applicable Award Agreement and any other applicable agreements governing the shares of Common Stock to be Transferred shall continue to apply to the shares of Common Stock in the hands of such Proposed Transferee. If the shares of Common Stock described in the Notice are not Transferred to the Proposed Transferee within such sixty-day period, a new Notice shall be given to the Company, and the Company and/or its assignees shall again be offered the Right of First Refusal, as provided herein, before any shares of Common Stock held by the Holder may be sold or otherwise Transferred.</w:t>
      </w:r>
    </w:p>
    <w:p>
      <w:pPr>
        <w:spacing w:after="0" w:line="185" w:lineRule="exact"/>
        <w:rPr>
          <w:sz w:val="20"/>
          <w:szCs w:val="20"/>
          <w:color w:val="auto"/>
        </w:rPr>
      </w:pPr>
    </w:p>
    <w:p>
      <w:pPr>
        <w:ind w:right="220" w:firstLine="517"/>
        <w:spacing w:after="0" w:line="247" w:lineRule="auto"/>
        <w:tabs>
          <w:tab w:leader="none" w:pos="756"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Anything to the contrary contained in this Section 10.9 notwithstanding and to the extent permitted by the Administrator, the Transfer of any or all of the shares of Common Stock during a Participant’s lifetime or upon a Participant’s death by will or intestacy to the Participant’s Immediate Family or a trust for the benefit of the Participant’s Immediate Family shall be exempt from the Right of</w:t>
      </w:r>
    </w:p>
    <w:p>
      <w:pPr>
        <w:spacing w:after="0" w:line="393"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9"/>
          <w:szCs w:val="19"/>
          <w:color w:val="auto"/>
        </w:rPr>
        <w:t>First Refusal. As used herein, “</w:t>
      </w:r>
      <w:r>
        <w:rPr>
          <w:rFonts w:ascii="Times New Roman" w:cs="Times New Roman" w:eastAsia="Times New Roman" w:hAnsi="Times New Roman"/>
          <w:sz w:val="19"/>
          <w:szCs w:val="19"/>
          <w:b w:val="1"/>
          <w:bCs w:val="1"/>
          <w:i w:val="1"/>
          <w:iCs w:val="1"/>
          <w:color w:val="auto"/>
        </w:rPr>
        <w:t>Immediat</w:t>
      </w:r>
      <w:r>
        <w:rPr>
          <w:rFonts w:ascii="Times New Roman" w:cs="Times New Roman" w:eastAsia="Times New Roman" w:hAnsi="Times New Roman"/>
          <w:sz w:val="19"/>
          <w:szCs w:val="19"/>
          <w:color w:val="auto"/>
        </w:rPr>
        <w:t xml:space="preserve">e </w:t>
      </w:r>
      <w:r>
        <w:rPr>
          <w:rFonts w:ascii="Times New Roman" w:cs="Times New Roman" w:eastAsia="Times New Roman" w:hAnsi="Times New Roman"/>
          <w:sz w:val="19"/>
          <w:szCs w:val="19"/>
          <w:b w:val="1"/>
          <w:bCs w:val="1"/>
          <w:i w:val="1"/>
          <w:iCs w:val="1"/>
          <w:color w:val="auto"/>
        </w:rPr>
        <w:t>Family</w:t>
      </w:r>
      <w:r>
        <w:rPr>
          <w:rFonts w:ascii="Times New Roman" w:cs="Times New Roman" w:eastAsia="Times New Roman" w:hAnsi="Times New Roman"/>
          <w:sz w:val="19"/>
          <w:szCs w:val="19"/>
          <w:color w:val="auto"/>
        </w:rPr>
        <w:t>” shall mean spouse, lineal descendant or antecedent, father, mother, brother or sister or stepchild (whether or not adopted). In such case, the transferee or other recipient shall receive and hold the shares of Common Stock so Transferred subject to the provisions of this Plan (including, without limitation, the Right of First Refusal), the applicable Award Agreement and any other applicable agreements governing the shares of Common Stock to be Transferred, and there shall be no further Transfer of such shares of Common Stock except in accordance with the terms of this Section 10.9 (or otherwise as expressly provided under the Plan).</w:t>
      </w:r>
    </w:p>
    <w:p>
      <w:pPr>
        <w:spacing w:after="0" w:line="152" w:lineRule="exact"/>
        <w:rPr>
          <w:sz w:val="20"/>
          <w:szCs w:val="20"/>
          <w:color w:val="auto"/>
        </w:rPr>
      </w:pPr>
    </w:p>
    <w:p>
      <w:pPr>
        <w:ind w:right="200" w:firstLine="517"/>
        <w:spacing w:after="0" w:line="269" w:lineRule="auto"/>
        <w:tabs>
          <w:tab w:leader="none" w:pos="789"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 of First Refusal shall terminate as to all shares of Common Stock if the Company becomes a Publicly Listed Company upon such occurrence.</w:t>
      </w:r>
    </w:p>
    <w:p>
      <w:pPr>
        <w:spacing w:after="0" w:line="15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9"/>
          <w:szCs w:val="19"/>
          <w:color w:val="auto"/>
        </w:rPr>
        <w:t xml:space="preserve">10.10 </w:t>
      </w:r>
      <w:r>
        <w:rPr>
          <w:rFonts w:ascii="Times New Roman" w:cs="Times New Roman" w:eastAsia="Times New Roman" w:hAnsi="Times New Roman"/>
          <w:sz w:val="19"/>
          <w:szCs w:val="19"/>
          <w:u w:val="single" w:color="auto"/>
          <w:color w:val="auto"/>
        </w:rPr>
        <w:t>Data Privacy</w:t>
      </w:r>
      <w:r>
        <w:rPr>
          <w:rFonts w:ascii="Times New Roman" w:cs="Times New Roman" w:eastAsia="Times New Roman" w:hAnsi="Times New Roman"/>
          <w:sz w:val="19"/>
          <w:szCs w:val="19"/>
          <w:color w:val="auto"/>
        </w:rPr>
        <w:t>. As a condition of receipt of any Award, each Participant explicitly and unambiguously consents to the collection, use and transfer, in electronic or other form, of personal data as described in this paragraph by and among, as applicable, the Company and its subsidiaries and affiliates for the exclusive purpose of implementing, administering and managing the Participant’s participation in the Plan. The Company and its subsidiaries and affiliates may hold certain personal information about a Participant, including but not limited to, the Participant’s name, home address and telephone number, date of birth, social security or insurance number or other identification number, salary, nationality, job title(s), any shares of stock held in the Company or any of its subsidiaries and affiliates, details of all Awards, in each case, for the purpose of implementing, managing and administering the Plan and Awards (the “</w:t>
      </w:r>
      <w:r>
        <w:rPr>
          <w:rFonts w:ascii="Times New Roman" w:cs="Times New Roman" w:eastAsia="Times New Roman" w:hAnsi="Times New Roman"/>
          <w:sz w:val="19"/>
          <w:szCs w:val="19"/>
          <w:b w:val="1"/>
          <w:bCs w:val="1"/>
          <w:i w:val="1"/>
          <w:iCs w:val="1"/>
          <w:color w:val="auto"/>
        </w:rPr>
        <w:t>Data</w:t>
      </w:r>
      <w:r>
        <w:rPr>
          <w:rFonts w:ascii="Times New Roman" w:cs="Times New Roman" w:eastAsia="Times New Roman" w:hAnsi="Times New Roman"/>
          <w:sz w:val="19"/>
          <w:szCs w:val="19"/>
          <w:color w:val="auto"/>
        </w:rPr>
        <w:t>”). The Company and its subsidiaries and affiliates may transfer the Data amongst themselves as necessary for the purpose of implementation, administration and management of a Participant’s participation in the Plan, and the Company and its subsidiaries and affiliates may each further transfer the Data to any third parties assisting the Company in the implementation, administration and management of the Plan. These recipients may be located in the Participant’s country, or elsewhere, and the Participant’s country may have different data privacy laws and protections than the recipients’ country. Through acceptance of an Award, each Participant authorizes such recipients to receive, possess, use, retain and transfer the Data, in electronic or other form, for the purposes of implementing, administering and managing the Participant’s participation in the Plan, including, without limitation, any requisite transfer of such Data as may be required to a broker or other third party with whom the Company or the Participant may elect to deposit any shares of Common Stock. The Data related to a Participant will be held only as long as is necessary to implement, administer, and manage the Participant’s participation in the Plan. A Participant may, at any time, view the Data held by the Company with respect to such Participant, request additional information about the storage and processing of the Data with respect to such Participant, recommend any necessary corrections to the Data with respect to the Participant or refuse or withdraw the consents herein in writing, in any case without cost, by contacting his or her local human resources representative. The Company may cancel Participant’s ability to participate in the Plan and, in the Administrator’s discretion, the Participant may forfeit any outstanding Awards if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174625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10" w:name="page111"/>
    <w:bookmarkEnd w:id="110"/>
    <w:p>
      <w:pPr>
        <w:ind w:right="180"/>
        <w:spacing w:after="0" w:line="269" w:lineRule="auto"/>
        <w:rPr>
          <w:sz w:val="20"/>
          <w:szCs w:val="20"/>
          <w:color w:val="auto"/>
        </w:rPr>
      </w:pPr>
      <w:r>
        <w:rPr>
          <w:rFonts w:ascii="Times New Roman" w:cs="Times New Roman" w:eastAsia="Times New Roman" w:hAnsi="Times New Roman"/>
          <w:sz w:val="20"/>
          <w:szCs w:val="20"/>
          <w:color w:val="auto"/>
        </w:rPr>
        <w:t>Participant refuses or withdraws his or her consents as described herein. For more information on the consequences of refusal to consent or withdrawal of consent, Participants may contact their local human resources representative.</w:t>
      </w:r>
    </w:p>
    <w:p>
      <w:pPr>
        <w:spacing w:after="0" w:line="15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20"/>
          <w:szCs w:val="20"/>
          <w:color w:val="auto"/>
        </w:rPr>
        <w:t xml:space="preserve">10.11 </w:t>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In the event any portion of the Plan or any action taken pursuant thereto shall be held illegal or invalid for any reason, the illegality or invalidity shall not affect the remaining parts of the Plan, and the Plan shall be construed and enforced as if the illegal or invalid provisions had not been included, and the illegal or invalid action shall be null and void.</w:t>
      </w:r>
    </w:p>
    <w:p>
      <w:pPr>
        <w:spacing w:after="0" w:line="1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 xml:space="preserve">10.12 </w:t>
      </w:r>
      <w:r>
        <w:rPr>
          <w:rFonts w:ascii="Times New Roman" w:cs="Times New Roman" w:eastAsia="Times New Roman" w:hAnsi="Times New Roman"/>
          <w:sz w:val="20"/>
          <w:szCs w:val="20"/>
          <w:u w:val="single" w:color="auto"/>
          <w:color w:val="auto"/>
        </w:rPr>
        <w:t>Governing Documents</w:t>
      </w:r>
      <w:r>
        <w:rPr>
          <w:rFonts w:ascii="Times New Roman" w:cs="Times New Roman" w:eastAsia="Times New Roman" w:hAnsi="Times New Roman"/>
          <w:sz w:val="20"/>
          <w:szCs w:val="20"/>
          <w:color w:val="auto"/>
        </w:rPr>
        <w:t>. In the event of any contradiction between the Plan and any Award Agreement or any other written</w:t>
      </w:r>
    </w:p>
    <w:p>
      <w:pPr>
        <w:spacing w:after="0" w:line="8" w:lineRule="exact"/>
        <w:rPr>
          <w:sz w:val="20"/>
          <w:szCs w:val="20"/>
          <w:color w:val="auto"/>
        </w:rPr>
      </w:pPr>
    </w:p>
    <w:p>
      <w:pPr>
        <w:jc w:val="both"/>
        <w:ind w:right="40"/>
        <w:spacing w:after="0" w:line="242" w:lineRule="auto"/>
        <w:rPr>
          <w:sz w:val="20"/>
          <w:szCs w:val="20"/>
          <w:color w:val="auto"/>
        </w:rPr>
      </w:pPr>
      <w:r>
        <w:rPr>
          <w:rFonts w:ascii="Times New Roman" w:cs="Times New Roman" w:eastAsia="Times New Roman" w:hAnsi="Times New Roman"/>
          <w:sz w:val="20"/>
          <w:szCs w:val="20"/>
          <w:color w:val="auto"/>
        </w:rPr>
        <w:t>agreement between a Participant and the Company or any subsidiary of the Company that has been approved by the Administrator, the terms of the Plan shall govern, unless it is expressly specified in such Award Agreement or other written document that a specific provision of the Plan shall not apply.</w:t>
      </w:r>
    </w:p>
    <w:p>
      <w:pPr>
        <w:spacing w:after="0" w:line="200" w:lineRule="exact"/>
        <w:rPr>
          <w:sz w:val="20"/>
          <w:szCs w:val="20"/>
          <w:color w:val="auto"/>
        </w:rPr>
      </w:pPr>
    </w:p>
    <w:p>
      <w:pPr>
        <w:ind w:firstLine="509"/>
        <w:spacing w:after="0" w:line="239" w:lineRule="auto"/>
        <w:rPr>
          <w:sz w:val="20"/>
          <w:szCs w:val="20"/>
          <w:color w:val="auto"/>
        </w:rPr>
      </w:pPr>
      <w:r>
        <w:rPr>
          <w:rFonts w:ascii="Times New Roman" w:cs="Times New Roman" w:eastAsia="Times New Roman" w:hAnsi="Times New Roman"/>
          <w:sz w:val="20"/>
          <w:szCs w:val="20"/>
          <w:color w:val="auto"/>
        </w:rPr>
        <w:t xml:space="preserve">10.13 </w:t>
      </w:r>
      <w:r>
        <w:rPr>
          <w:rFonts w:ascii="Times New Roman" w:cs="Times New Roman" w:eastAsia="Times New Roman" w:hAnsi="Times New Roman"/>
          <w:sz w:val="20"/>
          <w:szCs w:val="20"/>
          <w:u w:val="single" w:color="auto"/>
          <w:color w:val="auto"/>
        </w:rPr>
        <w:t>Submission to Jurisdiction; Waiver of Jury Trial</w:t>
      </w:r>
      <w:r>
        <w:rPr>
          <w:rFonts w:ascii="Times New Roman" w:cs="Times New Roman" w:eastAsia="Times New Roman" w:hAnsi="Times New Roman"/>
          <w:sz w:val="20"/>
          <w:szCs w:val="20"/>
          <w:color w:val="auto"/>
        </w:rPr>
        <w:t>. By accepting an Award, each Participant irrevocably and unconditionally consents to submit to the exclusive jurisdiction of the courts of the State of Delaware and of the United States of America, in each case located in the State of Delaware, for any action arising out of or relating to the Plan (and agrees not to commence any litigation relating thereto except in such courts), and further agrees that service of any process, summons, notice or document by U.S. registered mail to the address contained in the records of the Company shall be effective service of process for any litigation brought against it in any such court. By accepting an Award, each Participant irrevocably and unconditionally waives any objection to the laying of venue of any litigation arising out of Plan or Award hereunder in the courts of the State of Delaware or the United States of America, in each case located in the State of Delaware, and further irrevocably and unconditionally waives and agrees not to plead or claim in any such court that any such litigation brought in any such court has been brought in an inconvenient forum. By accepting an Award, each Participant irrevocably and unconditionally waives, to the fullest extent permitted by applicable law, any and all rights to trial by jury in connection with any litigation arising out of or relating to the Plan or any Award hereunder.</w:t>
      </w:r>
    </w:p>
    <w:p>
      <w:pPr>
        <w:spacing w:after="0" w:line="194" w:lineRule="exact"/>
        <w:rPr>
          <w:sz w:val="20"/>
          <w:szCs w:val="20"/>
          <w:color w:val="auto"/>
        </w:rPr>
      </w:pPr>
    </w:p>
    <w:p>
      <w:pPr>
        <w:jc w:val="both"/>
        <w:ind w:right="80" w:firstLine="509"/>
        <w:spacing w:after="0" w:line="254" w:lineRule="auto"/>
        <w:rPr>
          <w:sz w:val="20"/>
          <w:szCs w:val="20"/>
          <w:color w:val="auto"/>
        </w:rPr>
      </w:pPr>
      <w:r>
        <w:rPr>
          <w:rFonts w:ascii="Times New Roman" w:cs="Times New Roman" w:eastAsia="Times New Roman" w:hAnsi="Times New Roman"/>
          <w:sz w:val="20"/>
          <w:szCs w:val="20"/>
          <w:color w:val="auto"/>
        </w:rPr>
        <w:t xml:space="preserve">10.14 </w:t>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The provisions of the Plan and all Awards made hereunder shall be governed by and interpreted in accordance with the laws of the State of Delaware, disregarding choice-of-law principles of the law of any state that would require the application of the laws of a jurisdiction other than such state.</w:t>
      </w:r>
    </w:p>
    <w:p>
      <w:pPr>
        <w:spacing w:after="0" w:line="174"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9"/>
          <w:szCs w:val="19"/>
          <w:color w:val="auto"/>
        </w:rPr>
        <w:t xml:space="preserve">10.15 </w:t>
      </w:r>
      <w:r>
        <w:rPr>
          <w:rFonts w:ascii="Times New Roman" w:cs="Times New Roman" w:eastAsia="Times New Roman" w:hAnsi="Times New Roman"/>
          <w:sz w:val="19"/>
          <w:szCs w:val="19"/>
          <w:u w:val="single" w:color="auto"/>
          <w:color w:val="auto"/>
        </w:rPr>
        <w:t>Restrictions on Shares; Claw-back Provisions</w:t>
      </w:r>
      <w:r>
        <w:rPr>
          <w:rFonts w:ascii="Times New Roman" w:cs="Times New Roman" w:eastAsia="Times New Roman" w:hAnsi="Times New Roman"/>
          <w:sz w:val="19"/>
          <w:szCs w:val="19"/>
          <w:color w:val="auto"/>
        </w:rPr>
        <w:t>. Awards and shares of Common Stock acquired in respect of Awards shall be subject to such terms and conditions as the Administrator shall determine, including, without limitation, restrictions on the transferability of Awards or shares of Common Stock, the right of the Company to repurchase shares of Common Stock, the right of the Company to require that shares of Common Stock be transferred in the event of certain transactions, tag-along rights, bring-along rights, redemption and co-sale rights and voting requirements. Such terms and conditions may be additional to those contained in the Plan and may, as determined by the Administrator, be contained in the applicable Award Agreement or in an exercise notice, stockholders’ agreement or in such other agreement as the Administrator shall determine, in each case in a form determined by the Administrator. The issuance of such shares of Common Stock shall be conditioned on the Participant’s consent to such terms and conditions and the Participant’s entering into such agreement or agreements. All Awards (including, without limitation, any proceeds, gains or other economic benefit actually or constructively received by Participant upon any receipt or exercise of any Award or upon the receipt or resale of any shares of Common Stock underlying the Award) shall be subject to the provisions of any claw-back policy implemented by the Company, including, without limitation, any claw-back policy adopted to comply with the requirements of the Dodd-Frank Wall Street Reform and Consumer Protection Act and any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35" w:right="37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20"/>
          <w:szCs w:val="20"/>
          <w:color w:val="auto"/>
        </w:rPr>
        <w:t>or regulations promulgated thereunder, to the extent set forth in such claw-back policy and/or in the applicable Award Agreement.</w:t>
      </w:r>
    </w:p>
    <w:p>
      <w:pPr>
        <w:spacing w:after="0" w:line="216" w:lineRule="exact"/>
        <w:rPr>
          <w:sz w:val="20"/>
          <w:szCs w:val="20"/>
          <w:color w:val="auto"/>
        </w:rPr>
      </w:pPr>
    </w:p>
    <w:p>
      <w:pPr>
        <w:ind w:firstLine="509"/>
        <w:spacing w:after="0" w:line="269" w:lineRule="auto"/>
        <w:rPr>
          <w:sz w:val="20"/>
          <w:szCs w:val="20"/>
          <w:color w:val="auto"/>
        </w:rPr>
      </w:pPr>
      <w:r>
        <w:rPr>
          <w:rFonts w:ascii="Times New Roman" w:cs="Times New Roman" w:eastAsia="Times New Roman" w:hAnsi="Times New Roman"/>
          <w:sz w:val="20"/>
          <w:szCs w:val="20"/>
          <w:color w:val="auto"/>
        </w:rPr>
        <w:t xml:space="preserve">10.16 </w:t>
      </w:r>
      <w:r>
        <w:rPr>
          <w:rFonts w:ascii="Times New Roman" w:cs="Times New Roman" w:eastAsia="Times New Roman" w:hAnsi="Times New Roman"/>
          <w:sz w:val="20"/>
          <w:szCs w:val="20"/>
          <w:u w:val="single" w:color="auto"/>
          <w:color w:val="auto"/>
        </w:rPr>
        <w:t>Titles and Headings</w:t>
      </w:r>
      <w:r>
        <w:rPr>
          <w:rFonts w:ascii="Times New Roman" w:cs="Times New Roman" w:eastAsia="Times New Roman" w:hAnsi="Times New Roman"/>
          <w:sz w:val="20"/>
          <w:szCs w:val="20"/>
          <w:color w:val="auto"/>
        </w:rPr>
        <w:t>. The titles and headings of the Sections in the Plan are for convenience of reference only and, in the event of any conflict, the text of the Plan, rather than such titles or headings, shall control.</w:t>
      </w:r>
    </w:p>
    <w:p>
      <w:pPr>
        <w:spacing w:after="0" w:line="159" w:lineRule="exact"/>
        <w:rPr>
          <w:sz w:val="20"/>
          <w:szCs w:val="20"/>
          <w:color w:val="auto"/>
        </w:rPr>
      </w:pPr>
    </w:p>
    <w:p>
      <w:pPr>
        <w:ind w:right="160" w:firstLine="509"/>
        <w:spacing w:after="0" w:line="242" w:lineRule="auto"/>
        <w:rPr>
          <w:sz w:val="20"/>
          <w:szCs w:val="20"/>
          <w:color w:val="auto"/>
        </w:rPr>
      </w:pPr>
      <w:r>
        <w:rPr>
          <w:rFonts w:ascii="Times New Roman" w:cs="Times New Roman" w:eastAsia="Times New Roman" w:hAnsi="Times New Roman"/>
          <w:sz w:val="20"/>
          <w:szCs w:val="20"/>
          <w:color w:val="auto"/>
        </w:rPr>
        <w:t xml:space="preserve">10.17 </w:t>
      </w:r>
      <w:r>
        <w:rPr>
          <w:rFonts w:ascii="Times New Roman" w:cs="Times New Roman" w:eastAsia="Times New Roman" w:hAnsi="Times New Roman"/>
          <w:sz w:val="20"/>
          <w:szCs w:val="20"/>
          <w:u w:val="single" w:color="auto"/>
          <w:color w:val="auto"/>
        </w:rPr>
        <w:t>Conformity to Securities Laws</w:t>
      </w:r>
      <w:r>
        <w:rPr>
          <w:rFonts w:ascii="Times New Roman" w:cs="Times New Roman" w:eastAsia="Times New Roman" w:hAnsi="Times New Roman"/>
          <w:sz w:val="20"/>
          <w:szCs w:val="20"/>
          <w:color w:val="auto"/>
        </w:rPr>
        <w:t>. Participant acknowledges that the Plan is intended to conform to the extent necessary with all provisions of the Securities Act and the Exchange Act and any and all regulations and rules promulgated by the Securities and Exchange Commission thereunder, and state securities laws and regulations. Notwithstanding anything herein to the contrary, the Plan and all Awards granted hereunder shall be administered only in such a manner as to conform to such laws, rules and regulations. To the extent permitted by Applicable Laws, the Plan and all Award Agreements shall be deemed amended to the extent necessary to conform to such laws, rules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455295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5" w:right="359" w:bottom="1440" w:gutter="0" w:footer="0" w:header="0"/>
        </w:sectPr>
      </w:pPr>
    </w:p>
    <w:bookmarkStart w:id="112" w:name="page113"/>
    <w:bookmarkEnd w:id="112"/>
    <w:p>
      <w:pPr>
        <w:ind w:left="5020"/>
        <w:spacing w:after="0"/>
        <w:rPr>
          <w:sz w:val="20"/>
          <w:szCs w:val="20"/>
          <w:color w:val="auto"/>
        </w:rPr>
      </w:pPr>
      <w:r>
        <w:rPr>
          <w:rFonts w:ascii="Times New Roman" w:cs="Times New Roman" w:eastAsia="Times New Roman" w:hAnsi="Times New Roman"/>
          <w:sz w:val="20"/>
          <w:szCs w:val="20"/>
          <w:b w:val="1"/>
          <w:bCs w:val="1"/>
          <w:color w:val="auto"/>
        </w:rPr>
        <w:t>ARTICLE XI.</w:t>
      </w:r>
    </w:p>
    <w:p>
      <w:pPr>
        <w:spacing w:after="0" w:line="1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b w:val="1"/>
          <w:bCs w:val="1"/>
          <w:color w:val="auto"/>
        </w:rPr>
        <w:t>DEFINITIONS.</w:t>
      </w:r>
    </w:p>
    <w:p>
      <w:pPr>
        <w:spacing w:after="0" w:line="190" w:lineRule="exact"/>
        <w:rPr>
          <w:sz w:val="20"/>
          <w:szCs w:val="20"/>
          <w:color w:val="auto"/>
        </w:rPr>
      </w:pPr>
    </w:p>
    <w:p>
      <w:pPr>
        <w:ind w:right="380" w:firstLine="509"/>
        <w:spacing w:after="0" w:line="273" w:lineRule="auto"/>
        <w:rPr>
          <w:sz w:val="20"/>
          <w:szCs w:val="20"/>
          <w:color w:val="auto"/>
        </w:rPr>
      </w:pPr>
      <w:r>
        <w:rPr>
          <w:rFonts w:ascii="Times New Roman" w:cs="Times New Roman" w:eastAsia="Times New Roman" w:hAnsi="Times New Roman"/>
          <w:sz w:val="20"/>
          <w:szCs w:val="20"/>
          <w:color w:val="auto"/>
        </w:rPr>
        <w:t>11.1 “</w:t>
      </w:r>
      <w:r>
        <w:rPr>
          <w:rFonts w:ascii="Times New Roman" w:cs="Times New Roman" w:eastAsia="Times New Roman" w:hAnsi="Times New Roman"/>
          <w:sz w:val="20"/>
          <w:szCs w:val="20"/>
          <w:b w:val="1"/>
          <w:bCs w:val="1"/>
          <w:i w:val="1"/>
          <w:iCs w:val="1"/>
          <w:color w:val="auto"/>
        </w:rPr>
        <w:t>Administrator</w:t>
      </w:r>
      <w:r>
        <w:rPr>
          <w:rFonts w:ascii="Times New Roman" w:cs="Times New Roman" w:eastAsia="Times New Roman" w:hAnsi="Times New Roman"/>
          <w:sz w:val="20"/>
          <w:szCs w:val="20"/>
          <w:color w:val="auto"/>
        </w:rPr>
        <w:t>” means the Board or a Committee to the extent that the Board’s powers or authority under the Plan have been delegated to such Committee.</w:t>
      </w:r>
    </w:p>
    <w:p>
      <w:pPr>
        <w:spacing w:after="0" w:line="152"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20"/>
          <w:szCs w:val="20"/>
          <w:color w:val="auto"/>
        </w:rPr>
        <w:t>11.2 “</w:t>
      </w:r>
      <w:r>
        <w:rPr>
          <w:rFonts w:ascii="Times New Roman" w:cs="Times New Roman" w:eastAsia="Times New Roman" w:hAnsi="Times New Roman"/>
          <w:sz w:val="20"/>
          <w:szCs w:val="20"/>
          <w:b w:val="1"/>
          <w:bCs w:val="1"/>
          <w:i w:val="1"/>
          <w:iCs w:val="1"/>
          <w:color w:val="auto"/>
        </w:rPr>
        <w:t>Applicable Laws</w:t>
      </w:r>
      <w:r>
        <w:rPr>
          <w:rFonts w:ascii="Times New Roman" w:cs="Times New Roman" w:eastAsia="Times New Roman" w:hAnsi="Times New Roman"/>
          <w:sz w:val="20"/>
          <w:szCs w:val="20"/>
          <w:color w:val="auto"/>
        </w:rPr>
        <w:t>” means the requirements relating to the administration of equity incentive plans under U.S. federal and state securities, tax and other applicable laws, rules and regulations, the applicable rules of any stock exchange or quotation system on which the Common Stock is listed or quoted and the applicable laws and rules of any foreign country or other jurisdiction where Awards are granted or issued under the Plan.</w:t>
      </w:r>
    </w:p>
    <w:p>
      <w:pPr>
        <w:spacing w:after="0" w:line="162" w:lineRule="exact"/>
        <w:rPr>
          <w:sz w:val="20"/>
          <w:szCs w:val="20"/>
          <w:color w:val="auto"/>
        </w:rPr>
      </w:pPr>
    </w:p>
    <w:p>
      <w:pPr>
        <w:ind w:right="140" w:firstLine="509"/>
        <w:spacing w:after="0" w:line="273" w:lineRule="auto"/>
        <w:rPr>
          <w:sz w:val="20"/>
          <w:szCs w:val="20"/>
          <w:color w:val="auto"/>
        </w:rPr>
      </w:pPr>
      <w:r>
        <w:rPr>
          <w:rFonts w:ascii="Times New Roman" w:cs="Times New Roman" w:eastAsia="Times New Roman" w:hAnsi="Times New Roman"/>
          <w:sz w:val="20"/>
          <w:szCs w:val="20"/>
          <w:color w:val="auto"/>
        </w:rPr>
        <w:t>11.3 “</w:t>
      </w:r>
      <w:r>
        <w:rPr>
          <w:rFonts w:ascii="Times New Roman" w:cs="Times New Roman" w:eastAsia="Times New Roman" w:hAnsi="Times New Roman"/>
          <w:sz w:val="20"/>
          <w:szCs w:val="20"/>
          <w:b w:val="1"/>
          <w:bCs w:val="1"/>
          <w:i w:val="1"/>
          <w:iCs w:val="1"/>
          <w:color w:val="auto"/>
        </w:rPr>
        <w:t>Award</w:t>
      </w:r>
      <w:r>
        <w:rPr>
          <w:rFonts w:ascii="Times New Roman" w:cs="Times New Roman" w:eastAsia="Times New Roman" w:hAnsi="Times New Roman"/>
          <w:sz w:val="20"/>
          <w:szCs w:val="20"/>
          <w:color w:val="auto"/>
        </w:rPr>
        <w:t>” means, individually or collectively, a grant under the Plan of Options, Restricted Stock, Restricted Stock Units or Other Stock-Based Awards.</w:t>
      </w:r>
    </w:p>
    <w:p>
      <w:pPr>
        <w:spacing w:after="0" w:line="152"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20"/>
          <w:szCs w:val="20"/>
          <w:color w:val="auto"/>
        </w:rPr>
        <w:t>11.4 “</w:t>
      </w:r>
      <w:r>
        <w:rPr>
          <w:rFonts w:ascii="Times New Roman" w:cs="Times New Roman" w:eastAsia="Times New Roman" w:hAnsi="Times New Roman"/>
          <w:sz w:val="20"/>
          <w:szCs w:val="20"/>
          <w:b w:val="1"/>
          <w:bCs w:val="1"/>
          <w:i w:val="1"/>
          <w:iCs w:val="1"/>
          <w:color w:val="auto"/>
        </w:rPr>
        <w:t>Award Agreement</w:t>
      </w:r>
      <w:r>
        <w:rPr>
          <w:rFonts w:ascii="Times New Roman" w:cs="Times New Roman" w:eastAsia="Times New Roman" w:hAnsi="Times New Roman"/>
          <w:sz w:val="20"/>
          <w:szCs w:val="20"/>
          <w:color w:val="auto"/>
        </w:rPr>
        <w:t>” means a written agreement evidencing an Award, which agreements may be in electronic medium and shall contain such terms and conditions with respect to an Award as the Administrator shall determine, consistent with and subject to the terms and conditions of the Plan.</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11.5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means the Board of Directors of the Company.</w:t>
      </w:r>
    </w:p>
    <w:p>
      <w:pPr>
        <w:spacing w:after="0" w:line="202" w:lineRule="exact"/>
        <w:rPr>
          <w:sz w:val="20"/>
          <w:szCs w:val="20"/>
          <w:color w:val="auto"/>
        </w:rPr>
      </w:pPr>
    </w:p>
    <w:p>
      <w:pPr>
        <w:ind w:firstLine="509"/>
        <w:spacing w:after="0" w:line="239" w:lineRule="auto"/>
        <w:rPr>
          <w:sz w:val="20"/>
          <w:szCs w:val="20"/>
          <w:color w:val="auto"/>
        </w:rPr>
      </w:pPr>
      <w:r>
        <w:rPr>
          <w:rFonts w:ascii="Times New Roman" w:cs="Times New Roman" w:eastAsia="Times New Roman" w:hAnsi="Times New Roman"/>
          <w:sz w:val="20"/>
          <w:szCs w:val="20"/>
          <w:color w:val="auto"/>
        </w:rPr>
        <w:t>11.6 “</w:t>
      </w:r>
      <w:r>
        <w:rPr>
          <w:rFonts w:ascii="Times New Roman" w:cs="Times New Roman" w:eastAsia="Times New Roman" w:hAnsi="Times New Roman"/>
          <w:sz w:val="20"/>
          <w:szCs w:val="20"/>
          <w:b w:val="1"/>
          <w:bCs w:val="1"/>
          <w:i w:val="1"/>
          <w:iCs w:val="1"/>
          <w:color w:val="auto"/>
        </w:rPr>
        <w:t>Change in Control</w:t>
      </w:r>
      <w:r>
        <w:rPr>
          <w:rFonts w:ascii="Times New Roman" w:cs="Times New Roman" w:eastAsia="Times New Roman" w:hAnsi="Times New Roman"/>
          <w:sz w:val="20"/>
          <w:szCs w:val="20"/>
          <w:color w:val="auto"/>
        </w:rPr>
        <w:t>” means (i) a merger or consolidation of the Company with or into any other corporation or other entity or person, (ii) a sale, lease, exchange or other transfer in one transaction or a series of related transactions of all or substantially all of the Company’s assets, or (iii) any other transaction, including, without limitation, the sale by the Company of new shares of its capital stock or a transfer of existing shares of capital stock of the Company, the result of which is that a third party that is not an affiliate of the Company or its stockholders (or a group of third parties not affiliated with the Company or its stockholders) immediately prior to such transaction acquires or holds capital stock of the Company representing a majority of the Company’s outstanding voting power immediately following such transaction; provided that the following events shall not constitute a “Change in Control”: (A) a transaction (other than a sale of all or substantially all of the Company’s assets) in which the holders of the voting securities of the Company immediately prior to the merger or consolidation hold, directly or indirectly, a majority of the voting securities in the successor corporation or its parent immediately after the merger or consolidation; (B) a sale, lease, exchange or other transaction in one transaction or a series of related transactions of all or substantially all of the Company’s assets to an affiliate of the Company; (C) an initial public offering of any of the Company’s securities or any other transaction or series of related transactions principally for bona fide equity financing purposes; (D) a reincorporation of the Company solely to change its jurisdiction; or (E) a transaction undertaken for the primary purpose of creating a holding company that will be owned in substantially the same proportion by the persons who held the Company’s securities immediately before such transaction. Notwithstanding the foregoing, if a Change in Control would give rise to a payment or settlement event with respect to any Award that constitutes “nonqualified deferred compensation,” the transaction or event constituting the Change in Control must also constitute a “change in control event” (as defined in Treasury Regulation Section 1.409A-3(i)(5)) in order to give rise to the payment or settlement event for such Award, to the extent required by Section 409A.</w:t>
      </w:r>
    </w:p>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11.7 “</w:t>
      </w:r>
      <w:r>
        <w:rPr>
          <w:rFonts w:ascii="Times New Roman" w:cs="Times New Roman" w:eastAsia="Times New Roman" w:hAnsi="Times New Roman"/>
          <w:sz w:val="20"/>
          <w:szCs w:val="20"/>
          <w:b w:val="1"/>
          <w:bCs w:val="1"/>
          <w:i w:val="1"/>
          <w:iCs w:val="1"/>
          <w:color w:val="auto"/>
        </w:rPr>
        <w:t>Code</w:t>
      </w:r>
      <w:r>
        <w:rPr>
          <w:rFonts w:ascii="Times New Roman" w:cs="Times New Roman" w:eastAsia="Times New Roman" w:hAnsi="Times New Roman"/>
          <w:sz w:val="20"/>
          <w:szCs w:val="20"/>
          <w:color w:val="auto"/>
        </w:rPr>
        <w:t>” means the Internal Revenue Code of 1986, as amended, and the regulations issued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201295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113" w:name="page114"/>
    <w:bookmarkEnd w:id="113"/>
    <w:p>
      <w:pPr>
        <w:ind w:right="100" w:firstLine="509"/>
        <w:spacing w:after="0" w:line="273" w:lineRule="auto"/>
        <w:rPr>
          <w:sz w:val="20"/>
          <w:szCs w:val="20"/>
          <w:color w:val="auto"/>
        </w:rPr>
      </w:pPr>
      <w:r>
        <w:rPr>
          <w:rFonts w:ascii="Times New Roman" w:cs="Times New Roman" w:eastAsia="Times New Roman" w:hAnsi="Times New Roman"/>
          <w:sz w:val="20"/>
          <w:szCs w:val="20"/>
          <w:color w:val="auto"/>
        </w:rPr>
        <w:t>11.8 “</w:t>
      </w:r>
      <w:r>
        <w:rPr>
          <w:rFonts w:ascii="Times New Roman" w:cs="Times New Roman" w:eastAsia="Times New Roman" w:hAnsi="Times New Roman"/>
          <w:sz w:val="20"/>
          <w:szCs w:val="20"/>
          <w:b w:val="1"/>
          <w:bCs w:val="1"/>
          <w:i w:val="1"/>
          <w:iCs w:val="1"/>
          <w:color w:val="auto"/>
        </w:rPr>
        <w:t>Committee</w:t>
      </w:r>
      <w:r>
        <w:rPr>
          <w:rFonts w:ascii="Times New Roman" w:cs="Times New Roman" w:eastAsia="Times New Roman" w:hAnsi="Times New Roman"/>
          <w:sz w:val="20"/>
          <w:szCs w:val="20"/>
          <w:color w:val="auto"/>
        </w:rPr>
        <w:t>” means one or more committees or subcommittees of the Board or the Company, which may be comprised of one or more directors and/or executive officers of the Company, in either case, to the extent permitted in accordance with Applicable Laws.</w:t>
      </w:r>
    </w:p>
    <w:p>
      <w:pPr>
        <w:spacing w:after="0" w:line="1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11.9 “</w:t>
      </w:r>
      <w:r>
        <w:rPr>
          <w:rFonts w:ascii="Times New Roman" w:cs="Times New Roman" w:eastAsia="Times New Roman" w:hAnsi="Times New Roman"/>
          <w:sz w:val="20"/>
          <w:szCs w:val="20"/>
          <w:b w:val="1"/>
          <w:bCs w:val="1"/>
          <w:i w:val="1"/>
          <w:iCs w:val="1"/>
          <w:color w:val="auto"/>
        </w:rPr>
        <w:t>Common Stock</w:t>
      </w:r>
      <w:r>
        <w:rPr>
          <w:rFonts w:ascii="Times New Roman" w:cs="Times New Roman" w:eastAsia="Times New Roman" w:hAnsi="Times New Roman"/>
          <w:sz w:val="20"/>
          <w:szCs w:val="20"/>
          <w:color w:val="auto"/>
        </w:rPr>
        <w:t>” means the common stock of the Company.</w:t>
      </w:r>
    </w:p>
    <w:p>
      <w:pPr>
        <w:spacing w:after="0" w:line="216" w:lineRule="exact"/>
        <w:rPr>
          <w:sz w:val="20"/>
          <w:szCs w:val="20"/>
          <w:color w:val="auto"/>
        </w:rPr>
      </w:pPr>
    </w:p>
    <w:p>
      <w:pPr>
        <w:jc w:val="both"/>
        <w:ind w:right="20" w:firstLine="509"/>
        <w:spacing w:after="0" w:line="246" w:lineRule="auto"/>
        <w:rPr>
          <w:sz w:val="20"/>
          <w:szCs w:val="20"/>
          <w:color w:val="auto"/>
        </w:rPr>
      </w:pPr>
      <w:r>
        <w:rPr>
          <w:rFonts w:ascii="Times New Roman" w:cs="Times New Roman" w:eastAsia="Times New Roman" w:hAnsi="Times New Roman"/>
          <w:sz w:val="20"/>
          <w:szCs w:val="20"/>
          <w:color w:val="auto"/>
        </w:rPr>
        <w:t>11.10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means Invivyd, Inc., a Delaware corporation, or any successor thereto. Except where the context otherwise requires, the term “Company” includes any of the Company’s present or future parent or subsidiary corporations as defined in Sections 424(e) or (f) of the Code and any other business venture (including, without limitation, joint venture or limited liability company) in which the Company has a significant interest, as determined by the Administrator.</w:t>
      </w:r>
    </w:p>
    <w:p>
      <w:pPr>
        <w:spacing w:after="0" w:line="178"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20"/>
          <w:szCs w:val="20"/>
          <w:color w:val="auto"/>
        </w:rPr>
        <w:t>11.11 “</w:t>
      </w:r>
      <w:r>
        <w:rPr>
          <w:rFonts w:ascii="Times New Roman" w:cs="Times New Roman" w:eastAsia="Times New Roman" w:hAnsi="Times New Roman"/>
          <w:sz w:val="20"/>
          <w:szCs w:val="20"/>
          <w:b w:val="1"/>
          <w:bCs w:val="1"/>
          <w:i w:val="1"/>
          <w:iCs w:val="1"/>
          <w:color w:val="auto"/>
        </w:rPr>
        <w:t>Consultant</w:t>
      </w:r>
      <w:r>
        <w:rPr>
          <w:rFonts w:ascii="Times New Roman" w:cs="Times New Roman" w:eastAsia="Times New Roman" w:hAnsi="Times New Roman"/>
          <w:sz w:val="20"/>
          <w:szCs w:val="20"/>
          <w:color w:val="auto"/>
        </w:rPr>
        <w:t xml:space="preserve">” means any person, including, without limitation, any advisor, engaged by the Company or a parent or subsidiary of the Company to render services to such entity if: (i) the consultant or adviser renders </w:t>
      </w:r>
      <w:r>
        <w:rPr>
          <w:rFonts w:ascii="Times New Roman" w:cs="Times New Roman" w:eastAsia="Times New Roman" w:hAnsi="Times New Roman"/>
          <w:sz w:val="20"/>
          <w:szCs w:val="20"/>
          <w:i w:val="1"/>
          <w:iCs w:val="1"/>
          <w:color w:val="auto"/>
        </w:rPr>
        <w:t>bona fide</w:t>
      </w:r>
      <w:r>
        <w:rPr>
          <w:rFonts w:ascii="Times New Roman" w:cs="Times New Roman" w:eastAsia="Times New Roman" w:hAnsi="Times New Roman"/>
          <w:sz w:val="20"/>
          <w:szCs w:val="20"/>
          <w:color w:val="auto"/>
        </w:rPr>
        <w:t xml:space="preserve"> services to the Company; (ii) the services rendered by the consultant or advisor are not in connection with the offer or sale of securities in a capital-raising transaction and do not directly or indirectly promote or maintain a market for the Company’s securities; and (iii) the consultant or advisor is a natural person, or such other advisor or consultant as is approved by the Administrator.</w:t>
      </w:r>
    </w:p>
    <w:p>
      <w:pPr>
        <w:spacing w:after="0" w:line="181" w:lineRule="exact"/>
        <w:rPr>
          <w:sz w:val="20"/>
          <w:szCs w:val="20"/>
          <w:color w:val="auto"/>
        </w:rPr>
      </w:pPr>
    </w:p>
    <w:p>
      <w:pPr>
        <w:jc w:val="both"/>
        <w:ind w:right="40" w:firstLine="509"/>
        <w:spacing w:after="0" w:line="256" w:lineRule="auto"/>
        <w:rPr>
          <w:sz w:val="20"/>
          <w:szCs w:val="20"/>
          <w:color w:val="auto"/>
        </w:rPr>
      </w:pPr>
      <w:r>
        <w:rPr>
          <w:rFonts w:ascii="Times New Roman" w:cs="Times New Roman" w:eastAsia="Times New Roman" w:hAnsi="Times New Roman"/>
          <w:sz w:val="20"/>
          <w:szCs w:val="20"/>
          <w:color w:val="auto"/>
        </w:rPr>
        <w:t>11.12 “</w:t>
      </w:r>
      <w:r>
        <w:rPr>
          <w:rFonts w:ascii="Times New Roman" w:cs="Times New Roman" w:eastAsia="Times New Roman" w:hAnsi="Times New Roman"/>
          <w:sz w:val="20"/>
          <w:szCs w:val="20"/>
          <w:b w:val="1"/>
          <w:bCs w:val="1"/>
          <w:i w:val="1"/>
          <w:iCs w:val="1"/>
          <w:color w:val="auto"/>
        </w:rPr>
        <w:t>Designated Beneficiary</w:t>
      </w:r>
      <w:r>
        <w:rPr>
          <w:rFonts w:ascii="Times New Roman" w:cs="Times New Roman" w:eastAsia="Times New Roman" w:hAnsi="Times New Roman"/>
          <w:sz w:val="20"/>
          <w:szCs w:val="20"/>
          <w:color w:val="auto"/>
        </w:rPr>
        <w:t>” means the beneficiary or beneficiaries designated, in a manner determined by the Administrator, by a Participant to receive amounts due or exercise rights of the Participant in the event of the Participant’s death or incapacity In the absence of an effective designation by a Participant, “Designated Beneficiary” shall mean the Participant’s estate.</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11.13 “</w:t>
      </w:r>
      <w:r>
        <w:rPr>
          <w:rFonts w:ascii="Times New Roman" w:cs="Times New Roman" w:eastAsia="Times New Roman" w:hAnsi="Times New Roman"/>
          <w:sz w:val="20"/>
          <w:szCs w:val="20"/>
          <w:b w:val="1"/>
          <w:bCs w:val="1"/>
          <w:i w:val="1"/>
          <w:iCs w:val="1"/>
          <w:color w:val="auto"/>
        </w:rPr>
        <w:t>Director</w:t>
      </w:r>
      <w:r>
        <w:rPr>
          <w:rFonts w:ascii="Times New Roman" w:cs="Times New Roman" w:eastAsia="Times New Roman" w:hAnsi="Times New Roman"/>
          <w:sz w:val="20"/>
          <w:szCs w:val="20"/>
          <w:color w:val="auto"/>
        </w:rPr>
        <w:t>” means a member of the Board.</w:t>
      </w:r>
    </w:p>
    <w:p>
      <w:pPr>
        <w:spacing w:after="0" w:line="216" w:lineRule="exact"/>
        <w:rPr>
          <w:sz w:val="20"/>
          <w:szCs w:val="20"/>
          <w:color w:val="auto"/>
        </w:rPr>
      </w:pPr>
    </w:p>
    <w:p>
      <w:pPr>
        <w:ind w:right="220" w:firstLine="509"/>
        <w:spacing w:after="0" w:line="273" w:lineRule="auto"/>
        <w:rPr>
          <w:sz w:val="20"/>
          <w:szCs w:val="20"/>
          <w:color w:val="auto"/>
        </w:rPr>
      </w:pPr>
      <w:r>
        <w:rPr>
          <w:rFonts w:ascii="Times New Roman" w:cs="Times New Roman" w:eastAsia="Times New Roman" w:hAnsi="Times New Roman"/>
          <w:sz w:val="20"/>
          <w:szCs w:val="20"/>
          <w:color w:val="auto"/>
        </w:rPr>
        <w:t xml:space="preserve">11.14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Disability</w:t>
      </w:r>
      <w:r>
        <w:rPr>
          <w:rFonts w:ascii="Times New Roman" w:cs="Times New Roman" w:eastAsia="Times New Roman" w:hAnsi="Times New Roman"/>
          <w:sz w:val="20"/>
          <w:szCs w:val="20"/>
          <w:color w:val="auto"/>
        </w:rPr>
        <w:t>” means a permanent and total disability within the meaning of Section 22(e)(3) of the Code, as it may be amended from time to time.</w:t>
      </w:r>
    </w:p>
    <w:p>
      <w:pPr>
        <w:spacing w:after="0" w:line="138" w:lineRule="exact"/>
        <w:rPr>
          <w:sz w:val="20"/>
          <w:szCs w:val="20"/>
          <w:color w:val="auto"/>
        </w:rPr>
      </w:pPr>
    </w:p>
    <w:p>
      <w:pPr>
        <w:ind w:right="160" w:firstLine="509"/>
        <w:spacing w:after="0" w:line="273" w:lineRule="auto"/>
        <w:rPr>
          <w:sz w:val="20"/>
          <w:szCs w:val="20"/>
          <w:color w:val="auto"/>
        </w:rPr>
      </w:pPr>
      <w:r>
        <w:rPr>
          <w:rFonts w:ascii="Times New Roman" w:cs="Times New Roman" w:eastAsia="Times New Roman" w:hAnsi="Times New Roman"/>
          <w:sz w:val="20"/>
          <w:szCs w:val="20"/>
          <w:color w:val="auto"/>
        </w:rPr>
        <w:t>11.15 “</w:t>
      </w:r>
      <w:r>
        <w:rPr>
          <w:rFonts w:ascii="Times New Roman" w:cs="Times New Roman" w:eastAsia="Times New Roman" w:hAnsi="Times New Roman"/>
          <w:sz w:val="20"/>
          <w:szCs w:val="20"/>
          <w:b w:val="1"/>
          <w:bCs w:val="1"/>
          <w:i w:val="1"/>
          <w:iCs w:val="1"/>
          <w:color w:val="auto"/>
        </w:rPr>
        <w:t>Dividend Equivalents</w:t>
      </w:r>
      <w:r>
        <w:rPr>
          <w:rFonts w:ascii="Times New Roman" w:cs="Times New Roman" w:eastAsia="Times New Roman" w:hAnsi="Times New Roman"/>
          <w:sz w:val="20"/>
          <w:szCs w:val="20"/>
          <w:color w:val="auto"/>
        </w:rPr>
        <w:t>” means a right granted to a Participant pursuant to Section 6.4(c) hereof to receive the equivalent value (in cash or shares of Common Stock) of dividends paid on shares of Common Stock.</w:t>
      </w:r>
    </w:p>
    <w:p>
      <w:pPr>
        <w:spacing w:after="0" w:line="152" w:lineRule="exact"/>
        <w:rPr>
          <w:sz w:val="20"/>
          <w:szCs w:val="20"/>
          <w:color w:val="auto"/>
        </w:rPr>
      </w:pPr>
    </w:p>
    <w:p>
      <w:pPr>
        <w:ind w:right="440" w:firstLine="509"/>
        <w:spacing w:after="0" w:line="273" w:lineRule="auto"/>
        <w:rPr>
          <w:sz w:val="20"/>
          <w:szCs w:val="20"/>
          <w:color w:val="auto"/>
        </w:rPr>
      </w:pPr>
      <w:r>
        <w:rPr>
          <w:rFonts w:ascii="Times New Roman" w:cs="Times New Roman" w:eastAsia="Times New Roman" w:hAnsi="Times New Roman"/>
          <w:sz w:val="20"/>
          <w:szCs w:val="20"/>
          <w:color w:val="auto"/>
        </w:rPr>
        <w:t>11.16 “</w:t>
      </w:r>
      <w:r>
        <w:rPr>
          <w:rFonts w:ascii="Times New Roman" w:cs="Times New Roman" w:eastAsia="Times New Roman" w:hAnsi="Times New Roman"/>
          <w:sz w:val="20"/>
          <w:szCs w:val="20"/>
          <w:b w:val="1"/>
          <w:bCs w:val="1"/>
          <w:i w:val="1"/>
          <w:iCs w:val="1"/>
          <w:color w:val="auto"/>
        </w:rPr>
        <w:t>Employee</w:t>
      </w:r>
      <w:r>
        <w:rPr>
          <w:rFonts w:ascii="Times New Roman" w:cs="Times New Roman" w:eastAsia="Times New Roman" w:hAnsi="Times New Roman"/>
          <w:sz w:val="20"/>
          <w:szCs w:val="20"/>
          <w:color w:val="auto"/>
        </w:rPr>
        <w:t>” means any person, including, without limitation, officers and Directors, employed by the Company (within the meaning of Section 3401(c) of the Code) or any parent or subsidiary of the Company.</w:t>
      </w:r>
    </w:p>
    <w:p>
      <w:pPr>
        <w:spacing w:after="0" w:line="152" w:lineRule="exact"/>
        <w:rPr>
          <w:sz w:val="20"/>
          <w:szCs w:val="20"/>
          <w:color w:val="auto"/>
        </w:rPr>
      </w:pPr>
    </w:p>
    <w:p>
      <w:pPr>
        <w:ind w:right="120" w:firstLine="509"/>
        <w:spacing w:after="0" w:line="246" w:lineRule="auto"/>
        <w:rPr>
          <w:sz w:val="20"/>
          <w:szCs w:val="20"/>
          <w:color w:val="auto"/>
        </w:rPr>
      </w:pPr>
      <w:r>
        <w:rPr>
          <w:rFonts w:ascii="Times New Roman" w:cs="Times New Roman" w:eastAsia="Times New Roman" w:hAnsi="Times New Roman"/>
          <w:sz w:val="20"/>
          <w:szCs w:val="20"/>
          <w:color w:val="auto"/>
        </w:rPr>
        <w:t>11.17 “</w:t>
      </w:r>
      <w:r>
        <w:rPr>
          <w:rFonts w:ascii="Times New Roman" w:cs="Times New Roman" w:eastAsia="Times New Roman" w:hAnsi="Times New Roman"/>
          <w:sz w:val="20"/>
          <w:szCs w:val="20"/>
          <w:b w:val="1"/>
          <w:bCs w:val="1"/>
          <w:i w:val="1"/>
          <w:iCs w:val="1"/>
          <w:color w:val="auto"/>
        </w:rPr>
        <w:t>Equity Restructuring</w:t>
      </w:r>
      <w:r>
        <w:rPr>
          <w:rFonts w:ascii="Times New Roman" w:cs="Times New Roman" w:eastAsia="Times New Roman" w:hAnsi="Times New Roman"/>
          <w:sz w:val="20"/>
          <w:szCs w:val="20"/>
          <w:color w:val="auto"/>
        </w:rPr>
        <w:t>” means, as determined by the Administrator, a non-reciprocal transaction between the Company and its stockholders, such as a stock dividend, stock split, spin-off or recapitalization through a large, nonrecurring cash dividend, that affects the shares of Common Stock (or other securities of the Company) or the share price of Common Stock (or other securities of the Company) and causes a change in the per share value of the Common Stock underlying outstanding Awards.</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11.18 “</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means the Securities Exchange Act of 1934, as amended.</w:t>
      </w:r>
    </w:p>
    <w:p>
      <w:pPr>
        <w:spacing w:after="0" w:line="216"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20"/>
          <w:szCs w:val="20"/>
          <w:color w:val="auto"/>
        </w:rPr>
        <w:t>11.19 “</w:t>
      </w:r>
      <w:r>
        <w:rPr>
          <w:rFonts w:ascii="Times New Roman" w:cs="Times New Roman" w:eastAsia="Times New Roman" w:hAnsi="Times New Roman"/>
          <w:sz w:val="20"/>
          <w:szCs w:val="20"/>
          <w:b w:val="1"/>
          <w:bCs w:val="1"/>
          <w:i w:val="1"/>
          <w:iCs w:val="1"/>
          <w:color w:val="auto"/>
        </w:rPr>
        <w:t>Fair Market Value</w:t>
      </w:r>
      <w:r>
        <w:rPr>
          <w:rFonts w:ascii="Times New Roman" w:cs="Times New Roman" w:eastAsia="Times New Roman" w:hAnsi="Times New Roman"/>
          <w:sz w:val="20"/>
          <w:szCs w:val="20"/>
          <w:color w:val="auto"/>
        </w:rPr>
        <w:t xml:space="preserve">” means, as of any date, the value of a share of Common Stock determined as follows: (i) if the Common Stock is listed on any established stock exchange, its Fair Market Value shall be the closing sales price for a share of such Common Stock as quoted on such exchange for such date, or if no sale occurred on such date, the first market trading day immediately prior to such date during which a sale occurred, as reported in </w:t>
      </w:r>
      <w:r>
        <w:rPr>
          <w:rFonts w:ascii="Times New Roman" w:cs="Times New Roman" w:eastAsia="Times New Roman" w:hAnsi="Times New Roman"/>
          <w:sz w:val="20"/>
          <w:szCs w:val="20"/>
          <w:i w:val="1"/>
          <w:iCs w:val="1"/>
          <w:color w:val="auto"/>
        </w:rPr>
        <w:t>The Wall Street Journal</w:t>
      </w:r>
      <w:r>
        <w:rPr>
          <w:rFonts w:ascii="Times New Roman" w:cs="Times New Roman" w:eastAsia="Times New Roman" w:hAnsi="Times New Roman"/>
          <w:sz w:val="20"/>
          <w:szCs w:val="20"/>
          <w:color w:val="auto"/>
        </w:rPr>
        <w:t xml:space="preserve"> or such other source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1" w:right="359" w:bottom="1440" w:gutter="0" w:footer="0" w:header="0"/>
        </w:sectPr>
      </w:pPr>
    </w:p>
    <w:bookmarkStart w:id="114" w:name="page115"/>
    <w:bookmarkEnd w:id="114"/>
    <w:p>
      <w:pPr>
        <w:ind w:right="160"/>
        <w:spacing w:after="0" w:line="246" w:lineRule="auto"/>
        <w:rPr>
          <w:sz w:val="20"/>
          <w:szCs w:val="20"/>
          <w:color w:val="auto"/>
        </w:rPr>
      </w:pPr>
      <w:r>
        <w:rPr>
          <w:rFonts w:ascii="Times New Roman" w:cs="Times New Roman" w:eastAsia="Times New Roman" w:hAnsi="Times New Roman"/>
          <w:sz w:val="20"/>
          <w:szCs w:val="20"/>
          <w:color w:val="auto"/>
        </w:rPr>
        <w:t xml:space="preserve">the Administrator deems reliable; (ii) if the Common Stock is not traded on a stock exchange but is quoted on a national market or other quotation system, the last sales price for a share of Common Stock on such date, or if no sales occurred on such date, then on the date immediately prior to such date on which sales prices are reported, as reported in </w:t>
      </w:r>
      <w:r>
        <w:rPr>
          <w:rFonts w:ascii="Times New Roman" w:cs="Times New Roman" w:eastAsia="Times New Roman" w:hAnsi="Times New Roman"/>
          <w:sz w:val="20"/>
          <w:szCs w:val="20"/>
          <w:i w:val="1"/>
          <w:iCs w:val="1"/>
          <w:color w:val="auto"/>
        </w:rPr>
        <w:t>The Wall Street Journal</w:t>
      </w:r>
      <w:r>
        <w:rPr>
          <w:rFonts w:ascii="Times New Roman" w:cs="Times New Roman" w:eastAsia="Times New Roman" w:hAnsi="Times New Roman"/>
          <w:sz w:val="20"/>
          <w:szCs w:val="20"/>
          <w:color w:val="auto"/>
        </w:rPr>
        <w:t xml:space="preserve"> or such other source as the Administrator deems reliable; or (iii) in the absence of an established market for the Common Stock, the Fair Market Value thereof shall be determined by the Administrator in its sole discretion.</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11.20 “</w:t>
      </w:r>
      <w:r>
        <w:rPr>
          <w:rFonts w:ascii="Times New Roman" w:cs="Times New Roman" w:eastAsia="Times New Roman" w:hAnsi="Times New Roman"/>
          <w:sz w:val="20"/>
          <w:szCs w:val="20"/>
          <w:b w:val="1"/>
          <w:bCs w:val="1"/>
          <w:i w:val="1"/>
          <w:iCs w:val="1"/>
          <w:color w:val="auto"/>
        </w:rPr>
        <w:t>Incentive Stock Option</w:t>
      </w:r>
      <w:r>
        <w:rPr>
          <w:rFonts w:ascii="Times New Roman" w:cs="Times New Roman" w:eastAsia="Times New Roman" w:hAnsi="Times New Roman"/>
          <w:sz w:val="20"/>
          <w:szCs w:val="20"/>
          <w:color w:val="auto"/>
        </w:rPr>
        <w:t>” means an “incentive stock option” as defined in Section 422 of the Code.</w:t>
      </w:r>
    </w:p>
    <w:p>
      <w:pPr>
        <w:spacing w:after="0" w:line="216" w:lineRule="exact"/>
        <w:rPr>
          <w:sz w:val="20"/>
          <w:szCs w:val="20"/>
          <w:color w:val="auto"/>
        </w:rPr>
      </w:pPr>
    </w:p>
    <w:p>
      <w:pPr>
        <w:ind w:right="240" w:firstLine="509"/>
        <w:spacing w:after="0" w:line="273" w:lineRule="auto"/>
        <w:rPr>
          <w:sz w:val="20"/>
          <w:szCs w:val="20"/>
          <w:color w:val="auto"/>
        </w:rPr>
      </w:pPr>
      <w:r>
        <w:rPr>
          <w:rFonts w:ascii="Times New Roman" w:cs="Times New Roman" w:eastAsia="Times New Roman" w:hAnsi="Times New Roman"/>
          <w:sz w:val="20"/>
          <w:szCs w:val="20"/>
          <w:color w:val="auto"/>
        </w:rPr>
        <w:t>11.21 “</w:t>
      </w:r>
      <w:r>
        <w:rPr>
          <w:rFonts w:ascii="Times New Roman" w:cs="Times New Roman" w:eastAsia="Times New Roman" w:hAnsi="Times New Roman"/>
          <w:sz w:val="20"/>
          <w:szCs w:val="20"/>
          <w:b w:val="1"/>
          <w:bCs w:val="1"/>
          <w:i w:val="1"/>
          <w:iCs w:val="1"/>
          <w:color w:val="auto"/>
        </w:rPr>
        <w:t>Non-Qualified Stock Option</w:t>
      </w:r>
      <w:r>
        <w:rPr>
          <w:rFonts w:ascii="Times New Roman" w:cs="Times New Roman" w:eastAsia="Times New Roman" w:hAnsi="Times New Roman"/>
          <w:sz w:val="20"/>
          <w:szCs w:val="20"/>
          <w:color w:val="auto"/>
        </w:rPr>
        <w:t>” means an Option that is not intended to be or otherwise does not qualify as an Incentive Stock Option.</w:t>
      </w:r>
    </w:p>
    <w:p>
      <w:pPr>
        <w:spacing w:after="0" w:line="1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11.22 “</w:t>
      </w:r>
      <w:r>
        <w:rPr>
          <w:rFonts w:ascii="Times New Roman" w:cs="Times New Roman" w:eastAsia="Times New Roman" w:hAnsi="Times New Roman"/>
          <w:sz w:val="20"/>
          <w:szCs w:val="20"/>
          <w:b w:val="1"/>
          <w:bCs w:val="1"/>
          <w:i w:val="1"/>
          <w:iCs w:val="1"/>
          <w:color w:val="auto"/>
        </w:rPr>
        <w:t>Option</w:t>
      </w:r>
      <w:r>
        <w:rPr>
          <w:rFonts w:ascii="Times New Roman" w:cs="Times New Roman" w:eastAsia="Times New Roman" w:hAnsi="Times New Roman"/>
          <w:sz w:val="20"/>
          <w:szCs w:val="20"/>
          <w:color w:val="auto"/>
        </w:rPr>
        <w:t>” means an option to purchase Common Stock.</w:t>
      </w:r>
    </w:p>
    <w:p>
      <w:pPr>
        <w:spacing w:after="0" w:line="216" w:lineRule="exact"/>
        <w:rPr>
          <w:sz w:val="20"/>
          <w:szCs w:val="20"/>
          <w:color w:val="auto"/>
        </w:rPr>
      </w:pPr>
    </w:p>
    <w:p>
      <w:pPr>
        <w:ind w:right="60" w:firstLine="509"/>
        <w:spacing w:after="0" w:line="273" w:lineRule="auto"/>
        <w:rPr>
          <w:sz w:val="20"/>
          <w:szCs w:val="20"/>
          <w:color w:val="auto"/>
        </w:rPr>
      </w:pPr>
      <w:r>
        <w:rPr>
          <w:rFonts w:ascii="Times New Roman" w:cs="Times New Roman" w:eastAsia="Times New Roman" w:hAnsi="Times New Roman"/>
          <w:sz w:val="20"/>
          <w:szCs w:val="20"/>
          <w:color w:val="auto"/>
        </w:rPr>
        <w:t>11.23 “</w:t>
      </w:r>
      <w:r>
        <w:rPr>
          <w:rFonts w:ascii="Times New Roman" w:cs="Times New Roman" w:eastAsia="Times New Roman" w:hAnsi="Times New Roman"/>
          <w:sz w:val="20"/>
          <w:szCs w:val="20"/>
          <w:b w:val="1"/>
          <w:bCs w:val="1"/>
          <w:i w:val="1"/>
          <w:iCs w:val="1"/>
          <w:color w:val="auto"/>
        </w:rPr>
        <w:t>Other Stock-Based Awards</w:t>
      </w:r>
      <w:r>
        <w:rPr>
          <w:rFonts w:ascii="Times New Roman" w:cs="Times New Roman" w:eastAsia="Times New Roman" w:hAnsi="Times New Roman"/>
          <w:sz w:val="20"/>
          <w:szCs w:val="20"/>
          <w:color w:val="auto"/>
        </w:rPr>
        <w:t>” means other Awards of shares of Common Stock, and other Awards that are valued in whole or in part by reference to, or are otherwise based on, shares of Common Stock or other property.</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11.24 “</w:t>
      </w:r>
      <w:r>
        <w:rPr>
          <w:rFonts w:ascii="Times New Roman" w:cs="Times New Roman" w:eastAsia="Times New Roman" w:hAnsi="Times New Roman"/>
          <w:sz w:val="20"/>
          <w:szCs w:val="20"/>
          <w:b w:val="1"/>
          <w:bCs w:val="1"/>
          <w:i w:val="1"/>
          <w:iCs w:val="1"/>
          <w:color w:val="auto"/>
        </w:rPr>
        <w:t>Participant</w:t>
      </w:r>
      <w:r>
        <w:rPr>
          <w:rFonts w:ascii="Times New Roman" w:cs="Times New Roman" w:eastAsia="Times New Roman" w:hAnsi="Times New Roman"/>
          <w:sz w:val="20"/>
          <w:szCs w:val="20"/>
          <w:color w:val="auto"/>
        </w:rPr>
        <w:t>” means a Service Provider who has been granted an Award under the Plan.</w:t>
      </w: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11.25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means this 2020 Equity Incentive Plan.</w:t>
      </w:r>
    </w:p>
    <w:p>
      <w:pPr>
        <w:spacing w:after="0" w:line="216"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20"/>
          <w:szCs w:val="20"/>
          <w:color w:val="auto"/>
        </w:rPr>
        <w:t>11.26 “</w:t>
      </w:r>
      <w:r>
        <w:rPr>
          <w:rFonts w:ascii="Times New Roman" w:cs="Times New Roman" w:eastAsia="Times New Roman" w:hAnsi="Times New Roman"/>
          <w:sz w:val="20"/>
          <w:szCs w:val="20"/>
          <w:b w:val="1"/>
          <w:bCs w:val="1"/>
          <w:i w:val="1"/>
          <w:iCs w:val="1"/>
          <w:color w:val="auto"/>
        </w:rPr>
        <w:t>Publicly Listed Company</w:t>
      </w:r>
      <w:r>
        <w:rPr>
          <w:rFonts w:ascii="Times New Roman" w:cs="Times New Roman" w:eastAsia="Times New Roman" w:hAnsi="Times New Roman"/>
          <w:sz w:val="20"/>
          <w:szCs w:val="20"/>
          <w:color w:val="auto"/>
        </w:rPr>
        <w:t>” means that the Company or its successor (i) is required to file periodic reports pursuant to Section 12 of the Exchange Act and (ii) the Common Stock is listed on one or more National Securities Exchanges (within the meaning of the Exchange Act) or is quoted on NASDAQ or a successor interdealer quotation system.</w:t>
      </w:r>
    </w:p>
    <w:p>
      <w:pPr>
        <w:spacing w:after="0" w:line="169" w:lineRule="exact"/>
        <w:rPr>
          <w:sz w:val="20"/>
          <w:szCs w:val="20"/>
          <w:color w:val="auto"/>
        </w:rPr>
      </w:pPr>
    </w:p>
    <w:p>
      <w:pPr>
        <w:ind w:right="540" w:firstLine="509"/>
        <w:spacing w:after="0" w:line="273" w:lineRule="auto"/>
        <w:rPr>
          <w:sz w:val="20"/>
          <w:szCs w:val="20"/>
          <w:color w:val="auto"/>
        </w:rPr>
      </w:pPr>
      <w:r>
        <w:rPr>
          <w:rFonts w:ascii="Times New Roman" w:cs="Times New Roman" w:eastAsia="Times New Roman" w:hAnsi="Times New Roman"/>
          <w:sz w:val="20"/>
          <w:szCs w:val="20"/>
          <w:color w:val="auto"/>
        </w:rPr>
        <w:t>11.27 “</w:t>
      </w:r>
      <w:r>
        <w:rPr>
          <w:rFonts w:ascii="Times New Roman" w:cs="Times New Roman" w:eastAsia="Times New Roman" w:hAnsi="Times New Roman"/>
          <w:sz w:val="20"/>
          <w:szCs w:val="20"/>
          <w:b w:val="1"/>
          <w:bCs w:val="1"/>
          <w:i w:val="1"/>
          <w:iCs w:val="1"/>
          <w:color w:val="auto"/>
        </w:rPr>
        <w:t>Restricted Stock</w:t>
      </w:r>
      <w:r>
        <w:rPr>
          <w:rFonts w:ascii="Times New Roman" w:cs="Times New Roman" w:eastAsia="Times New Roman" w:hAnsi="Times New Roman"/>
          <w:sz w:val="20"/>
          <w:szCs w:val="20"/>
          <w:color w:val="auto"/>
        </w:rPr>
        <w:t>” means Common Stock awarded to a Participant pursuant to Section 6.1 hereof that is subject to certain vesting conditions and other restrictions.</w:t>
      </w:r>
    </w:p>
    <w:p>
      <w:pPr>
        <w:spacing w:after="0" w:line="13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20"/>
          <w:szCs w:val="20"/>
          <w:color w:val="auto"/>
        </w:rPr>
        <w:t xml:space="preserve">11.28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Restricted Stock Unit</w:t>
      </w:r>
      <w:r>
        <w:rPr>
          <w:rFonts w:ascii="Times New Roman" w:cs="Times New Roman" w:eastAsia="Times New Roman" w:hAnsi="Times New Roman"/>
          <w:sz w:val="20"/>
          <w:szCs w:val="20"/>
          <w:color w:val="auto"/>
        </w:rPr>
        <w:t>” means an unfunded, unsecured right to receive, on the applicable settlement date, one share of Common Stock or an amount in cash or other consideration determined by the Administrator equal to the value thereof as of such payment date, which right may be subject to certain vesting conditions and other restrictions.</w:t>
      </w:r>
    </w:p>
    <w:p>
      <w:pPr>
        <w:spacing w:after="0" w:line="169" w:lineRule="exact"/>
        <w:rPr>
          <w:sz w:val="20"/>
          <w:szCs w:val="20"/>
          <w:color w:val="auto"/>
        </w:rPr>
      </w:pPr>
    </w:p>
    <w:p>
      <w:pPr>
        <w:ind w:right="260" w:firstLine="509"/>
        <w:spacing w:after="0" w:line="273" w:lineRule="auto"/>
        <w:rPr>
          <w:sz w:val="20"/>
          <w:szCs w:val="20"/>
          <w:color w:val="auto"/>
        </w:rPr>
      </w:pPr>
      <w:r>
        <w:rPr>
          <w:rFonts w:ascii="Times New Roman" w:cs="Times New Roman" w:eastAsia="Times New Roman" w:hAnsi="Times New Roman"/>
          <w:sz w:val="20"/>
          <w:szCs w:val="20"/>
          <w:color w:val="auto"/>
        </w:rPr>
        <w:t>11.29 “</w:t>
      </w:r>
      <w:r>
        <w:rPr>
          <w:rFonts w:ascii="Times New Roman" w:cs="Times New Roman" w:eastAsia="Times New Roman" w:hAnsi="Times New Roman"/>
          <w:sz w:val="20"/>
          <w:szCs w:val="20"/>
          <w:b w:val="1"/>
          <w:bCs w:val="1"/>
          <w:i w:val="1"/>
          <w:iCs w:val="1"/>
          <w:color w:val="auto"/>
        </w:rPr>
        <w:t>Section 409A</w:t>
      </w:r>
      <w:r>
        <w:rPr>
          <w:rFonts w:ascii="Times New Roman" w:cs="Times New Roman" w:eastAsia="Times New Roman" w:hAnsi="Times New Roman"/>
          <w:sz w:val="20"/>
          <w:szCs w:val="20"/>
          <w:color w:val="auto"/>
        </w:rPr>
        <w:t>” means Section 409A of the Code and all regulations, guidance, compliance programs and other interpretative authority thereunder.</w:t>
      </w:r>
    </w:p>
    <w:p>
      <w:pPr>
        <w:spacing w:after="0" w:line="1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11.30 “</w:t>
      </w:r>
      <w:r>
        <w:rPr>
          <w:rFonts w:ascii="Times New Roman" w:cs="Times New Roman" w:eastAsia="Times New Roman" w:hAnsi="Times New Roman"/>
          <w:sz w:val="20"/>
          <w:szCs w:val="20"/>
          <w:b w:val="1"/>
          <w:bCs w:val="1"/>
          <w:i w:val="1"/>
          <w:iCs w:val="1"/>
          <w:color w:val="auto"/>
        </w:rPr>
        <w:t>Securities Act</w:t>
      </w:r>
      <w:r>
        <w:rPr>
          <w:rFonts w:ascii="Times New Roman" w:cs="Times New Roman" w:eastAsia="Times New Roman" w:hAnsi="Times New Roman"/>
          <w:sz w:val="20"/>
          <w:szCs w:val="20"/>
          <w:color w:val="auto"/>
        </w:rPr>
        <w:t>” means the Securities Act of 1933, as amended from time to time.</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11.31 “</w:t>
      </w:r>
      <w:r>
        <w:rPr>
          <w:rFonts w:ascii="Times New Roman" w:cs="Times New Roman" w:eastAsia="Times New Roman" w:hAnsi="Times New Roman"/>
          <w:sz w:val="20"/>
          <w:szCs w:val="20"/>
          <w:b w:val="1"/>
          <w:bCs w:val="1"/>
          <w:i w:val="1"/>
          <w:iCs w:val="1"/>
          <w:color w:val="auto"/>
        </w:rPr>
        <w:t>Service Provider</w:t>
      </w:r>
      <w:r>
        <w:rPr>
          <w:rFonts w:ascii="Times New Roman" w:cs="Times New Roman" w:eastAsia="Times New Roman" w:hAnsi="Times New Roman"/>
          <w:sz w:val="20"/>
          <w:szCs w:val="20"/>
          <w:color w:val="auto"/>
        </w:rPr>
        <w:t>” means an Employee, Consultant or Director.</w:t>
      </w: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11.32 “</w:t>
      </w:r>
      <w:r>
        <w:rPr>
          <w:rFonts w:ascii="Times New Roman" w:cs="Times New Roman" w:eastAsia="Times New Roman" w:hAnsi="Times New Roman"/>
          <w:sz w:val="20"/>
          <w:szCs w:val="20"/>
          <w:b w:val="1"/>
          <w:bCs w:val="1"/>
          <w:i w:val="1"/>
          <w:iCs w:val="1"/>
          <w:color w:val="auto"/>
        </w:rPr>
        <w:t>Termination of Service</w:t>
      </w:r>
      <w:r>
        <w:rPr>
          <w:rFonts w:ascii="Times New Roman" w:cs="Times New Roman" w:eastAsia="Times New Roman" w:hAnsi="Times New Roman"/>
          <w:sz w:val="20"/>
          <w:szCs w:val="20"/>
          <w:color w:val="auto"/>
        </w:rPr>
        <w:t>” means the date the Participant ceases to be a Service Provider.</w:t>
      </w: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35" w:right="379" w:bottom="1440" w:gutter="0" w:footer="0" w:header="0"/>
        </w:sectPr>
      </w:pPr>
    </w:p>
    <w:bookmarkStart w:id="115" w:name="page116"/>
    <w:bookmarkEnd w:id="115"/>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INVIVYD, INC.</w:t>
      </w:r>
    </w:p>
    <w:p>
      <w:pPr>
        <w:spacing w:after="0" w:line="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2020 EQUITY INCENTIVE PLAN</w:t>
      </w:r>
    </w:p>
    <w:p>
      <w:pPr>
        <w:spacing w:after="0" w:line="8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CALIFORNIA SUPPLEMENT</w:t>
      </w:r>
    </w:p>
    <w:p>
      <w:pPr>
        <w:spacing w:after="0" w:line="220" w:lineRule="exact"/>
        <w:rPr>
          <w:sz w:val="20"/>
          <w:szCs w:val="20"/>
          <w:color w:val="auto"/>
        </w:rPr>
      </w:pPr>
    </w:p>
    <w:p>
      <w:pPr>
        <w:ind w:right="60" w:firstLine="509"/>
        <w:spacing w:after="0" w:line="242" w:lineRule="auto"/>
        <w:rPr>
          <w:sz w:val="20"/>
          <w:szCs w:val="20"/>
          <w:color w:val="auto"/>
        </w:rPr>
      </w:pPr>
      <w:r>
        <w:rPr>
          <w:rFonts w:ascii="Times New Roman" w:cs="Times New Roman" w:eastAsia="Times New Roman" w:hAnsi="Times New Roman"/>
          <w:sz w:val="20"/>
          <w:szCs w:val="20"/>
          <w:color w:val="auto"/>
        </w:rPr>
        <w:t>This supplement is intended to satisfy the requirements of Section 25102(o) of the California Corporations Code and the regulations issued thereunder (“</w:t>
      </w:r>
      <w:r>
        <w:rPr>
          <w:rFonts w:ascii="Times New Roman" w:cs="Times New Roman" w:eastAsia="Times New Roman" w:hAnsi="Times New Roman"/>
          <w:sz w:val="20"/>
          <w:szCs w:val="20"/>
          <w:b w:val="1"/>
          <w:bCs w:val="1"/>
          <w:i w:val="1"/>
          <w:iCs w:val="1"/>
          <w:color w:val="auto"/>
        </w:rPr>
        <w:t>Section 25102(o)</w:t>
      </w:r>
      <w:r>
        <w:rPr>
          <w:rFonts w:ascii="Times New Roman" w:cs="Times New Roman" w:eastAsia="Times New Roman" w:hAnsi="Times New Roman"/>
          <w:sz w:val="20"/>
          <w:szCs w:val="20"/>
          <w:color w:val="auto"/>
        </w:rPr>
        <w:t>”). Notwithstanding anything to the contrary contained in the Plan and except as otherwise determined by the Administrator, the provisions set forth in this supplement shall apply to all Awards granted under the Plan to a Participant who is a resident of the State of California on the date of grant (a “</w:t>
      </w:r>
      <w:r>
        <w:rPr>
          <w:rFonts w:ascii="Times New Roman" w:cs="Times New Roman" w:eastAsia="Times New Roman" w:hAnsi="Times New Roman"/>
          <w:sz w:val="20"/>
          <w:szCs w:val="20"/>
          <w:b w:val="1"/>
          <w:bCs w:val="1"/>
          <w:i w:val="1"/>
          <w:iCs w:val="1"/>
          <w:color w:val="auto"/>
        </w:rPr>
        <w:t>California Participant</w:t>
      </w:r>
      <w:r>
        <w:rPr>
          <w:rFonts w:ascii="Times New Roman" w:cs="Times New Roman" w:eastAsia="Times New Roman" w:hAnsi="Times New Roman"/>
          <w:sz w:val="20"/>
          <w:szCs w:val="20"/>
          <w:color w:val="auto"/>
        </w:rPr>
        <w:t>”) and which are intended to be exempt from registration in California pursuant to Section 25102(o), and otherwise to the extent required to comply with applicable law (but only to such extent). Definitions in the Plan are applicable to this supplement.</w:t>
      </w:r>
    </w:p>
    <w:p>
      <w:pPr>
        <w:spacing w:after="0" w:line="188" w:lineRule="exact"/>
        <w:rPr>
          <w:sz w:val="20"/>
          <w:szCs w:val="20"/>
          <w:color w:val="auto"/>
        </w:rPr>
      </w:pPr>
    </w:p>
    <w:p>
      <w:pPr>
        <w:ind w:right="80" w:firstLine="517"/>
        <w:spacing w:after="0" w:line="269" w:lineRule="auto"/>
        <w:tabs>
          <w:tab w:leader="none" w:pos="707"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Limitation on Securities Issuable under the Plan</w:t>
      </w:r>
      <w:r>
        <w:rPr>
          <w:rFonts w:ascii="Times New Roman" w:cs="Times New Roman" w:eastAsia="Times New Roman" w:hAnsi="Times New Roman"/>
          <w:sz w:val="20"/>
          <w:szCs w:val="20"/>
          <w:color w:val="auto"/>
        </w:rPr>
        <w:t>. The amount of securities issued pursuant to the Plan shall not exceed the amounts permitted under section 260.140.45 of the California Code of Regulations to the extent applicable.</w:t>
      </w:r>
    </w:p>
    <w:p>
      <w:pPr>
        <w:spacing w:after="0" w:line="159" w:lineRule="exact"/>
        <w:rPr>
          <w:rFonts w:ascii="Times New Roman" w:cs="Times New Roman" w:eastAsia="Times New Roman" w:hAnsi="Times New Roman"/>
          <w:sz w:val="20"/>
          <w:szCs w:val="20"/>
          <w:color w:val="auto"/>
        </w:rPr>
      </w:pPr>
    </w:p>
    <w:p>
      <w:pPr>
        <w:ind w:right="300" w:firstLine="517"/>
        <w:spacing w:after="0" w:line="269" w:lineRule="auto"/>
        <w:tabs>
          <w:tab w:leader="none" w:pos="707"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Limitations For Grants</w:t>
      </w:r>
      <w:r>
        <w:rPr>
          <w:rFonts w:ascii="Times New Roman" w:cs="Times New Roman" w:eastAsia="Times New Roman" w:hAnsi="Times New Roman"/>
          <w:sz w:val="20"/>
          <w:szCs w:val="20"/>
          <w:color w:val="auto"/>
        </w:rPr>
        <w:t>. The terms of all Awards shall comply, to the extent applicable, with Sections 260.140.41 and 260.140.42 of the California Code of Regulations.</w:t>
      </w:r>
    </w:p>
    <w:p>
      <w:pPr>
        <w:spacing w:after="0" w:line="159" w:lineRule="exact"/>
        <w:rPr>
          <w:rFonts w:ascii="Times New Roman" w:cs="Times New Roman" w:eastAsia="Times New Roman" w:hAnsi="Times New Roman"/>
          <w:sz w:val="20"/>
          <w:szCs w:val="20"/>
          <w:color w:val="auto"/>
        </w:rPr>
      </w:pPr>
    </w:p>
    <w:p>
      <w:pPr>
        <w:ind w:left="720" w:hanging="203"/>
        <w:spacing w:after="0"/>
        <w:tabs>
          <w:tab w:leader="none" w:pos="72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Requirement to Provide Information to California Participants</w:t>
      </w:r>
      <w:r>
        <w:rPr>
          <w:rFonts w:ascii="Times New Roman" w:cs="Times New Roman" w:eastAsia="Times New Roman" w:hAnsi="Times New Roman"/>
          <w:sz w:val="20"/>
          <w:szCs w:val="20"/>
          <w:color w:val="auto"/>
        </w:rPr>
        <w:t>. The Company shall provide to each California</w:t>
      </w:r>
    </w:p>
    <w:p>
      <w:pPr>
        <w:spacing w:after="0" w:line="8" w:lineRule="exact"/>
        <w:rPr>
          <w:rFonts w:ascii="Times New Roman" w:cs="Times New Roman" w:eastAsia="Times New Roman" w:hAnsi="Times New Roman"/>
          <w:sz w:val="20"/>
          <w:szCs w:val="20"/>
          <w:color w:val="auto"/>
        </w:rPr>
      </w:pPr>
    </w:p>
    <w:p>
      <w:pPr>
        <w:spacing w:after="0" w:line="24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not less frequently than annually, copies of annual financial statements (which need not be audited). The Company shall not be required to provide such statements to key persons whose duties in connection with the Company assure their access to equivalent information. In addition, this information requirement shall not apply to any plan or agreement that complies with all conditions of Rule 701 of the Securities Act of 1933, as amended (“</w:t>
      </w:r>
      <w:r>
        <w:rPr>
          <w:rFonts w:ascii="Times New Roman" w:cs="Times New Roman" w:eastAsia="Times New Roman" w:hAnsi="Times New Roman"/>
          <w:sz w:val="20"/>
          <w:szCs w:val="20"/>
          <w:b w:val="1"/>
          <w:bCs w:val="1"/>
          <w:i w:val="1"/>
          <w:iCs w:val="1"/>
          <w:color w:val="auto"/>
        </w:rPr>
        <w:t>Rule 701</w:t>
      </w:r>
      <w:r>
        <w:rPr>
          <w:rFonts w:ascii="Times New Roman" w:cs="Times New Roman" w:eastAsia="Times New Roman" w:hAnsi="Times New Roman"/>
          <w:sz w:val="20"/>
          <w:szCs w:val="20"/>
          <w:color w:val="auto"/>
        </w:rPr>
        <w:t>”); provided that for purposes of determining such compliance, any registered domestic partner shall be considered a “family member” as that term is defined in Rule 701.</w:t>
      </w:r>
    </w:p>
    <w:p>
      <w:pPr>
        <w:spacing w:after="0" w:line="294" w:lineRule="exact"/>
        <w:rPr>
          <w:rFonts w:ascii="Times New Roman" w:cs="Times New Roman" w:eastAsia="Times New Roman" w:hAnsi="Times New Roman"/>
          <w:sz w:val="20"/>
          <w:szCs w:val="20"/>
          <w:color w:val="auto"/>
        </w:rPr>
      </w:pPr>
    </w:p>
    <w:p>
      <w:pPr>
        <w:ind w:left="52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327025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31" w:right="41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20"/>
          <w:szCs w:val="20"/>
          <w:b w:val="1"/>
          <w:bCs w:val="1"/>
          <w:color w:val="auto"/>
        </w:rPr>
        <w:t>INVIVYD,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2020 EQUITY INCENTIVE PLAN</w:t>
      </w:r>
    </w:p>
    <w:p>
      <w:pPr>
        <w:spacing w:after="0" w:line="8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b w:val="1"/>
          <w:bCs w:val="1"/>
          <w:color w:val="auto"/>
        </w:rPr>
        <w:t>STOCK OPTION</w:t>
      </w:r>
    </w:p>
    <w:p>
      <w:pPr>
        <w:spacing w:after="0" w:line="10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b w:val="1"/>
          <w:bCs w:val="1"/>
          <w:color w:val="auto"/>
        </w:rPr>
        <w:t>GRANT NOTICE</w:t>
      </w:r>
    </w:p>
    <w:p>
      <w:pPr>
        <w:spacing w:after="0" w:line="216" w:lineRule="exact"/>
        <w:rPr>
          <w:sz w:val="20"/>
          <w:szCs w:val="20"/>
          <w:color w:val="auto"/>
        </w:rPr>
      </w:pPr>
    </w:p>
    <w:p>
      <w:pPr>
        <w:ind w:right="140" w:firstLine="509"/>
        <w:spacing w:after="0" w:line="243" w:lineRule="auto"/>
        <w:rPr>
          <w:sz w:val="20"/>
          <w:szCs w:val="20"/>
          <w:color w:val="auto"/>
        </w:rPr>
      </w:pPr>
      <w:r>
        <w:rPr>
          <w:rFonts w:ascii="Times New Roman" w:cs="Times New Roman" w:eastAsia="Times New Roman" w:hAnsi="Times New Roman"/>
          <w:sz w:val="20"/>
          <w:szCs w:val="20"/>
          <w:color w:val="auto"/>
        </w:rPr>
        <w:t>Invivyd,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pursuant to its 2020 Equity Incentive Plan, as amended from time to time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has granted to the participant set forth below (“</w:t>
      </w:r>
      <w:r>
        <w:rPr>
          <w:rFonts w:ascii="Times New Roman" w:cs="Times New Roman" w:eastAsia="Times New Roman" w:hAnsi="Times New Roman"/>
          <w:sz w:val="20"/>
          <w:szCs w:val="20"/>
          <w:b w:val="1"/>
          <w:bCs w:val="1"/>
          <w:i w:val="1"/>
          <w:iCs w:val="1"/>
          <w:color w:val="auto"/>
        </w:rPr>
        <w:t>Participant</w:t>
      </w:r>
      <w:r>
        <w:rPr>
          <w:rFonts w:ascii="Times New Roman" w:cs="Times New Roman" w:eastAsia="Times New Roman" w:hAnsi="Times New Roman"/>
          <w:sz w:val="20"/>
          <w:szCs w:val="20"/>
          <w:color w:val="auto"/>
        </w:rPr>
        <w:t>”), an Option to purchase the number of shares of the Company’s Common Stock (referred to herein as “</w:t>
      </w:r>
      <w:r>
        <w:rPr>
          <w:rFonts w:ascii="Times New Roman" w:cs="Times New Roman" w:eastAsia="Times New Roman" w:hAnsi="Times New Roman"/>
          <w:sz w:val="20"/>
          <w:szCs w:val="20"/>
          <w:b w:val="1"/>
          <w:bCs w:val="1"/>
          <w:i w:val="1"/>
          <w:iCs w:val="1"/>
          <w:color w:val="auto"/>
        </w:rPr>
        <w:t>Shares</w:t>
      </w:r>
      <w:r>
        <w:rPr>
          <w:rFonts w:ascii="Times New Roman" w:cs="Times New Roman" w:eastAsia="Times New Roman" w:hAnsi="Times New Roman"/>
          <w:sz w:val="20"/>
          <w:szCs w:val="20"/>
          <w:color w:val="auto"/>
        </w:rPr>
        <w:t xml:space="preserve">”) set forth below. The Option is subject to all of the terms and conditions as set forth herein and in the Stock Option Agreement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i w:val="1"/>
          <w:iCs w:val="1"/>
          <w:color w:val="auto"/>
        </w:rPr>
        <w:t>Stock Option Agreement</w:t>
      </w:r>
      <w:r>
        <w:rPr>
          <w:rFonts w:ascii="Times New Roman" w:cs="Times New Roman" w:eastAsia="Times New Roman" w:hAnsi="Times New Roman"/>
          <w:sz w:val="20"/>
          <w:szCs w:val="20"/>
          <w:color w:val="auto"/>
        </w:rPr>
        <w:t>”) and the Plan, each of which is incorporated herein by reference. Unless otherwise defined herein, the terms defined in the Plan shall have the same defined meanings in this Stock Option Grant Notice and the Stock Option Agreement.</w:t>
      </w:r>
    </w:p>
    <w:p>
      <w:pPr>
        <w:spacing w:after="0" w:line="200" w:lineRule="exact"/>
        <w:rPr>
          <w:sz w:val="20"/>
          <w:szCs w:val="20"/>
          <w:color w:val="auto"/>
        </w:rPr>
      </w:pP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26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Participant:</w:t>
            </w:r>
          </w:p>
        </w:tc>
        <w:tc>
          <w:tcPr>
            <w:tcW w:w="8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6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Grant Date:</w:t>
            </w:r>
          </w:p>
        </w:tc>
        <w:tc>
          <w:tcPr>
            <w:tcW w:w="8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58"/>
        </w:trPr>
        <w:tc>
          <w:tcPr>
            <w:tcW w:w="2680" w:type="dxa"/>
            <w:vAlign w:val="bottom"/>
            <w:vMerge w:val="continue"/>
          </w:tcPr>
          <w:p>
            <w:pPr>
              <w:spacing w:after="0"/>
              <w:rPr>
                <w:sz w:val="24"/>
                <w:szCs w:val="24"/>
                <w:color w:val="auto"/>
              </w:rPr>
            </w:pPr>
          </w:p>
        </w:tc>
        <w:tc>
          <w:tcPr>
            <w:tcW w:w="8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6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Vesting Commencement Date:</w:t>
            </w:r>
          </w:p>
        </w:tc>
        <w:tc>
          <w:tcPr>
            <w:tcW w:w="8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58"/>
        </w:trPr>
        <w:tc>
          <w:tcPr>
            <w:tcW w:w="2680" w:type="dxa"/>
            <w:vAlign w:val="bottom"/>
            <w:vMerge w:val="continue"/>
          </w:tcPr>
          <w:p>
            <w:pPr>
              <w:spacing w:after="0"/>
              <w:rPr>
                <w:sz w:val="24"/>
                <w:szCs w:val="24"/>
                <w:color w:val="auto"/>
              </w:rPr>
            </w:pPr>
          </w:p>
        </w:tc>
        <w:tc>
          <w:tcPr>
            <w:tcW w:w="8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6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Exercise Price per Share:</w:t>
            </w:r>
          </w:p>
        </w:tc>
        <w:tc>
          <w:tcPr>
            <w:tcW w:w="8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58"/>
        </w:trPr>
        <w:tc>
          <w:tcPr>
            <w:tcW w:w="2680" w:type="dxa"/>
            <w:vAlign w:val="bottom"/>
            <w:vMerge w:val="continue"/>
          </w:tcPr>
          <w:p>
            <w:pPr>
              <w:spacing w:after="0"/>
              <w:rPr>
                <w:sz w:val="24"/>
                <w:szCs w:val="24"/>
                <w:color w:val="auto"/>
              </w:rPr>
            </w:pPr>
          </w:p>
        </w:tc>
        <w:tc>
          <w:tcPr>
            <w:tcW w:w="8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6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Total Number of Shares</w:t>
            </w:r>
          </w:p>
        </w:tc>
        <w:tc>
          <w:tcPr>
            <w:tcW w:w="8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2680" w:type="dxa"/>
            <w:vAlign w:val="bottom"/>
            <w:vMerge w:val="continue"/>
          </w:tcPr>
          <w:p>
            <w:pPr>
              <w:spacing w:after="0"/>
              <w:rPr>
                <w:sz w:val="24"/>
                <w:szCs w:val="24"/>
                <w:color w:val="auto"/>
              </w:rPr>
            </w:pPr>
          </w:p>
        </w:tc>
        <w:tc>
          <w:tcPr>
            <w:tcW w:w="8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6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Subject to Option:</w:t>
            </w:r>
          </w:p>
        </w:tc>
        <w:tc>
          <w:tcPr>
            <w:tcW w:w="85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65"/>
        </w:trPr>
        <w:tc>
          <w:tcPr>
            <w:tcW w:w="26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Expiration Date:</w:t>
            </w:r>
          </w:p>
        </w:tc>
        <w:tc>
          <w:tcPr>
            <w:tcW w:w="8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6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Type of Option:</w:t>
            </w:r>
          </w:p>
        </w:tc>
        <w:tc>
          <w:tcPr>
            <w:tcW w:w="8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2680" w:type="dxa"/>
            <w:vAlign w:val="bottom"/>
            <w:vMerge w:val="continue"/>
          </w:tcPr>
          <w:p>
            <w:pPr>
              <w:spacing w:after="0"/>
              <w:rPr>
                <w:sz w:val="24"/>
                <w:szCs w:val="24"/>
                <w:color w:val="auto"/>
              </w:rPr>
            </w:pPr>
          </w:p>
        </w:tc>
        <w:tc>
          <w:tcPr>
            <w:tcW w:w="85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[Incentive Stock Option/Non-Qualified Stock Option]</w:t>
            </w:r>
          </w:p>
        </w:tc>
        <w:tc>
          <w:tcPr>
            <w:tcW w:w="0" w:type="dxa"/>
            <w:vAlign w:val="bottom"/>
          </w:tcPr>
          <w:p>
            <w:pPr>
              <w:spacing w:after="0"/>
              <w:rPr>
                <w:sz w:val="1"/>
                <w:szCs w:val="1"/>
                <w:color w:val="auto"/>
              </w:rPr>
            </w:pPr>
          </w:p>
        </w:tc>
      </w:tr>
      <w:tr>
        <w:trPr>
          <w:trHeight w:val="615"/>
        </w:trPr>
        <w:tc>
          <w:tcPr>
            <w:tcW w:w="26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Vesting Schedule:</w:t>
            </w:r>
          </w:p>
        </w:tc>
        <w:tc>
          <w:tcPr>
            <w:tcW w:w="85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[Subject to the terms of the Agreement, the Option will vest as to 25% of the Shares on the first</w:t>
            </w:r>
          </w:p>
        </w:tc>
        <w:tc>
          <w:tcPr>
            <w:tcW w:w="0" w:type="dxa"/>
            <w:vAlign w:val="bottom"/>
          </w:tcPr>
          <w:p>
            <w:pPr>
              <w:spacing w:after="0"/>
              <w:rPr>
                <w:sz w:val="1"/>
                <w:szCs w:val="1"/>
                <w:color w:val="auto"/>
              </w:rPr>
            </w:pPr>
          </w:p>
        </w:tc>
      </w:tr>
      <w:tr>
        <w:trPr>
          <w:trHeight w:val="220"/>
        </w:trPr>
        <w:tc>
          <w:tcPr>
            <w:tcW w:w="2680" w:type="dxa"/>
            <w:vAlign w:val="bottom"/>
          </w:tcPr>
          <w:p>
            <w:pPr>
              <w:spacing w:after="0"/>
              <w:rPr>
                <w:sz w:val="19"/>
                <w:szCs w:val="19"/>
                <w:color w:val="auto"/>
              </w:rPr>
            </w:pPr>
          </w:p>
        </w:tc>
        <w:tc>
          <w:tcPr>
            <w:tcW w:w="8540" w:type="dxa"/>
            <w:vAlign w:val="bottom"/>
          </w:tcPr>
          <w:p>
            <w:pPr>
              <w:ind w:left="140"/>
              <w:spacing w:after="0" w:line="220" w:lineRule="exact"/>
              <w:rPr>
                <w:sz w:val="20"/>
                <w:szCs w:val="20"/>
                <w:color w:val="auto"/>
              </w:rPr>
            </w:pPr>
            <w:r>
              <w:rPr>
                <w:rFonts w:ascii="Times New Roman" w:cs="Times New Roman" w:eastAsia="Times New Roman" w:hAnsi="Times New Roman"/>
                <w:sz w:val="20"/>
                <w:szCs w:val="20"/>
                <w:color w:val="auto"/>
                <w:w w:val="99"/>
              </w:rPr>
              <w:t>anniversary of the vesting commencement date set forth above (the “</w:t>
            </w:r>
            <w:r>
              <w:rPr>
                <w:rFonts w:ascii="Times New Roman" w:cs="Times New Roman" w:eastAsia="Times New Roman" w:hAnsi="Times New Roman"/>
                <w:sz w:val="20"/>
                <w:szCs w:val="20"/>
                <w:b w:val="1"/>
                <w:bCs w:val="1"/>
                <w:i w:val="1"/>
                <w:iCs w:val="1"/>
                <w:color w:val="auto"/>
                <w:w w:val="99"/>
              </w:rPr>
              <w:t>Vesting Commencement Date</w:t>
            </w:r>
            <w:r>
              <w:rPr>
                <w:rFonts w:ascii="Times New Roman" w:cs="Times New Roman" w:eastAsia="Times New Roman" w:hAnsi="Times New Roman"/>
                <w:sz w:val="20"/>
                <w:szCs w:val="20"/>
                <w:color w:val="auto"/>
                <w:w w:val="99"/>
              </w:rPr>
              <w:t>”</w:t>
            </w:r>
            <w:r>
              <w:rPr>
                <w:rFonts w:ascii="Times New Roman" w:cs="Times New Roman" w:eastAsia="Times New Roman" w:hAnsi="Times New Roman"/>
                <w:sz w:val="20"/>
                <w:szCs w:val="20"/>
                <w:b w:val="1"/>
                <w:bCs w:val="1"/>
                <w:color w:val="auto"/>
                <w:w w:val="99"/>
              </w:rPr>
              <w:t>)</w:t>
            </w:r>
            <w:r>
              <w:rPr>
                <w:rFonts w:ascii="Times New Roman" w:cs="Times New Roman" w:eastAsia="Times New Roman" w:hAnsi="Times New Roman"/>
                <w:sz w:val="20"/>
                <w:szCs w:val="20"/>
                <w:color w:val="auto"/>
                <w:w w:val="99"/>
              </w:rPr>
              <w:t xml:space="preserve"> and</w:t>
            </w:r>
          </w:p>
        </w:tc>
        <w:tc>
          <w:tcPr>
            <w:tcW w:w="0" w:type="dxa"/>
            <w:vAlign w:val="bottom"/>
          </w:tcPr>
          <w:p>
            <w:pPr>
              <w:spacing w:after="0"/>
              <w:rPr>
                <w:sz w:val="1"/>
                <w:szCs w:val="1"/>
                <w:color w:val="auto"/>
              </w:rPr>
            </w:pPr>
          </w:p>
        </w:tc>
      </w:tr>
      <w:tr>
        <w:trPr>
          <w:trHeight w:val="203"/>
        </w:trPr>
        <w:tc>
          <w:tcPr>
            <w:tcW w:w="2680" w:type="dxa"/>
            <w:vAlign w:val="bottom"/>
          </w:tcPr>
          <w:p>
            <w:pPr>
              <w:spacing w:after="0"/>
              <w:rPr>
                <w:sz w:val="17"/>
                <w:szCs w:val="17"/>
                <w:color w:val="auto"/>
              </w:rPr>
            </w:pPr>
          </w:p>
        </w:tc>
        <w:tc>
          <w:tcPr>
            <w:tcW w:w="8540" w:type="dxa"/>
            <w:vAlign w:val="bottom"/>
          </w:tcPr>
          <w:p>
            <w:pPr>
              <w:ind w:left="140"/>
              <w:spacing w:after="0" w:line="203" w:lineRule="exact"/>
              <w:rPr>
                <w:sz w:val="20"/>
                <w:szCs w:val="20"/>
                <w:color w:val="auto"/>
              </w:rPr>
            </w:pPr>
            <w:r>
              <w:rPr>
                <w:rFonts w:ascii="Times New Roman" w:cs="Times New Roman" w:eastAsia="Times New Roman" w:hAnsi="Times New Roman"/>
                <w:sz w:val="20"/>
                <w:szCs w:val="20"/>
                <w:color w:val="auto"/>
              </w:rPr>
              <w:t>as to 1/48th of the Shares upon Participant’s completion of each successive month of continuous service</w:t>
            </w:r>
          </w:p>
        </w:tc>
        <w:tc>
          <w:tcPr>
            <w:tcW w:w="0" w:type="dxa"/>
            <w:vAlign w:val="bottom"/>
          </w:tcPr>
          <w:p>
            <w:pPr>
              <w:spacing w:after="0"/>
              <w:rPr>
                <w:sz w:val="1"/>
                <w:szCs w:val="1"/>
                <w:color w:val="auto"/>
              </w:rPr>
            </w:pPr>
          </w:p>
        </w:tc>
      </w:tr>
      <w:tr>
        <w:trPr>
          <w:trHeight w:val="203"/>
        </w:trPr>
        <w:tc>
          <w:tcPr>
            <w:tcW w:w="2680" w:type="dxa"/>
            <w:vAlign w:val="bottom"/>
          </w:tcPr>
          <w:p>
            <w:pPr>
              <w:spacing w:after="0"/>
              <w:rPr>
                <w:sz w:val="17"/>
                <w:szCs w:val="17"/>
                <w:color w:val="auto"/>
              </w:rPr>
            </w:pPr>
          </w:p>
        </w:tc>
        <w:tc>
          <w:tcPr>
            <w:tcW w:w="8540" w:type="dxa"/>
            <w:vAlign w:val="bottom"/>
          </w:tcPr>
          <w:p>
            <w:pPr>
              <w:ind w:left="140"/>
              <w:spacing w:after="0" w:line="203" w:lineRule="exact"/>
              <w:rPr>
                <w:sz w:val="20"/>
                <w:szCs w:val="20"/>
                <w:color w:val="auto"/>
              </w:rPr>
            </w:pPr>
            <w:r>
              <w:rPr>
                <w:rFonts w:ascii="Times New Roman" w:cs="Times New Roman" w:eastAsia="Times New Roman" w:hAnsi="Times New Roman"/>
                <w:sz w:val="20"/>
                <w:szCs w:val="20"/>
                <w:color w:val="auto"/>
              </w:rPr>
              <w:t>as a Service Provider after the first anniversary of the Vesting Commencement Date.] [Notwithstanding</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8540" w:type="dxa"/>
            <w:vAlign w:val="bottom"/>
          </w:tcPr>
          <w:p>
            <w:pPr>
              <w:ind w:left="140"/>
              <w:spacing w:after="0" w:line="216" w:lineRule="exact"/>
              <w:rPr>
                <w:sz w:val="20"/>
                <w:szCs w:val="20"/>
                <w:color w:val="auto"/>
              </w:rPr>
            </w:pPr>
            <w:r>
              <w:rPr>
                <w:rFonts w:ascii="Times New Roman" w:cs="Times New Roman" w:eastAsia="Times New Roman" w:hAnsi="Times New Roman"/>
                <w:sz w:val="20"/>
                <w:szCs w:val="20"/>
                <w:color w:val="auto"/>
              </w:rPr>
              <w:t>the foregoing, the Option will vest in full immediately prior to a Change in Control, subject to</w:t>
            </w:r>
          </w:p>
        </w:tc>
        <w:tc>
          <w:tcPr>
            <w:tcW w:w="0" w:type="dxa"/>
            <w:vAlign w:val="bottom"/>
          </w:tcPr>
          <w:p>
            <w:pPr>
              <w:spacing w:after="0"/>
              <w:rPr>
                <w:sz w:val="1"/>
                <w:szCs w:val="1"/>
                <w:color w:val="auto"/>
              </w:rPr>
            </w:pPr>
          </w:p>
        </w:tc>
      </w:tr>
      <w:tr>
        <w:trPr>
          <w:trHeight w:val="258"/>
        </w:trPr>
        <w:tc>
          <w:tcPr>
            <w:tcW w:w="2680" w:type="dxa"/>
            <w:vAlign w:val="bottom"/>
          </w:tcPr>
          <w:p>
            <w:pPr>
              <w:spacing w:after="0"/>
              <w:rPr>
                <w:sz w:val="22"/>
                <w:szCs w:val="22"/>
                <w:color w:val="auto"/>
              </w:rPr>
            </w:pPr>
          </w:p>
        </w:tc>
        <w:tc>
          <w:tcPr>
            <w:tcW w:w="8540" w:type="dxa"/>
            <w:vAlign w:val="bottom"/>
          </w:tcPr>
          <w:p>
            <w:pPr>
              <w:ind w:left="140"/>
              <w:spacing w:after="0"/>
              <w:rPr>
                <w:sz w:val="20"/>
                <w:szCs w:val="20"/>
                <w:color w:val="auto"/>
              </w:rPr>
            </w:pPr>
            <w:r>
              <w:rPr>
                <w:rFonts w:ascii="Times New Roman" w:cs="Times New Roman" w:eastAsia="Times New Roman" w:hAnsi="Times New Roman"/>
                <w:sz w:val="20"/>
                <w:szCs w:val="20"/>
                <w:color w:val="auto"/>
                <w:w w:val="99"/>
              </w:rPr>
              <w:t>Participant’s continued service as a Service Provider until immediately prior to such Change in Control.]</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20"/>
          <w:szCs w:val="20"/>
          <w:color w:val="auto"/>
        </w:rPr>
        <w:t>By his or her signature and the Company’s signature below, Participant agrees to be bound by the terms and conditions of the Plan, the Stock Option Agreement and this Grant Notice. Participant has reviewed the Stock Option Agreement, the Plan and this Grant Notice in their entirety, has had an opportunity to obtain the advice of counsel prior to executing this Grant Notice and fully understands all provisions of this Grant Notice, the Stock Option Agreement and the Plan. Participant hereby agrees to accept as binding, conclusive and final all decisions or interpretations of the Administrator of the Plan upon any questions arising under the Plan or the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117" w:name="page118"/>
    <w:bookmarkEnd w:id="1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684530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tabs>
          <w:tab w:leader="none" w:pos="5580" w:val="left"/>
        </w:tabs>
        <w:rPr>
          <w:sz w:val="20"/>
          <w:szCs w:val="20"/>
          <w:color w:val="auto"/>
        </w:rPr>
      </w:pPr>
      <w:r>
        <w:rPr>
          <w:rFonts w:ascii="Times New Roman" w:cs="Times New Roman" w:eastAsia="Times New Roman" w:hAnsi="Times New Roman"/>
          <w:sz w:val="20"/>
          <w:szCs w:val="20"/>
          <w:b w:val="1"/>
          <w:bCs w:val="1"/>
          <w:color w:val="auto"/>
        </w:rPr>
        <w:t>INVIVYD, INC.:</w:t>
      </w:r>
      <w:r>
        <w:rPr>
          <w:sz w:val="20"/>
          <w:szCs w:val="20"/>
          <w:color w:val="auto"/>
        </w:rPr>
        <w:tab/>
      </w:r>
      <w:r>
        <w:rPr>
          <w:rFonts w:ascii="Times New Roman" w:cs="Times New Roman" w:eastAsia="Times New Roman" w:hAnsi="Times New Roman"/>
          <w:sz w:val="18"/>
          <w:szCs w:val="18"/>
          <w:b w:val="1"/>
          <w:bCs w:val="1"/>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wp:posOffset>
            </wp:positionH>
            <wp:positionV relativeFrom="paragraph">
              <wp:posOffset>151130</wp:posOffset>
            </wp:positionV>
            <wp:extent cx="688340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3">
                      <a:extLst>
                        <a:ext uri="{28A0092B-C50C-407E-A947-70E740481C1C}"/>
                      </a:extLst>
                    </a:blip>
                    <a:srcRect/>
                    <a:stretch>
                      <a:fillRect/>
                    </a:stretch>
                  </pic:blipFill>
                  <pic:spPr bwMode="auto">
                    <a:xfrm>
                      <a:off x="0" y="0"/>
                      <a:ext cx="6883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tabs>
          <w:tab w:leader="none" w:pos="61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151130</wp:posOffset>
            </wp:positionV>
            <wp:extent cx="640334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4">
                      <a:extLst>
                        <a:ext uri="{28A0092B-C50C-407E-A947-70E740481C1C}"/>
                      </a:extLst>
                    </a:blip>
                    <a:srcRect/>
                    <a:stretch>
                      <a:fillRect/>
                    </a:stretch>
                  </pic:blipFill>
                  <pic:spPr bwMode="auto">
                    <a:xfrm>
                      <a:off x="0" y="0"/>
                      <a:ext cx="64033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609600</wp:posOffset>
            </wp:positionH>
            <wp:positionV relativeFrom="paragraph">
              <wp:posOffset>151130</wp:posOffset>
            </wp:positionV>
            <wp:extent cx="304292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5">
                      <a:extLst>
                        <a:ext uri="{28A0092B-C50C-407E-A947-70E740481C1C}"/>
                      </a:extLst>
                    </a:blip>
                    <a:srcRect/>
                    <a:stretch>
                      <a:fillRect/>
                    </a:stretch>
                  </pic:blipFill>
                  <pic:spPr bwMode="auto">
                    <a:xfrm>
                      <a:off x="0" y="0"/>
                      <a:ext cx="304292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1167130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761" w:right="1440" w:bottom="1440" w:gutter="0" w:footer="0" w:header="0"/>
        </w:sectPr>
      </w:pPr>
    </w:p>
    <w:bookmarkStart w:id="119" w:name="page120"/>
    <w:bookmarkEnd w:id="119"/>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STOCK OPTION AGREEMENT</w:t>
      </w:r>
    </w:p>
    <w:p>
      <w:pPr>
        <w:spacing w:after="0" w:line="216"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20"/>
          <w:szCs w:val="20"/>
          <w:color w:val="auto"/>
        </w:rPr>
        <w:t>Invivyd,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has granted to Participant an Option under the Company’s 2020 Equity Incentive Plan, as amended from time to time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to purchase the number of Shares indicated in the Stock Option Grant Notice (</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 xml:space="preserve">Grant </w:t>
      </w:r>
      <w:r>
        <w:rPr>
          <w:rFonts w:ascii="Times New Roman" w:cs="Times New Roman" w:eastAsia="Times New Roman" w:hAnsi="Times New Roman"/>
          <w:sz w:val="20"/>
          <w:szCs w:val="20"/>
          <w:b w:val="1"/>
          <w:bCs w:val="1"/>
          <w:i w:val="1"/>
          <w:iCs w:val="1"/>
          <w:color w:val="auto"/>
        </w:rPr>
        <w:t>Notice”</w:t>
      </w:r>
      <w:r>
        <w:rPr>
          <w:rFonts w:ascii="Times New Roman" w:cs="Times New Roman" w:eastAsia="Times New Roman" w:hAnsi="Times New Roman"/>
          <w:sz w:val="20"/>
          <w:szCs w:val="20"/>
          <w:color w:val="auto"/>
        </w:rPr>
        <w:t>) to which this Stock Option Agreement (this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is attached.</w:t>
      </w:r>
    </w:p>
    <w:p>
      <w:pPr>
        <w:spacing w:after="0" w:line="385"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10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220" w:lineRule="exact"/>
        <w:rPr>
          <w:sz w:val="20"/>
          <w:szCs w:val="20"/>
          <w:color w:val="auto"/>
        </w:rPr>
      </w:pPr>
    </w:p>
    <w:p>
      <w:pPr>
        <w:ind w:right="580" w:firstLine="509"/>
        <w:spacing w:after="0" w:line="255" w:lineRule="auto"/>
        <w:rPr>
          <w:sz w:val="20"/>
          <w:szCs w:val="20"/>
          <w:color w:val="auto"/>
        </w:rPr>
      </w:pPr>
      <w:r>
        <w:rPr>
          <w:rFonts w:ascii="Times New Roman" w:cs="Times New Roman" w:eastAsia="Times New Roman" w:hAnsi="Times New Roman"/>
          <w:sz w:val="20"/>
          <w:szCs w:val="20"/>
          <w:color w:val="auto"/>
        </w:rPr>
        <w:t xml:space="preserve">1.1 </w:t>
      </w: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Capitalized terms not specifically defined herein shall have the meanings specified in the Plan and the Grant Notice.</w:t>
      </w:r>
    </w:p>
    <w:p>
      <w:pPr>
        <w:spacing w:after="0" w:line="173"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20"/>
          <w:szCs w:val="20"/>
          <w:color w:val="auto"/>
        </w:rPr>
        <w:t xml:space="preserve">1.2 </w:t>
      </w:r>
      <w:r>
        <w:rPr>
          <w:rFonts w:ascii="Times New Roman" w:cs="Times New Roman" w:eastAsia="Times New Roman" w:hAnsi="Times New Roman"/>
          <w:sz w:val="20"/>
          <w:szCs w:val="20"/>
          <w:u w:val="single" w:color="auto"/>
          <w:color w:val="auto"/>
        </w:rPr>
        <w:t>Incorporation of Terms of Plan</w:t>
      </w:r>
      <w:r>
        <w:rPr>
          <w:rFonts w:ascii="Times New Roman" w:cs="Times New Roman" w:eastAsia="Times New Roman" w:hAnsi="Times New Roman"/>
          <w:sz w:val="20"/>
          <w:szCs w:val="20"/>
          <w:color w:val="auto"/>
        </w:rPr>
        <w:t>. The Option is subject to the terms and conditions of the Plan which are incorporated herein by reference. In the event of a conflict between the terms of the Agreement and the Plan, the terms of the Plan shall control. Participant hereby agrees to execute such further instruments and to take such further action as the Company requests to carry out the purposes and intent of this Agreement and the Plan, including, without limitation, restrictions on the transferability of shares of Common Stock, the right of the Company to repurchase shares of Common Stock, the right of the Company to require that shares of Common Stock be transferred in the event of certain transactions, tag-along rights, bring-along rights, redemption and co-sale rights and voting requirements in accordance with Section 10.15 of the Plan.</w:t>
      </w:r>
    </w:p>
    <w:p>
      <w:pPr>
        <w:spacing w:after="0" w:line="186"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20"/>
          <w:szCs w:val="20"/>
          <w:color w:val="auto"/>
        </w:rPr>
        <w:t xml:space="preserve">1.3 </w:t>
      </w:r>
      <w:r>
        <w:rPr>
          <w:rFonts w:ascii="Times New Roman" w:cs="Times New Roman" w:eastAsia="Times New Roman" w:hAnsi="Times New Roman"/>
          <w:sz w:val="20"/>
          <w:szCs w:val="20"/>
          <w:u w:val="single" w:color="auto"/>
          <w:color w:val="auto"/>
        </w:rPr>
        <w:t>Grant of Option</w:t>
      </w:r>
      <w:r>
        <w:rPr>
          <w:rFonts w:ascii="Times New Roman" w:cs="Times New Roman" w:eastAsia="Times New Roman" w:hAnsi="Times New Roman"/>
          <w:sz w:val="20"/>
          <w:szCs w:val="20"/>
          <w:color w:val="auto"/>
        </w:rPr>
        <w:t>. In consideration of Participant’s past and/or continued employment with or service to the Company or a parent or subsidiary and for other good and valuable consideration, effective as of the grant date set forth in the Grant Notice (the “</w:t>
      </w:r>
      <w:r>
        <w:rPr>
          <w:rFonts w:ascii="Times New Roman" w:cs="Times New Roman" w:eastAsia="Times New Roman" w:hAnsi="Times New Roman"/>
          <w:sz w:val="20"/>
          <w:szCs w:val="20"/>
          <w:b w:val="1"/>
          <w:bCs w:val="1"/>
          <w:i w:val="1"/>
          <w:iCs w:val="1"/>
          <w:color w:val="auto"/>
        </w:rPr>
        <w:t>Grant Date</w:t>
      </w:r>
      <w:r>
        <w:rPr>
          <w:rFonts w:ascii="Times New Roman" w:cs="Times New Roman" w:eastAsia="Times New Roman" w:hAnsi="Times New Roman"/>
          <w:sz w:val="20"/>
          <w:szCs w:val="20"/>
          <w:color w:val="auto"/>
        </w:rPr>
        <w:t>”), the Company irrevocably grants to Participant an Option to purchase any part or all of an aggregate of the number of Shares set forth in the Grant Notice, upon the terms and conditions set forth in the Plan and this Agreement. Unless designated as a Non-Qualified Stock Option in the Grant Notice, the Option shall be an Incentive Stock Option to the maximum extent permitted by law.</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PERIOD OF EXERCISABILITY</w:t>
      </w:r>
    </w:p>
    <w:p>
      <w:pPr>
        <w:spacing w:after="0" w:line="2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 xml:space="preserve">2.1 </w:t>
      </w:r>
      <w:r>
        <w:rPr>
          <w:rFonts w:ascii="Times New Roman" w:cs="Times New Roman" w:eastAsia="Times New Roman" w:hAnsi="Times New Roman"/>
          <w:sz w:val="20"/>
          <w:szCs w:val="20"/>
          <w:u w:val="single" w:color="auto"/>
          <w:color w:val="auto"/>
        </w:rPr>
        <w:t>Vesting; Exercisability</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200" w:firstLine="1154"/>
        <w:spacing w:after="0" w:line="244" w:lineRule="auto"/>
        <w:tabs>
          <w:tab w:leader="none" w:pos="1415"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 2.1(b), the Option shall become vested in such amounts and at such times as are set forth in the vesting schedule in the Grant Notice (the “</w:t>
      </w:r>
      <w:r>
        <w:rPr>
          <w:rFonts w:ascii="Times New Roman" w:cs="Times New Roman" w:eastAsia="Times New Roman" w:hAnsi="Times New Roman"/>
          <w:sz w:val="20"/>
          <w:szCs w:val="20"/>
          <w:b w:val="1"/>
          <w:bCs w:val="1"/>
          <w:i w:val="1"/>
          <w:iCs w:val="1"/>
          <w:color w:val="auto"/>
        </w:rPr>
        <w:t>Vesting Schedule</w:t>
      </w:r>
      <w:r>
        <w:rPr>
          <w:rFonts w:ascii="Times New Roman" w:cs="Times New Roman" w:eastAsia="Times New Roman" w:hAnsi="Times New Roman"/>
          <w:sz w:val="20"/>
          <w:szCs w:val="20"/>
          <w:color w:val="auto"/>
        </w:rPr>
        <w:t>”), provided that any Share as to which the Option would otherwise be fractionally vested will be accumulated and will vest only when a whole Share has accumulated. The installments provided for in the Vesting Schedule are cumulative.</w:t>
      </w:r>
    </w:p>
    <w:p>
      <w:pPr>
        <w:spacing w:after="0" w:line="185" w:lineRule="exact"/>
        <w:rPr>
          <w:rFonts w:ascii="Times New Roman" w:cs="Times New Roman" w:eastAsia="Times New Roman" w:hAnsi="Times New Roman"/>
          <w:sz w:val="20"/>
          <w:szCs w:val="20"/>
          <w:color w:val="auto"/>
        </w:rPr>
      </w:pPr>
    </w:p>
    <w:p>
      <w:pPr>
        <w:ind w:right="40" w:firstLine="1154"/>
        <w:spacing w:after="0" w:line="274" w:lineRule="auto"/>
        <w:tabs>
          <w:tab w:leader="none" w:pos="1426"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portion of the Option which has not become vested at the date Participant incurs a Termination of Service shall thereafter become vested and any such unvested portion shall automatically be forfeited upon such Termination of Service, in each case, except as may be otherwise provided by the Administrator or as set forth in another written agreement between the Company and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120" w:name="page121"/>
    <w:bookmarkEnd w:id="120"/>
    <w:p>
      <w:pPr>
        <w:ind w:right="20" w:firstLine="1154"/>
        <w:spacing w:after="0" w:line="242" w:lineRule="auto"/>
        <w:tabs>
          <w:tab w:leader="none" w:pos="1415"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portion of the Option or the entire Option may be exercised in whole or in part at any time prior to the time when the Option or portion thereof becomes unexercisable under Section 2.2, provided that each unvested Share with respect to which the Option is exercised (a “</w:t>
      </w:r>
      <w:r>
        <w:rPr>
          <w:rFonts w:ascii="Times New Roman" w:cs="Times New Roman" w:eastAsia="Times New Roman" w:hAnsi="Times New Roman"/>
          <w:sz w:val="20"/>
          <w:szCs w:val="20"/>
          <w:b w:val="1"/>
          <w:bCs w:val="1"/>
          <w:i w:val="1"/>
          <w:iCs w:val="1"/>
          <w:color w:val="auto"/>
        </w:rPr>
        <w:t>Restricted Share</w:t>
      </w:r>
      <w:r>
        <w:rPr>
          <w:rFonts w:ascii="Times New Roman" w:cs="Times New Roman" w:eastAsia="Times New Roman" w:hAnsi="Times New Roman"/>
          <w:sz w:val="20"/>
          <w:szCs w:val="20"/>
          <w:color w:val="auto"/>
        </w:rPr>
        <w:t>”) shall be subject to the Company Repurchase Right (as defined below) for so long as the Option shall remain unvested with respect to such Share under the terms of this Agreement. The Restricted Shares shall be released from the Company Repurchase Right as set forth in Section 4.1(d). All Shares with respect to which the Option is exercised shall be assumed first to be vested Shares and, to the extent any such Shares are not vested at the time of exercise, to vest under the terms of this Agreement before any unexercised portion of the Option, unless otherwise provided by the Administrator.</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 xml:space="preserve">2.2 </w:t>
      </w:r>
      <w:r>
        <w:rPr>
          <w:rFonts w:ascii="Times New Roman" w:cs="Times New Roman" w:eastAsia="Times New Roman" w:hAnsi="Times New Roman"/>
          <w:sz w:val="20"/>
          <w:szCs w:val="20"/>
          <w:u w:val="single" w:color="auto"/>
          <w:color w:val="auto"/>
        </w:rPr>
        <w:t>Expiration of Option</w:t>
      </w:r>
      <w:r>
        <w:rPr>
          <w:rFonts w:ascii="Times New Roman" w:cs="Times New Roman" w:eastAsia="Times New Roman" w:hAnsi="Times New Roman"/>
          <w:sz w:val="20"/>
          <w:szCs w:val="20"/>
          <w:color w:val="auto"/>
        </w:rPr>
        <w:t>. The Option may not be exercised to any extent by anyone after the first to occur of the following events:</w:t>
      </w:r>
    </w:p>
    <w:p>
      <w:pPr>
        <w:spacing w:after="0" w:line="108" w:lineRule="exact"/>
        <w:rPr>
          <w:sz w:val="20"/>
          <w:szCs w:val="20"/>
          <w:color w:val="auto"/>
        </w:rPr>
      </w:pPr>
    </w:p>
    <w:p>
      <w:pPr>
        <w:ind w:left="1420" w:hanging="266"/>
        <w:spacing w:after="0"/>
        <w:tabs>
          <w:tab w:leader="none" w:pos="142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Expiration Date set forth in the Grant Notice;</w:t>
      </w:r>
    </w:p>
    <w:p>
      <w:pPr>
        <w:spacing w:after="0" w:line="215" w:lineRule="exact"/>
        <w:rPr>
          <w:rFonts w:ascii="Times New Roman" w:cs="Times New Roman" w:eastAsia="Times New Roman" w:hAnsi="Times New Roman"/>
          <w:sz w:val="20"/>
          <w:szCs w:val="20"/>
          <w:color w:val="auto"/>
        </w:rPr>
      </w:pPr>
    </w:p>
    <w:p>
      <w:pPr>
        <w:ind w:right="480" w:firstLine="1154"/>
        <w:spacing w:after="0" w:line="269" w:lineRule="auto"/>
        <w:tabs>
          <w:tab w:leader="none" w:pos="1426"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expiration of three months following the date of Participant’s Termination of Service, unless such Termination of Service occurs by reason of Participant’s death, Disability or Cause;</w:t>
      </w:r>
    </w:p>
    <w:p>
      <w:pPr>
        <w:spacing w:after="0" w:line="145" w:lineRule="exact"/>
        <w:rPr>
          <w:rFonts w:ascii="Times New Roman" w:cs="Times New Roman" w:eastAsia="Times New Roman" w:hAnsi="Times New Roman"/>
          <w:sz w:val="20"/>
          <w:szCs w:val="20"/>
          <w:color w:val="auto"/>
        </w:rPr>
      </w:pPr>
    </w:p>
    <w:p>
      <w:pPr>
        <w:ind w:left="1420" w:hanging="266"/>
        <w:spacing w:after="0"/>
        <w:tabs>
          <w:tab w:leader="none" w:pos="142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expiration of one year following the date of Participant’s Termination of Service by reason of Participant’s death or</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Disability;</w:t>
      </w:r>
    </w:p>
    <w:p>
      <w:pPr>
        <w:spacing w:after="0" w:line="193" w:lineRule="exact"/>
        <w:rPr>
          <w:rFonts w:ascii="Times New Roman" w:cs="Times New Roman" w:eastAsia="Times New Roman" w:hAnsi="Times New Roman"/>
          <w:sz w:val="20"/>
          <w:szCs w:val="20"/>
          <w:color w:val="auto"/>
        </w:rPr>
      </w:pPr>
    </w:p>
    <w:p>
      <w:pPr>
        <w:ind w:left="1440" w:hanging="286"/>
        <w:spacing w:after="0"/>
        <w:tabs>
          <w:tab w:leader="none" w:pos="144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of Participant’s Termination of Service for Cause; or</w:t>
      </w:r>
    </w:p>
    <w:p>
      <w:pPr>
        <w:spacing w:after="0" w:line="215" w:lineRule="exact"/>
        <w:rPr>
          <w:rFonts w:ascii="Times New Roman" w:cs="Times New Roman" w:eastAsia="Times New Roman" w:hAnsi="Times New Roman"/>
          <w:sz w:val="20"/>
          <w:szCs w:val="20"/>
          <w:color w:val="auto"/>
        </w:rPr>
      </w:pPr>
    </w:p>
    <w:p>
      <w:pPr>
        <w:ind w:left="1420" w:hanging="266"/>
        <w:spacing w:after="0"/>
        <w:tabs>
          <w:tab w:leader="none" w:pos="142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unvested portion of the Option, the date of Participant’s Termination of Service for any reason.</w:t>
      </w:r>
    </w:p>
    <w:p>
      <w:pPr>
        <w:spacing w:after="0" w:line="216" w:lineRule="exact"/>
        <w:rPr>
          <w:sz w:val="20"/>
          <w:szCs w:val="20"/>
          <w:color w:val="auto"/>
        </w:rPr>
      </w:pPr>
    </w:p>
    <w:p>
      <w:pPr>
        <w:ind w:right="220" w:firstLine="1146"/>
        <w:spacing w:after="0" w:line="269" w:lineRule="auto"/>
        <w:rPr>
          <w:sz w:val="20"/>
          <w:szCs w:val="20"/>
          <w:color w:val="auto"/>
        </w:rPr>
      </w:pPr>
      <w:r>
        <w:rPr>
          <w:rFonts w:ascii="Times New Roman" w:cs="Times New Roman" w:eastAsia="Times New Roman" w:hAnsi="Times New Roman"/>
          <w:sz w:val="20"/>
          <w:szCs w:val="20"/>
          <w:color w:val="auto"/>
        </w:rPr>
        <w:t>Participant acknowledges that an Incentive Stock Option exercised more than three months after Participant’s termination of status as an Employee, other than by reason of death or Disability, will be taxed as a Non-Qualified Stock Option.</w:t>
      </w:r>
    </w:p>
    <w:p>
      <w:pPr>
        <w:spacing w:after="0" w:line="155" w:lineRule="exact"/>
        <w:rPr>
          <w:sz w:val="20"/>
          <w:szCs w:val="20"/>
          <w:color w:val="auto"/>
        </w:rPr>
      </w:pPr>
    </w:p>
    <w:p>
      <w:pPr>
        <w:ind w:firstLine="50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Cause</w:t>
      </w:r>
      <w:r>
        <w:rPr>
          <w:rFonts w:ascii="Times New Roman" w:cs="Times New Roman" w:eastAsia="Times New Roman" w:hAnsi="Times New Roman"/>
          <w:sz w:val="20"/>
          <w:szCs w:val="20"/>
          <w:color w:val="auto"/>
        </w:rPr>
        <w:t xml:space="preserve">,” means “Cause” (or any term of similar effect) as defined in Participant’s employment agreement with the Company if such an agreement exists and contains a definition of Cause (or term of similar effect), or, if no such agreement exists or such agreement does not contain a definition of Cause (or term of similar effect), then Cause shall include, but not be limited to: (i) Participant’s unauthorized use or disclosure of confidential information or trade secrets of the Company or any material breach of a written agreement between Participant and the Company, including without limitation a material breach of any employment, confidentiality, non-compete, non-solicit or similar agreement; (ii) Participant’s commission of, indictment for or the entry of a plea of guilty or </w:t>
      </w:r>
      <w:r>
        <w:rPr>
          <w:rFonts w:ascii="Times New Roman" w:cs="Times New Roman" w:eastAsia="Times New Roman" w:hAnsi="Times New Roman"/>
          <w:sz w:val="20"/>
          <w:szCs w:val="20"/>
          <w:i w:val="1"/>
          <w:iCs w:val="1"/>
          <w:color w:val="auto"/>
        </w:rPr>
        <w:t>nolo contendere</w:t>
      </w:r>
      <w:r>
        <w:rPr>
          <w:rFonts w:ascii="Times New Roman" w:cs="Times New Roman" w:eastAsia="Times New Roman" w:hAnsi="Times New Roman"/>
          <w:sz w:val="20"/>
          <w:szCs w:val="20"/>
          <w:color w:val="auto"/>
        </w:rPr>
        <w:t xml:space="preserve"> by Participant to, a felony under the laws of the United States or any state thereof or any crime involving dishonesty or moral turpitude (or any similar crime in any jurisdiction outside the United States); (iii) Participant’s negligence or willful misconduct in the performance of Participant’s duties or Participant’s willful or repeated failure or refusal to substantially perform assigned duties; (iv) any act of fraud, embezzlement, material misappropriation or dishonesty committed by Participant against the Company; or (v) any acts, omissions or statements by Participant which the Company determines to be materially detrimental or damaging to the reputation, operations, prospects or business relations of the Company.</w:t>
      </w:r>
    </w:p>
    <w:p>
      <w:pPr>
        <w:spacing w:after="0" w:line="187" w:lineRule="exact"/>
        <w:rPr>
          <w:sz w:val="20"/>
          <w:szCs w:val="20"/>
          <w:color w:val="auto"/>
        </w:rPr>
      </w:pPr>
    </w:p>
    <w:p>
      <w:pPr>
        <w:ind w:right="160" w:firstLine="509"/>
        <w:spacing w:after="0" w:line="244" w:lineRule="auto"/>
        <w:rPr>
          <w:sz w:val="20"/>
          <w:szCs w:val="20"/>
          <w:color w:val="auto"/>
        </w:rPr>
      </w:pPr>
      <w:r>
        <w:rPr>
          <w:rFonts w:ascii="Times New Roman" w:cs="Times New Roman" w:eastAsia="Times New Roman" w:hAnsi="Times New Roman"/>
          <w:sz w:val="20"/>
          <w:szCs w:val="20"/>
          <w:color w:val="auto"/>
        </w:rPr>
        <w:t xml:space="preserve">2.3 </w:t>
      </w:r>
      <w:r>
        <w:rPr>
          <w:rFonts w:ascii="Times New Roman" w:cs="Times New Roman" w:eastAsia="Times New Roman" w:hAnsi="Times New Roman"/>
          <w:sz w:val="20"/>
          <w:szCs w:val="20"/>
          <w:u w:val="single" w:color="auto"/>
          <w:color w:val="auto"/>
        </w:rPr>
        <w:t>Special Tax Consequences</w:t>
      </w:r>
      <w:r>
        <w:rPr>
          <w:rFonts w:ascii="Times New Roman" w:cs="Times New Roman" w:eastAsia="Times New Roman" w:hAnsi="Times New Roman"/>
          <w:sz w:val="20"/>
          <w:szCs w:val="20"/>
          <w:color w:val="auto"/>
        </w:rPr>
        <w:t>. If the Option is intended to be an Incentive Stock Option, Participant acknowledges that, to the extent that the aggregate fair market value (determined as of the time the Option is granted) of all Shares with respect to which Incentive Stock Options, including, without limitation, the Option, are first exercisable by Participant in any calendar year exceeds $100,000 (or such other limitation as imposed by Section 422(d) of the Code), the Option and such other options (or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121" w:name="page122"/>
    <w:bookmarkEnd w:id="121"/>
    <w:p>
      <w:pPr>
        <w:spacing w:after="0" w:line="242" w:lineRule="auto"/>
        <w:rPr>
          <w:sz w:val="20"/>
          <w:szCs w:val="20"/>
          <w:color w:val="auto"/>
        </w:rPr>
      </w:pPr>
      <w:r>
        <w:rPr>
          <w:rFonts w:ascii="Times New Roman" w:cs="Times New Roman" w:eastAsia="Times New Roman" w:hAnsi="Times New Roman"/>
          <w:sz w:val="20"/>
          <w:szCs w:val="20"/>
          <w:color w:val="auto"/>
        </w:rPr>
        <w:t>applicable portion thereof) shall be treated as not qualifying under Section 422 of the Code but rather shall be considered Non-Qualified Stock Options. Participant further acknowledges that the rule set forth in the preceding sentence shall be applied by taking Options and other “incentive stock options” into account in the order in which they were granted. Participant acknowledges that amendments or modifications made to the Option pursuant to the Plan will not be considered to materially or adversely affect Participant’s rights under the Option solely by reason of causing the Option to become a Non-Qualified Stock Option. Participant also acknowledges that if the Option is exercised more than three (3) months after Participant’s Termination of Service as an Employee, other than by reason of death or disability, the Option will be taxed as a Non-Qualified Stock Option.</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EXERCISE OF OPTION</w:t>
      </w:r>
    </w:p>
    <w:p>
      <w:pPr>
        <w:spacing w:after="0" w:line="220" w:lineRule="exact"/>
        <w:rPr>
          <w:sz w:val="20"/>
          <w:szCs w:val="20"/>
          <w:color w:val="auto"/>
        </w:rPr>
      </w:pPr>
    </w:p>
    <w:p>
      <w:pPr>
        <w:ind w:right="120" w:firstLine="509"/>
        <w:spacing w:after="0" w:line="244"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u w:val="single" w:color="auto"/>
          <w:color w:val="auto"/>
        </w:rPr>
        <w:t>Person Eligible to Exercise</w:t>
      </w:r>
      <w:r>
        <w:rPr>
          <w:rFonts w:ascii="Times New Roman" w:cs="Times New Roman" w:eastAsia="Times New Roman" w:hAnsi="Times New Roman"/>
          <w:sz w:val="20"/>
          <w:szCs w:val="20"/>
          <w:color w:val="auto"/>
        </w:rPr>
        <w:t>. During the lifetime of Participant, only Participant may exercise the Option or any portion thereof. After the death of Participant, any exercisable portion of the Option may, prior to the time when the Option becomes unexercisable under Section 2.2, be exercised by Participant’s personal representative or by any person empowered to do so under the deceased Participant’s will or under the then applicable laws of descent and distribution.</w:t>
      </w:r>
    </w:p>
    <w:p>
      <w:pPr>
        <w:spacing w:after="0" w:line="185" w:lineRule="exact"/>
        <w:rPr>
          <w:sz w:val="20"/>
          <w:szCs w:val="20"/>
          <w:color w:val="auto"/>
        </w:rPr>
      </w:pPr>
    </w:p>
    <w:p>
      <w:pPr>
        <w:ind w:right="260" w:firstLine="509"/>
        <w:spacing w:after="0" w:line="254" w:lineRule="auto"/>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u w:val="single" w:color="auto"/>
          <w:color w:val="auto"/>
        </w:rPr>
        <w:t>Manner of Exercise</w:t>
      </w:r>
      <w:r>
        <w:rPr>
          <w:rFonts w:ascii="Times New Roman" w:cs="Times New Roman" w:eastAsia="Times New Roman" w:hAnsi="Times New Roman"/>
          <w:sz w:val="20"/>
          <w:szCs w:val="20"/>
          <w:color w:val="auto"/>
        </w:rPr>
        <w:t>. The Option, or any portion thereof, may be exercised solely by delivery to the Secretary of the Company or the Secretary’s office, or such other place as may be determined by the Administrator, of all of the following prior to the time when the Option or such portion thereof becomes unexercisable under Section 2.2:</w:t>
      </w:r>
    </w:p>
    <w:p>
      <w:pPr>
        <w:spacing w:after="0" w:line="66" w:lineRule="exact"/>
        <w:rPr>
          <w:sz w:val="20"/>
          <w:szCs w:val="20"/>
          <w:color w:val="auto"/>
        </w:rPr>
      </w:pPr>
    </w:p>
    <w:p>
      <w:pPr>
        <w:ind w:firstLine="1154"/>
        <w:spacing w:after="0" w:line="244" w:lineRule="auto"/>
        <w:tabs>
          <w:tab w:leader="none" w:pos="1415"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 exercise notice in substantially in the form attached as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to the Grant Notice (or such other form as is prescribed by the Administrator) (the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Exercise Notice</w:t>
      </w:r>
      <w:r>
        <w:rPr>
          <w:rFonts w:ascii="Times New Roman" w:cs="Times New Roman" w:eastAsia="Times New Roman" w:hAnsi="Times New Roman"/>
          <w:sz w:val="20"/>
          <w:szCs w:val="20"/>
          <w:color w:val="auto"/>
        </w:rPr>
        <w:t>”) in writing signed by Participant or any other person then entitled to exercise the Option or portion thereof, stating that the Option or portion thereof is thereby exercised, such notice complying with all applicable rules established by the Administrator; and</w:t>
      </w:r>
    </w:p>
    <w:p>
      <w:pPr>
        <w:spacing w:after="0" w:line="185" w:lineRule="exact"/>
        <w:rPr>
          <w:rFonts w:ascii="Times New Roman" w:cs="Times New Roman" w:eastAsia="Times New Roman" w:hAnsi="Times New Roman"/>
          <w:sz w:val="20"/>
          <w:szCs w:val="20"/>
          <w:color w:val="auto"/>
        </w:rPr>
      </w:pPr>
    </w:p>
    <w:p>
      <w:pPr>
        <w:ind w:left="1440" w:hanging="286"/>
        <w:spacing w:after="0"/>
        <w:tabs>
          <w:tab w:leader="none" w:pos="144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Full payment for Shares with respect to which the Option or portion thereof is exercised in accordance with Section 5.6 of</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Plan; and</w:t>
      </w:r>
    </w:p>
    <w:p>
      <w:pPr>
        <w:spacing w:after="0" w:line="193" w:lineRule="exact"/>
        <w:rPr>
          <w:rFonts w:ascii="Times New Roman" w:cs="Times New Roman" w:eastAsia="Times New Roman" w:hAnsi="Times New Roman"/>
          <w:sz w:val="20"/>
          <w:szCs w:val="20"/>
          <w:color w:val="auto"/>
        </w:rPr>
      </w:pPr>
    </w:p>
    <w:p>
      <w:pPr>
        <w:ind w:right="320" w:firstLine="1154"/>
        <w:spacing w:after="0" w:line="269" w:lineRule="auto"/>
        <w:tabs>
          <w:tab w:leader="none" w:pos="1415"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receipt by the Company of full payment for any applicable withholding tax in cash, by wire transfer of immediately available funds, by check or in such other form as is permitted by the Plan; and</w:t>
      </w:r>
    </w:p>
    <w:p>
      <w:pPr>
        <w:spacing w:after="0" w:line="159" w:lineRule="exact"/>
        <w:rPr>
          <w:rFonts w:ascii="Times New Roman" w:cs="Times New Roman" w:eastAsia="Times New Roman" w:hAnsi="Times New Roman"/>
          <w:sz w:val="20"/>
          <w:szCs w:val="20"/>
          <w:color w:val="auto"/>
        </w:rPr>
      </w:pPr>
    </w:p>
    <w:p>
      <w:pPr>
        <w:ind w:right="340" w:firstLine="1154"/>
        <w:spacing w:after="0" w:line="255" w:lineRule="auto"/>
        <w:tabs>
          <w:tab w:leader="none" w:pos="1426"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the Option or portion thereof shall be exercised pursuant to Section 3.1 by any person or persons other than Participant, appropriate proof of the right of such person or persons to exercise the Option; and</w:t>
      </w:r>
    </w:p>
    <w:p>
      <w:pPr>
        <w:spacing w:after="0" w:line="172" w:lineRule="exact"/>
        <w:rPr>
          <w:rFonts w:ascii="Times New Roman" w:cs="Times New Roman" w:eastAsia="Times New Roman" w:hAnsi="Times New Roman"/>
          <w:sz w:val="20"/>
          <w:szCs w:val="20"/>
          <w:color w:val="auto"/>
        </w:rPr>
      </w:pPr>
    </w:p>
    <w:p>
      <w:pPr>
        <w:ind w:left="1420" w:hanging="266"/>
        <w:spacing w:after="0"/>
        <w:tabs>
          <w:tab w:leader="none" w:pos="142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the Option or portion thereof shall be exercised as to Restricted Shares, the following (collectively,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Additional Documents</w:t>
      </w:r>
      <w:r>
        <w:rPr>
          <w:rFonts w:ascii="Times New Roman" w:cs="Times New Roman" w:eastAsia="Times New Roman" w:hAnsi="Times New Roman"/>
          <w:sz w:val="20"/>
          <w:szCs w:val="20"/>
          <w:color w:val="auto"/>
        </w:rPr>
        <w:t>”):</w:t>
      </w:r>
    </w:p>
    <w:p>
      <w:pPr>
        <w:spacing w:after="0" w:line="86" w:lineRule="exact"/>
        <w:rPr>
          <w:sz w:val="20"/>
          <w:szCs w:val="20"/>
          <w:color w:val="auto"/>
        </w:rPr>
      </w:pPr>
    </w:p>
    <w:p>
      <w:pPr>
        <w:ind w:left="1900" w:hanging="237"/>
        <w:spacing w:after="0"/>
        <w:tabs>
          <w:tab w:leader="none" w:pos="190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share certificate or certificates representing such Restricted Shares;</w:t>
      </w:r>
    </w:p>
    <w:p>
      <w:pPr>
        <w:spacing w:after="0" w:line="211" w:lineRule="exact"/>
        <w:rPr>
          <w:rFonts w:ascii="Times New Roman" w:cs="Times New Roman" w:eastAsia="Times New Roman" w:hAnsi="Times New Roman"/>
          <w:sz w:val="20"/>
          <w:szCs w:val="20"/>
          <w:color w:val="auto"/>
        </w:rPr>
      </w:pPr>
    </w:p>
    <w:p>
      <w:pPr>
        <w:ind w:right="260" w:firstLine="1663"/>
        <w:spacing w:after="0" w:line="273" w:lineRule="auto"/>
        <w:tabs>
          <w:tab w:leader="none" w:pos="1946"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stock assignment duly endorsed in blank, attached as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to the Grant Notice (the “</w:t>
      </w:r>
      <w:r>
        <w:rPr>
          <w:rFonts w:ascii="Times New Roman" w:cs="Times New Roman" w:eastAsia="Times New Roman" w:hAnsi="Times New Roman"/>
          <w:sz w:val="20"/>
          <w:szCs w:val="20"/>
          <w:b w:val="1"/>
          <w:bCs w:val="1"/>
          <w:i w:val="1"/>
          <w:iCs w:val="1"/>
          <w:color w:val="auto"/>
        </w:rPr>
        <w:t>Stock Assignment</w:t>
      </w:r>
      <w:r>
        <w:rPr>
          <w:rFonts w:ascii="Times New Roman" w:cs="Times New Roman" w:eastAsia="Times New Roman" w:hAnsi="Times New Roman"/>
          <w:sz w:val="20"/>
          <w:szCs w:val="20"/>
          <w:color w:val="auto"/>
        </w:rPr>
        <w:t>”), executed by Participant; and</w:t>
      </w:r>
    </w:p>
    <w:p>
      <w:pPr>
        <w:spacing w:after="0" w:line="151" w:lineRule="exact"/>
        <w:rPr>
          <w:rFonts w:ascii="Times New Roman" w:cs="Times New Roman" w:eastAsia="Times New Roman" w:hAnsi="Times New Roman"/>
          <w:sz w:val="20"/>
          <w:szCs w:val="20"/>
          <w:color w:val="auto"/>
        </w:rPr>
      </w:pPr>
    </w:p>
    <w:p>
      <w:pPr>
        <w:ind w:right="140" w:firstLine="1663"/>
        <w:spacing w:after="0" w:line="273" w:lineRule="auto"/>
        <w:tabs>
          <w:tab w:leader="none" w:pos="2001"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Joint Escrow Instructions of the Company and Participant attached as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xml:space="preserve"> to the Grant Notice (the “</w:t>
      </w:r>
      <w:r>
        <w:rPr>
          <w:rFonts w:ascii="Times New Roman" w:cs="Times New Roman" w:eastAsia="Times New Roman" w:hAnsi="Times New Roman"/>
          <w:sz w:val="20"/>
          <w:szCs w:val="20"/>
          <w:b w:val="1"/>
          <w:bCs w:val="1"/>
          <w:i w:val="1"/>
          <w:iCs w:val="1"/>
          <w:color w:val="auto"/>
        </w:rPr>
        <w:t>Joint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Escrow Instructions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executed by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20"/>
          <w:szCs w:val="20"/>
          <w:b w:val="1"/>
          <w:bCs w:val="1"/>
          <w:color w:val="auto"/>
        </w:rPr>
        <w:t>ARTICLE IV</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RESTRICTED SHARES</w:t>
      </w:r>
    </w:p>
    <w:p>
      <w:pPr>
        <w:spacing w:after="0" w:line="2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u w:val="single" w:color="auto"/>
          <w:color w:val="auto"/>
        </w:rPr>
        <w:t>Company Repurchase Right</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60" w:right="40" w:firstLine="1154"/>
        <w:spacing w:after="0" w:line="244" w:lineRule="auto"/>
        <w:tabs>
          <w:tab w:leader="none" w:pos="1355"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Participant’s Termination of Service for any reason, the Company shall have the right and option to repurchase all of the Restricted Shares from Participant, or Participant’s transferee or legal representative, as the case may be, for a purchase price equal to the price per Share paid by Participant for such Restricted Shares, as adjusted to reflect any Equity Restructuring or other transaction or event described in Section 8 of the Plan (the “</w:t>
      </w:r>
      <w:r>
        <w:rPr>
          <w:rFonts w:ascii="Times New Roman" w:cs="Times New Roman" w:eastAsia="Times New Roman" w:hAnsi="Times New Roman"/>
          <w:sz w:val="20"/>
          <w:szCs w:val="20"/>
          <w:b w:val="1"/>
          <w:bCs w:val="1"/>
          <w:i w:val="1"/>
          <w:iCs w:val="1"/>
          <w:color w:val="auto"/>
        </w:rPr>
        <w:t>Company Repurchase Right</w:t>
      </w:r>
      <w:r>
        <w:rPr>
          <w:rFonts w:ascii="Times New Roman" w:cs="Times New Roman" w:eastAsia="Times New Roman" w:hAnsi="Times New Roman"/>
          <w:sz w:val="20"/>
          <w:szCs w:val="20"/>
          <w:color w:val="auto"/>
        </w:rPr>
        <w:t>”).</w:t>
      </w:r>
    </w:p>
    <w:p>
      <w:pPr>
        <w:spacing w:after="0" w:line="185" w:lineRule="exact"/>
        <w:rPr>
          <w:rFonts w:ascii="Times New Roman" w:cs="Times New Roman" w:eastAsia="Times New Roman" w:hAnsi="Times New Roman"/>
          <w:sz w:val="20"/>
          <w:szCs w:val="20"/>
          <w:color w:val="auto"/>
        </w:rPr>
      </w:pPr>
    </w:p>
    <w:p>
      <w:pPr>
        <w:ind w:left="-60" w:right="40" w:firstLine="1154"/>
        <w:spacing w:after="0" w:line="241" w:lineRule="auto"/>
        <w:tabs>
          <w:tab w:leader="none" w:pos="1366"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exercise the Company Repurchase Right by delivering to Participant (or his or her transferee or legal representative, as the case may be), within ninety (90) days of the date of Participant’s Termination of Service, a notice in writing indicating the Company’s intention to exercise the Company Repurchase Right and setting forth a date for closing not later than thirty (30) days from the mailing of such notice. The closing shall take place at the Company’s office. At the closing, the holder of the certificates for the Restricted Shares shall deliver the stock certificate or certificates evidencing the Restricted Shares, and the Company shall deliver the purchase price therefore. At its option, the Company may elect to make payment for the Restricted Shares to a bank selected by the Company. The Company shall avail itself of this option by a notice in writing to Participant stating the name and address of the bank, date of closing, and waiving the closing at the Company’s office.</w:t>
      </w:r>
    </w:p>
    <w:p>
      <w:pPr>
        <w:spacing w:after="0" w:line="191" w:lineRule="exact"/>
        <w:rPr>
          <w:rFonts w:ascii="Times New Roman" w:cs="Times New Roman" w:eastAsia="Times New Roman" w:hAnsi="Times New Roman"/>
          <w:sz w:val="20"/>
          <w:szCs w:val="20"/>
          <w:color w:val="auto"/>
        </w:rPr>
      </w:pPr>
    </w:p>
    <w:p>
      <w:pPr>
        <w:ind w:left="-60" w:firstLine="1154"/>
        <w:spacing w:after="0" w:line="266" w:lineRule="auto"/>
        <w:tabs>
          <w:tab w:leader="none" w:pos="1355" w:val="left"/>
        </w:tabs>
        <w:numPr>
          <w:ilvl w:val="0"/>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Unless the Company has earlier delivered notice of its intention to exercise the Company Repurchase Right, or the Administrator otherwise determines, the Company will automatically be deemed to have exercised the Company Repurchase Right and timely delivered effective notice thereof with respect to all unvested Shares on the final day upon which such notice could be delivered under the terms of this Agreement and setting forth the latest date for closing of such repurchase permitted under the terms of this Agreement.</w:t>
      </w:r>
    </w:p>
    <w:p>
      <w:pPr>
        <w:spacing w:after="0" w:line="151" w:lineRule="exact"/>
        <w:rPr>
          <w:rFonts w:ascii="Times New Roman" w:cs="Times New Roman" w:eastAsia="Times New Roman" w:hAnsi="Times New Roman"/>
          <w:sz w:val="19"/>
          <w:szCs w:val="19"/>
          <w:color w:val="auto"/>
        </w:rPr>
      </w:pPr>
    </w:p>
    <w:p>
      <w:pPr>
        <w:ind w:left="-60" w:right="40" w:firstLine="1154"/>
        <w:spacing w:after="0" w:line="254" w:lineRule="auto"/>
        <w:tabs>
          <w:tab w:leader="none" w:pos="1366"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Restricted Shares shall be released from the Company Repurchase Right upon vesting of the Option with respect to such Shares in accordance with the terms of this Agreement. For the avoidance of doubt, all Restricted Shares shall be assumed to vest under the terms of this Agreement before any unexercised portion of the Option, unless otherwise provided by the Administrator.</w:t>
      </w:r>
    </w:p>
    <w:p>
      <w:pPr>
        <w:spacing w:after="0" w:line="174" w:lineRule="exact"/>
        <w:rPr>
          <w:rFonts w:ascii="Times New Roman" w:cs="Times New Roman" w:eastAsia="Times New Roman" w:hAnsi="Times New Roman"/>
          <w:sz w:val="20"/>
          <w:szCs w:val="20"/>
          <w:color w:val="auto"/>
        </w:rPr>
      </w:pPr>
    </w:p>
    <w:p>
      <w:pPr>
        <w:ind w:left="-60" w:right="40" w:firstLine="1154"/>
        <w:spacing w:after="0" w:line="242" w:lineRule="auto"/>
        <w:tabs>
          <w:tab w:leader="none" w:pos="1355"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in this Agreement or the Additional Documents to the contrary, no payment shall be made under this Section 4.1 that would cause the Company or any of its affiliates to violate any applicable law, any banking agreement or loan or other financial covenant or cause default of any indebtedness of the Company or any of its affiliates, regardless of when such agreement, covenant or indebtedness was created, incurred or assumed, and any payment under this Section 4.1 that would cause such violation or default shall result in an extension of the period during which the Company may deliver notice of its intention to exercise the Company Repurchase Right and of any payment date or other related date, in the sole discretion of the Company, until thirty (30) days after the date such payment shall no longer cause any such violation or default.</w:t>
      </w:r>
    </w:p>
    <w:p>
      <w:pPr>
        <w:spacing w:after="0" w:line="1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0"/>
          <w:szCs w:val="20"/>
          <w:u w:val="single" w:color="auto"/>
          <w:color w:val="auto"/>
        </w:rPr>
        <w:t>Escrow</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0" w:right="520" w:firstLine="1154"/>
        <w:spacing w:after="0" w:line="254" w:lineRule="auto"/>
        <w:tabs>
          <w:tab w:leader="none" w:pos="1355"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hereby authorizes and directs the Secretary of the Company, or such other person designated by the Administrator from time to time, to transfer the Restricted Shares as to which the Company Repurchase Right has been exercised from Participant (or his or her transferee or legal representative, as the case may be)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172720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80" w:top="747" w:right="379" w:bottom="1440" w:gutter="0" w:footer="0" w:header="0"/>
        </w:sectPr>
      </w:pPr>
    </w:p>
    <w:bookmarkStart w:id="123" w:name="page124"/>
    <w:bookmarkEnd w:id="123"/>
    <w:p>
      <w:pPr>
        <w:ind w:firstLine="1154"/>
        <w:spacing w:after="0"/>
        <w:tabs>
          <w:tab w:leader="none" w:pos="1426"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ensure the availability for delivery of the Restricted Shares upon repurchase by the Company pursuant to the Company Repurchase Right, Participant appoints the Secretary of the Company, or such other person designated by the Administrator from time to time as escrow agent, as its attorney-in-fact to sell, assign and transfer unto the Company, such Restricted Shares, if any, repurchased by the Company pursuant to the Company Repurchase Right and shall, upon execution of the applicable Exercise Notice, deliver and deposit with the Secretary of the Company, or such other person designated by the Administrator from time to time, the share certificate or certificates representing the Restricted Shares, together with the Stock Assignment. The Restricted Shares and Stock Assignment shall be held by the Secretary, or such other person designated by the Administrator from time to time, in escrow, pursuant to the Joint Escrow Instructions, until the Company exercises the Company Repurchase Right, until such Restricted Shares are released from the Company Repurchase Right as set forth in Section 4.1(d) or until such time as this Agreement no longer is in effect. Upon release of the Restricted Shares from the Company’s Repurchase Right, the escrow agent shall as soon as reasonably practicable deliver to Participant the certificate or certificates representing such Shares in the escrow agent’s possession belonging to Participant, and the escrow agent shall be discharged of all further obligations hereunder.</w:t>
      </w:r>
    </w:p>
    <w:p>
      <w:pPr>
        <w:spacing w:after="0" w:line="183" w:lineRule="exact"/>
        <w:rPr>
          <w:rFonts w:ascii="Times New Roman" w:cs="Times New Roman" w:eastAsia="Times New Roman" w:hAnsi="Times New Roman"/>
          <w:sz w:val="20"/>
          <w:szCs w:val="20"/>
          <w:color w:val="auto"/>
        </w:rPr>
      </w:pPr>
    </w:p>
    <w:p>
      <w:pPr>
        <w:ind w:right="180" w:firstLine="1154"/>
        <w:spacing w:after="0" w:line="269" w:lineRule="auto"/>
        <w:tabs>
          <w:tab w:leader="none" w:pos="1415"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or its designee, shall not be liable for any act it may do or omit to do with respect to holding the Restricted Shares in escrow and while acting in good faith and in the exercise of its judgment.</w:t>
      </w:r>
    </w:p>
    <w:p>
      <w:pPr>
        <w:spacing w:after="0" w:line="159"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20"/>
          <w:szCs w:val="20"/>
          <w:color w:val="auto"/>
        </w:rPr>
        <w:t xml:space="preserve">4.3 </w:t>
      </w:r>
      <w:r>
        <w:rPr>
          <w:rFonts w:ascii="Times New Roman" w:cs="Times New Roman" w:eastAsia="Times New Roman" w:hAnsi="Times New Roman"/>
          <w:sz w:val="20"/>
          <w:szCs w:val="20"/>
          <w:u w:val="single" w:color="auto"/>
          <w:color w:val="auto"/>
        </w:rPr>
        <w:t>Transferability of Restricted Shares</w:t>
      </w:r>
      <w:r>
        <w:rPr>
          <w:rFonts w:ascii="Times New Roman" w:cs="Times New Roman" w:eastAsia="Times New Roman" w:hAnsi="Times New Roman"/>
          <w:sz w:val="20"/>
          <w:szCs w:val="20"/>
          <w:color w:val="auto"/>
        </w:rPr>
        <w:t>. The Restricted Shares may not be sold, assigned, transferred, pledged or otherwise encumbered, either voluntarily or by operation of law, except by will or the laws of descent and distribution. Any transferee of the Restricted Shares shall hold such Shares subject to all of the provisions hereof and the Exercise Notice and Additional Documents executed by Participant with respect to such Shares. Any transfer or attempted transfer of any of the Restricted Shares not in accordance with the terms of this Agreement shall be void and the Company may enforce the terms of this Agreement by stop transfer instructions or similar actions by the Company and its agents or designees.</w:t>
      </w:r>
    </w:p>
    <w:p>
      <w:pPr>
        <w:spacing w:after="0" w:line="18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9"/>
          <w:szCs w:val="19"/>
          <w:color w:val="auto"/>
        </w:rPr>
        <w:t xml:space="preserve">4.4 </w:t>
      </w:r>
      <w:r>
        <w:rPr>
          <w:rFonts w:ascii="Times New Roman" w:cs="Times New Roman" w:eastAsia="Times New Roman" w:hAnsi="Times New Roman"/>
          <w:sz w:val="19"/>
          <w:szCs w:val="19"/>
          <w:u w:val="single" w:color="auto"/>
          <w:color w:val="auto"/>
        </w:rPr>
        <w:t>Rights as a Stockholder; Retained Distributions</w:t>
      </w:r>
      <w:r>
        <w:rPr>
          <w:rFonts w:ascii="Times New Roman" w:cs="Times New Roman" w:eastAsia="Times New Roman" w:hAnsi="Times New Roman"/>
          <w:sz w:val="19"/>
          <w:szCs w:val="19"/>
          <w:color w:val="auto"/>
        </w:rPr>
        <w:t>. Except as otherwise provided herein, upon exercise of the Option, Participant shall have all the rights of a stockholder with respect to the Restricted Shares. All cash dividends and other distributions made or declared with respect to Restricted Shares (“</w:t>
      </w:r>
      <w:r>
        <w:rPr>
          <w:rFonts w:ascii="Times New Roman" w:cs="Times New Roman" w:eastAsia="Times New Roman" w:hAnsi="Times New Roman"/>
          <w:sz w:val="19"/>
          <w:szCs w:val="19"/>
          <w:b w:val="1"/>
          <w:bCs w:val="1"/>
          <w:i w:val="1"/>
          <w:iCs w:val="1"/>
          <w:color w:val="auto"/>
        </w:rPr>
        <w:t>Retained Distributions</w:t>
      </w:r>
      <w:r>
        <w:rPr>
          <w:rFonts w:ascii="Times New Roman" w:cs="Times New Roman" w:eastAsia="Times New Roman" w:hAnsi="Times New Roman"/>
          <w:sz w:val="19"/>
          <w:szCs w:val="19"/>
          <w:color w:val="auto"/>
        </w:rPr>
        <w:t>”) will be held by the Company until the time (if ever) when the Restricted Shares to which such Retained Distributions relate are released from the Company Repurchase Right as set forth in Section 4.1(d). The Company will establish a separate Retained Distribution bookkeeping account (“</w:t>
      </w:r>
      <w:r>
        <w:rPr>
          <w:rFonts w:ascii="Times New Roman" w:cs="Times New Roman" w:eastAsia="Times New Roman" w:hAnsi="Times New Roman"/>
          <w:sz w:val="19"/>
          <w:szCs w:val="19"/>
          <w:b w:val="1"/>
          <w:bCs w:val="1"/>
          <w:i w:val="1"/>
          <w:iCs w:val="1"/>
          <w:color w:val="auto"/>
        </w:rPr>
        <w:t>Retained Distribution Account</w:t>
      </w:r>
      <w:r>
        <w:rPr>
          <w:rFonts w:ascii="Times New Roman" w:cs="Times New Roman" w:eastAsia="Times New Roman" w:hAnsi="Times New Roman"/>
          <w:sz w:val="19"/>
          <w:szCs w:val="19"/>
          <w:color w:val="auto"/>
        </w:rPr>
        <w:t>”) for each Restricted Share with respect to which Retained Distributions have been made or declared in cash and credit the Retained Distribution Account (without interest) on the date of payment with the amount of such cash made or declared with respect to the Restricted Share. Retained Distributions (including any Retained Distribution Account balance) will immediately and automatically be forfeited to the Company for no consideration in the event the Company exercises the Company Repurchase Right for the Restricted Shares with respect to which the Retained Distributions were paid. In no event shall a dividend or distribution with respect to Restricted Shares be paid to Participant later than the end of the calendar year in which the dividends are paid to holders of Common Stock or, if later, the 15th day of the third month following the later of (i) the date the dividends are paid to holders of Common Stock and (ii) the date the Restricted Shares with respect to which the dividends are paid vest.</w:t>
      </w:r>
    </w:p>
    <w:p>
      <w:pPr>
        <w:spacing w:after="0" w:line="193" w:lineRule="exact"/>
        <w:rPr>
          <w:sz w:val="20"/>
          <w:szCs w:val="20"/>
          <w:color w:val="auto"/>
        </w:rPr>
      </w:pPr>
    </w:p>
    <w:p>
      <w:pPr>
        <w:ind w:right="220" w:firstLine="509"/>
        <w:spacing w:after="0" w:line="249" w:lineRule="auto"/>
        <w:rPr>
          <w:sz w:val="20"/>
          <w:szCs w:val="20"/>
          <w:color w:val="auto"/>
        </w:rPr>
      </w:pPr>
      <w:r>
        <w:rPr>
          <w:rFonts w:ascii="Times New Roman" w:cs="Times New Roman" w:eastAsia="Times New Roman" w:hAnsi="Times New Roman"/>
          <w:sz w:val="20"/>
          <w:szCs w:val="20"/>
          <w:color w:val="auto"/>
        </w:rPr>
        <w:t xml:space="preserve">4.5 </w:t>
      </w:r>
      <w:r>
        <w:rPr>
          <w:rFonts w:ascii="Times New Roman" w:cs="Times New Roman" w:eastAsia="Times New Roman" w:hAnsi="Times New Roman"/>
          <w:sz w:val="20"/>
          <w:szCs w:val="20"/>
          <w:u w:val="single" w:color="auto"/>
          <w:color w:val="auto"/>
        </w:rPr>
        <w:t>Section 83(b) Election for Restricted Shares</w:t>
      </w:r>
      <w:r>
        <w:rPr>
          <w:rFonts w:ascii="Times New Roman" w:cs="Times New Roman" w:eastAsia="Times New Roman" w:hAnsi="Times New Roman"/>
          <w:sz w:val="20"/>
          <w:szCs w:val="20"/>
          <w:color w:val="auto"/>
        </w:rPr>
        <w:t xml:space="preserve">. Participant acknowledges that, with respect to the exercise of the Option for Restricted Shares, an election (an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Election</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may be filed by Participant with the Internal Revenue Service and, if necessary, the proper state taxing authorities, within thirty (30) days after the purchase of the Restricted Shares, electing pursuant to Section 83(b) of the Internal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24" w:name="page125"/>
    <w:bookmarkEnd w:id="124"/>
    <w:p>
      <w:pPr>
        <w:spacing w:after="0" w:line="241" w:lineRule="auto"/>
        <w:rPr>
          <w:sz w:val="20"/>
          <w:szCs w:val="20"/>
          <w:color w:val="auto"/>
        </w:rPr>
      </w:pPr>
      <w:r>
        <w:rPr>
          <w:rFonts w:ascii="Times New Roman" w:cs="Times New Roman" w:eastAsia="Times New Roman" w:hAnsi="Times New Roman"/>
          <w:sz w:val="20"/>
          <w:szCs w:val="20"/>
          <w:color w:val="auto"/>
        </w:rPr>
        <w:t xml:space="preserve">Code of 1986 (the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Code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(and similar state tax provisions if applicable) to be taxed currently on any difference between the purchase price of the Restricted Shares and their fair market value on the date of purchase. In the case of a Non-Qualified Stock Option, this will result in a recognition of taxable income to Participant on the date of exercise, measured by the excess, if any, of the fair market value of the Restricted Shares at the time the Option is exercised over the purchase price for the Restricted Shares. Absent such an Election, taxable income will be measured and recognized by Participant at the time or times on which the Company Repurchase Right lapses. In the case of an Incentive Stock Option, such an Election will result in a recognition of income to Participant for alternative minimum tax purposes on the date of exercise, measured by the excess, if any, of the fair market value of the Restricted Shares at the time the option is exercised over the purchase price for the Restricted Shares. Absent such an Election, alternative minimum taxable income will be measured and recognized by Participant at the time or times on which the Company Repurchase Right lapses. Participant is strongly encouraged to seek the advice of his or her own tax consultant in connection with the purchase of Restricted Shares under this Agreement and the advisability of filing of an Election. Participant represents that Participant has consulted any tax consultant(s) Participant deems advisable in connection with the purchase of Restricted Shares or the filing of the Election and similar tax provisions.</w:t>
      </w:r>
    </w:p>
    <w:p>
      <w:pPr>
        <w:spacing w:after="0" w:line="176" w:lineRule="exact"/>
        <w:rPr>
          <w:sz w:val="20"/>
          <w:szCs w:val="20"/>
          <w:color w:val="auto"/>
        </w:rPr>
      </w:pPr>
    </w:p>
    <w:p>
      <w:pPr>
        <w:jc w:val="both"/>
        <w:ind w:right="160" w:firstLine="509"/>
        <w:spacing w:after="0" w:line="254" w:lineRule="auto"/>
        <w:rPr>
          <w:sz w:val="20"/>
          <w:szCs w:val="20"/>
          <w:color w:val="auto"/>
        </w:rPr>
      </w:pPr>
      <w:r>
        <w:rPr>
          <w:rFonts w:ascii="Times New Roman" w:cs="Times New Roman" w:eastAsia="Times New Roman" w:hAnsi="Times New Roman"/>
          <w:sz w:val="20"/>
          <w:szCs w:val="20"/>
          <w:color w:val="auto"/>
        </w:rPr>
        <w:t>PARTICIPANT ACKNOWLEDGES THAT IT IS PARTICIPANT’S SOLE RESPONSIBILITY AND NOT THE COMPANY’S TO TIMELY FILE THE ELECTION UNDER SECTION 83(B) OF THE CODE, EVEN IF PARTICIPANT REQUESTS THE COMPANY OR ITS REPRESENTATIVE TO MAKE THIS FILING ON PARTICIPANT’S BEHALF.</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OTHER PROVISIONS</w:t>
      </w:r>
    </w:p>
    <w:p>
      <w:pPr>
        <w:spacing w:after="0" w:line="2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 xml:space="preserve">5.1 </w:t>
      </w:r>
      <w:r>
        <w:rPr>
          <w:rFonts w:ascii="Times New Roman" w:cs="Times New Roman" w:eastAsia="Times New Roman" w:hAnsi="Times New Roman"/>
          <w:sz w:val="20"/>
          <w:szCs w:val="20"/>
          <w:u w:val="single" w:color="auto"/>
          <w:color w:val="auto"/>
        </w:rPr>
        <w:t>Restrictive Legends and Stop-Transfer Orders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40" w:firstLine="1154"/>
        <w:spacing w:after="0" w:line="247" w:lineRule="auto"/>
        <w:tabs>
          <w:tab w:leader="none" w:pos="1415"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share certificate or certificates evidencing the Shares purchased hereunder shall be endorsed with any legends that may be required by state or federal securities laws and, with regard to Restricted Shares, shall bear such other legends as shall be determined by the Administrator.</w:t>
      </w:r>
    </w:p>
    <w:p>
      <w:pPr>
        <w:spacing w:after="0" w:line="180" w:lineRule="exact"/>
        <w:rPr>
          <w:rFonts w:ascii="Times New Roman" w:cs="Times New Roman" w:eastAsia="Times New Roman" w:hAnsi="Times New Roman"/>
          <w:sz w:val="20"/>
          <w:szCs w:val="20"/>
          <w:color w:val="auto"/>
        </w:rPr>
      </w:pPr>
    </w:p>
    <w:p>
      <w:pPr>
        <w:ind w:right="560" w:firstLine="1154"/>
        <w:spacing w:after="0" w:line="254" w:lineRule="auto"/>
        <w:tabs>
          <w:tab w:leader="none" w:pos="1426"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agrees that, in order to ensure compliance with the restrictions referred to herein, the Company may issue appropriate “stop transfer” instructions to its transfer agent, if any, and that, if the Company transfers its own securities, it may make appropriate notations to the same effect in its own records.</w:t>
      </w:r>
    </w:p>
    <w:p>
      <w:pPr>
        <w:spacing w:after="0" w:line="174" w:lineRule="exact"/>
        <w:rPr>
          <w:rFonts w:ascii="Times New Roman" w:cs="Times New Roman" w:eastAsia="Times New Roman" w:hAnsi="Times New Roman"/>
          <w:sz w:val="20"/>
          <w:szCs w:val="20"/>
          <w:color w:val="auto"/>
        </w:rPr>
      </w:pPr>
    </w:p>
    <w:p>
      <w:pPr>
        <w:ind w:right="120" w:firstLine="1154"/>
        <w:spacing w:after="0" w:line="247" w:lineRule="auto"/>
        <w:tabs>
          <w:tab w:leader="none" w:pos="1415"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not be required: (i) to transfer on its books any Shares that have been sold or otherwise transferred in violation of any of the provisions of this Agreement, or (ii) to treat as owner of such Shares or to accord the right to vote or pay dividends to any purchaser or other transferee to whom such shares shall have been so transferred.</w:t>
      </w:r>
    </w:p>
    <w:p>
      <w:pPr>
        <w:spacing w:after="0" w:line="194"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20"/>
          <w:szCs w:val="20"/>
          <w:color w:val="auto"/>
        </w:rPr>
        <w:t xml:space="preserve">5.2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 to be given under the terms of this Agreement to the Company shall be addressed to the Company at its principal executive offices in care of the Secretary of the Company, and any notice to be given to Participant shall be addressed to Participant at the most recent address for Participant shown in the Company’s records. By a notice given pursuant to this Section 5.2, either party may hereafter designate a different address for notices to be given to that party. Any notice which is required to be given to Participant shall, if Participant is then deceased, be given to the person entitled to exercise his or her Option by written notice under this Section 5.2. Any notice shall be deemed duly given when sent via email or when sent by certified mail (return receipt requested) and deposited (with postage prepaid) in a post office or branch post office regularly maintained by the United States Postal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125" w:name="page126"/>
    <w:bookmarkEnd w:id="125"/>
    <w:p>
      <w:pPr>
        <w:ind w:right="540" w:firstLine="509"/>
        <w:spacing w:after="0" w:line="269" w:lineRule="auto"/>
        <w:rPr>
          <w:sz w:val="20"/>
          <w:szCs w:val="20"/>
          <w:color w:val="auto"/>
        </w:rPr>
      </w:pPr>
      <w:r>
        <w:rPr>
          <w:rFonts w:ascii="Times New Roman" w:cs="Times New Roman" w:eastAsia="Times New Roman" w:hAnsi="Times New Roman"/>
          <w:sz w:val="20"/>
          <w:szCs w:val="20"/>
          <w:color w:val="auto"/>
        </w:rPr>
        <w:t xml:space="preserve">5.3 </w:t>
      </w:r>
      <w:r>
        <w:rPr>
          <w:rFonts w:ascii="Times New Roman" w:cs="Times New Roman" w:eastAsia="Times New Roman" w:hAnsi="Times New Roman"/>
          <w:sz w:val="20"/>
          <w:szCs w:val="20"/>
          <w:u w:val="single" w:color="auto"/>
          <w:color w:val="auto"/>
        </w:rPr>
        <w:t>Titles</w:t>
      </w:r>
      <w:r>
        <w:rPr>
          <w:rFonts w:ascii="Times New Roman" w:cs="Times New Roman" w:eastAsia="Times New Roman" w:hAnsi="Times New Roman"/>
          <w:sz w:val="20"/>
          <w:szCs w:val="20"/>
          <w:color w:val="auto"/>
        </w:rPr>
        <w:t>. Titles are provided herein for convenience only and are not to serve as a basis for interpretation or construction of this Agreement.</w:t>
      </w:r>
    </w:p>
    <w:p>
      <w:pPr>
        <w:spacing w:after="0" w:line="159" w:lineRule="exact"/>
        <w:rPr>
          <w:sz w:val="20"/>
          <w:szCs w:val="20"/>
          <w:color w:val="auto"/>
        </w:rPr>
      </w:pPr>
    </w:p>
    <w:p>
      <w:pPr>
        <w:ind w:right="240" w:firstLine="509"/>
        <w:spacing w:after="0" w:line="249" w:lineRule="auto"/>
        <w:rPr>
          <w:sz w:val="20"/>
          <w:szCs w:val="20"/>
          <w:color w:val="auto"/>
        </w:rPr>
      </w:pPr>
      <w:r>
        <w:rPr>
          <w:rFonts w:ascii="Times New Roman" w:cs="Times New Roman" w:eastAsia="Times New Roman" w:hAnsi="Times New Roman"/>
          <w:sz w:val="20"/>
          <w:szCs w:val="20"/>
          <w:color w:val="auto"/>
        </w:rPr>
        <w:t xml:space="preserve">5.4 </w:t>
      </w:r>
      <w:r>
        <w:rPr>
          <w:rFonts w:ascii="Times New Roman" w:cs="Times New Roman" w:eastAsia="Times New Roman" w:hAnsi="Times New Roman"/>
          <w:sz w:val="20"/>
          <w:szCs w:val="20"/>
          <w:u w:val="single" w:color="auto"/>
          <w:color w:val="auto"/>
        </w:rPr>
        <w:t>Governing Law; Severability</w:t>
      </w:r>
      <w:r>
        <w:rPr>
          <w:rFonts w:ascii="Times New Roman" w:cs="Times New Roman" w:eastAsia="Times New Roman" w:hAnsi="Times New Roman"/>
          <w:sz w:val="20"/>
          <w:szCs w:val="20"/>
          <w:color w:val="auto"/>
        </w:rPr>
        <w:t>. This Agreement and the Exercise Notice shall be administered, interpreted and enforced under the laws of the State of Delaware, without regard to the conflicts of law principles thereof. Should any provision of this Agreement be determined by a court of law to be illegal or unenforceable, the other provisions shall nevertheless remain effective and shall remain enforceable.</w:t>
      </w:r>
    </w:p>
    <w:p>
      <w:pPr>
        <w:spacing w:after="0" w:line="166" w:lineRule="exact"/>
        <w:rPr>
          <w:sz w:val="20"/>
          <w:szCs w:val="20"/>
          <w:color w:val="auto"/>
        </w:rPr>
      </w:pPr>
    </w:p>
    <w:p>
      <w:pPr>
        <w:ind w:right="260" w:firstLine="509"/>
        <w:spacing w:after="0" w:line="245" w:lineRule="auto"/>
        <w:rPr>
          <w:sz w:val="20"/>
          <w:szCs w:val="20"/>
          <w:color w:val="auto"/>
        </w:rPr>
      </w:pPr>
      <w:r>
        <w:rPr>
          <w:rFonts w:ascii="Times New Roman" w:cs="Times New Roman" w:eastAsia="Times New Roman" w:hAnsi="Times New Roman"/>
          <w:sz w:val="20"/>
          <w:szCs w:val="20"/>
          <w:color w:val="auto"/>
        </w:rPr>
        <w:t xml:space="preserve">5.5 </w:t>
      </w:r>
      <w:r>
        <w:rPr>
          <w:rFonts w:ascii="Times New Roman" w:cs="Times New Roman" w:eastAsia="Times New Roman" w:hAnsi="Times New Roman"/>
          <w:sz w:val="20"/>
          <w:szCs w:val="20"/>
          <w:u w:val="single" w:color="auto"/>
          <w:color w:val="auto"/>
        </w:rPr>
        <w:t>Conformity to Securities Laws</w:t>
      </w:r>
      <w:r>
        <w:rPr>
          <w:rFonts w:ascii="Times New Roman" w:cs="Times New Roman" w:eastAsia="Times New Roman" w:hAnsi="Times New Roman"/>
          <w:sz w:val="20"/>
          <w:szCs w:val="20"/>
          <w:color w:val="auto"/>
        </w:rPr>
        <w:t>. Participant acknowledges that the Plan is intended to conform to the extent necessary with all provisions of the Securities Act and the Exchange Act and any and all regulations and rules promulgated by the Securities and Exchange Commission thereunder, and state securities laws and regulations. Notwithstanding anything herein to the contrary, the Plan shall be administered, and the Option is granted and may be exercised, only in such a manner as to conform to such laws, rules and regulations. To the extent permitted by applicable law, the Plan and this Agreement shall be deemed amended to the extent necessary to conform to such laws, rules and regulations.</w:t>
      </w:r>
    </w:p>
    <w:p>
      <w:pPr>
        <w:spacing w:after="0" w:line="171" w:lineRule="exact"/>
        <w:rPr>
          <w:sz w:val="20"/>
          <w:szCs w:val="20"/>
          <w:color w:val="auto"/>
        </w:rPr>
      </w:pPr>
    </w:p>
    <w:p>
      <w:pPr>
        <w:ind w:right="120" w:firstLine="509"/>
        <w:spacing w:after="0" w:line="249" w:lineRule="auto"/>
        <w:rPr>
          <w:sz w:val="20"/>
          <w:szCs w:val="20"/>
          <w:color w:val="auto"/>
        </w:rPr>
      </w:pPr>
      <w:r>
        <w:rPr>
          <w:rFonts w:ascii="Times New Roman" w:cs="Times New Roman" w:eastAsia="Times New Roman" w:hAnsi="Times New Roman"/>
          <w:sz w:val="20"/>
          <w:szCs w:val="20"/>
          <w:color w:val="auto"/>
        </w:rPr>
        <w:t xml:space="preserve">5.6 </w:t>
      </w: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The Company may assign any of its rights under this Agreement and the Exercise Notice to single or multiple assignees, and this Agreement shall inure to the benefit of the successors and assigns of the Company. Subject to the restrictions on transfer herein set forth, this Agreement shall be binding upon Participant and his or her heirs, executors, administrators, successors and assigns.</w:t>
      </w:r>
    </w:p>
    <w:p>
      <w:pPr>
        <w:spacing w:after="0" w:line="180" w:lineRule="exact"/>
        <w:rPr>
          <w:sz w:val="20"/>
          <w:szCs w:val="20"/>
          <w:color w:val="auto"/>
        </w:rPr>
      </w:pPr>
    </w:p>
    <w:p>
      <w:pPr>
        <w:jc w:val="both"/>
        <w:ind w:right="20" w:firstLine="509"/>
        <w:spacing w:after="0" w:line="254" w:lineRule="auto"/>
        <w:rPr>
          <w:sz w:val="20"/>
          <w:szCs w:val="20"/>
          <w:color w:val="auto"/>
        </w:rPr>
      </w:pPr>
      <w:r>
        <w:rPr>
          <w:rFonts w:ascii="Times New Roman" w:cs="Times New Roman" w:eastAsia="Times New Roman" w:hAnsi="Times New Roman"/>
          <w:sz w:val="20"/>
          <w:szCs w:val="20"/>
          <w:color w:val="auto"/>
        </w:rPr>
        <w:t xml:space="preserve">5.7 </w:t>
      </w: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The Plan and this Agreement (including, without limitation, all Exhibits hereto) constitute the entire agreement of the parties and supersede in their entirety all prior undertakings and agreements of the Company and Participant with respect to the subject matter hereof.</w:t>
      </w:r>
    </w:p>
    <w:p>
      <w:pPr>
        <w:spacing w:after="0" w:line="16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9"/>
          <w:szCs w:val="19"/>
          <w:color w:val="auto"/>
        </w:rPr>
        <w:t xml:space="preserve">5.8 </w:t>
      </w:r>
      <w:r>
        <w:rPr>
          <w:rFonts w:ascii="Times New Roman" w:cs="Times New Roman" w:eastAsia="Times New Roman" w:hAnsi="Times New Roman"/>
          <w:sz w:val="19"/>
          <w:szCs w:val="19"/>
          <w:u w:val="single" w:color="auto"/>
          <w:color w:val="auto"/>
        </w:rPr>
        <w:t>Lock-Up Period</w:t>
      </w:r>
      <w:r>
        <w:rPr>
          <w:rFonts w:ascii="Times New Roman" w:cs="Times New Roman" w:eastAsia="Times New Roman" w:hAnsi="Times New Roman"/>
          <w:sz w:val="19"/>
          <w:szCs w:val="19"/>
          <w:color w:val="auto"/>
        </w:rPr>
        <w:t>. Participant agrees that Participant will not, without the prior written consent of the managing underwriter, during the period commencing on the date of the final prospectus relating to an initial public offering of any of the Company’s securities and ending on the date specified by the Company and the managing underwriter (such period not to exceed one hundred eighty (180) days, or such other period as may be requested by the Company or an underwriter to accommodate regulatory restrictions on (1) the publication or other distribution of research reports, and (2) analyst recommendations and opinions, including, but not limited to, the restrictions contained in FINRA Rule 2241 or NYSE Rule 472(f)(4)), (i)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(directly or indirectly) for Common Stock held immediately before the effective date of the registration statement for such offering or (ii) enter into any swap or other arrangement that transfers to another, in whole or in part, any of the economic consequences of ownership of such securities, whether any such transaction described in clause (i) or (ii) above is to be settled by delivery of Common Stock or other securities, in cash, or otherwise. The foregoing provisions of this Section shall apply only to an initial public offering of the Company’s securities and shall not apply to the sale of any shares to an underwriter pursuant to an underwriting agreement for such initial public offering. The underwriters in connection with such registration are intended third-party beneficiaries of this Section and shall have the right, power, and authority to enforce the provisions hereof as though they were a party hereto. Participant further agrees to execute such agreements as may be reasonably requested by the underwriters in connection with such registration that are consistent with this Section or that are necessary to give further effect thereto.</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5" w:right="35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20"/>
          <w:szCs w:val="20"/>
          <w:b w:val="1"/>
          <w:bCs w:val="1"/>
          <w:color w:val="auto"/>
        </w:rPr>
        <w:t>EXHIBIT B</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TO STOCK OPTION GRANT NOTICE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OF EXERCISE NOTICE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0" w:type="dxa"/>
            <w:vAlign w:val="bottom"/>
            <w:gridSpan w:val="2"/>
          </w:tcPr>
          <w:p>
            <w:pPr>
              <w:ind w:left="520"/>
              <w:spacing w:after="0"/>
              <w:rPr>
                <w:sz w:val="20"/>
                <w:szCs w:val="20"/>
                <w:color w:val="auto"/>
              </w:rPr>
            </w:pPr>
            <w:r>
              <w:rPr>
                <w:rFonts w:ascii="Times New Roman" w:cs="Times New Roman" w:eastAsia="Times New Roman" w:hAnsi="Times New Roman"/>
                <w:sz w:val="20"/>
                <w:szCs w:val="20"/>
                <w:color w:val="auto"/>
                <w:w w:val="97"/>
              </w:rPr>
              <w:t>Effective as of today,</w:t>
            </w:r>
          </w:p>
        </w:tc>
        <w:tc>
          <w:tcPr>
            <w:tcW w:w="1580" w:type="dxa"/>
            <w:vAlign w:val="bottom"/>
            <w:gridSpan w:val="2"/>
          </w:tcPr>
          <w:p>
            <w:pPr>
              <w:spacing w:after="0"/>
              <w:rPr>
                <w:sz w:val="19"/>
                <w:szCs w:val="19"/>
                <w:color w:val="auto"/>
              </w:rPr>
            </w:pPr>
          </w:p>
        </w:tc>
        <w:tc>
          <w:tcPr>
            <w:tcW w:w="460" w:type="dxa"/>
            <w:vAlign w:val="bottom"/>
            <w:gridSpan w:val="2"/>
          </w:tcPr>
          <w:p>
            <w:pPr>
              <w:jc w:val="right"/>
              <w:ind w:right="420"/>
              <w:spacing w:after="0"/>
              <w:rPr>
                <w:sz w:val="20"/>
                <w:szCs w:val="20"/>
                <w:color w:val="auto"/>
              </w:rPr>
            </w:pPr>
            <w:r>
              <w:rPr>
                <w:rFonts w:ascii="Times New Roman" w:cs="Times New Roman" w:eastAsia="Times New Roman" w:hAnsi="Times New Roman"/>
                <w:sz w:val="11"/>
                <w:szCs w:val="11"/>
                <w:color w:val="auto"/>
                <w:w w:val="70"/>
              </w:rPr>
              <w:t>,</w:t>
            </w:r>
          </w:p>
        </w:tc>
        <w:tc>
          <w:tcPr>
            <w:tcW w:w="700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 xml:space="preserve">, the undersigned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Participant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hereby elects to exercise Participant’s option to</w:t>
            </w: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purchase</w:t>
            </w:r>
          </w:p>
        </w:tc>
        <w:tc>
          <w:tcPr>
            <w:tcW w:w="10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vMerge w:val="continue"/>
          </w:tcPr>
          <w:p>
            <w:pPr>
              <w:spacing w:after="0"/>
              <w:rPr>
                <w:sz w:val="19"/>
                <w:szCs w:val="19"/>
                <w:color w:val="auto"/>
              </w:rPr>
            </w:pPr>
          </w:p>
        </w:tc>
        <w:tc>
          <w:tcPr>
            <w:tcW w:w="10100" w:type="dxa"/>
            <w:vAlign w:val="bottom"/>
            <w:gridSpan w:val="8"/>
          </w:tcPr>
          <w:p>
            <w:pPr>
              <w:ind w:left="420"/>
              <w:spacing w:after="0" w:line="223" w:lineRule="exact"/>
              <w:rPr>
                <w:sz w:val="20"/>
                <w:szCs w:val="20"/>
                <w:color w:val="auto"/>
              </w:rPr>
            </w:pPr>
            <w:r>
              <w:rPr>
                <w:rFonts w:ascii="Times New Roman" w:cs="Times New Roman" w:eastAsia="Times New Roman" w:hAnsi="Times New Roman"/>
                <w:sz w:val="20"/>
                <w:szCs w:val="20"/>
                <w:color w:val="auto"/>
                <w:w w:val="99"/>
              </w:rPr>
              <w:t>Shares of Invivyd, Inc. (the “</w:t>
            </w:r>
            <w:r>
              <w:rPr>
                <w:rFonts w:ascii="Times New Roman" w:cs="Times New Roman" w:eastAsia="Times New Roman" w:hAnsi="Times New Roman"/>
                <w:sz w:val="20"/>
                <w:szCs w:val="20"/>
                <w:b w:val="1"/>
                <w:bCs w:val="1"/>
                <w:i w:val="1"/>
                <w:iCs w:val="1"/>
                <w:color w:val="auto"/>
                <w:w w:val="99"/>
              </w:rPr>
              <w:t>Company</w:t>
            </w:r>
            <w:r>
              <w:rPr>
                <w:rFonts w:ascii="Times New Roman" w:cs="Times New Roman" w:eastAsia="Times New Roman" w:hAnsi="Times New Roman"/>
                <w:sz w:val="20"/>
                <w:szCs w:val="20"/>
                <w:color w:val="auto"/>
                <w:w w:val="99"/>
              </w:rPr>
              <w:t>”) under and pursuant to the Invivyd, Inc. 2020 Equity Incentive Plan (the “</w:t>
            </w:r>
            <w:r>
              <w:rPr>
                <w:rFonts w:ascii="Times New Roman" w:cs="Times New Roman" w:eastAsia="Times New Roman" w:hAnsi="Times New Roman"/>
                <w:sz w:val="20"/>
                <w:szCs w:val="20"/>
                <w:b w:val="1"/>
                <w:bCs w:val="1"/>
                <w:i w:val="1"/>
                <w:iCs w:val="1"/>
                <w:color w:val="auto"/>
                <w:w w:val="99"/>
              </w:rPr>
              <w:t>Plan</w:t>
            </w:r>
            <w:r>
              <w:rPr>
                <w:rFonts w:ascii="Times New Roman" w:cs="Times New Roman" w:eastAsia="Times New Roman" w:hAnsi="Times New Roman"/>
                <w:sz w:val="20"/>
                <w:szCs w:val="20"/>
                <w:color w:val="auto"/>
                <w:w w:val="99"/>
              </w:rPr>
              <w:t>”)</w:t>
            </w:r>
          </w:p>
        </w:tc>
        <w:tc>
          <w:tcPr>
            <w:tcW w:w="0" w:type="dxa"/>
            <w:vAlign w:val="bottom"/>
          </w:tcPr>
          <w:p>
            <w:pPr>
              <w:spacing w:after="0"/>
              <w:rPr>
                <w:sz w:val="1"/>
                <w:szCs w:val="1"/>
                <w:color w:val="auto"/>
              </w:rPr>
            </w:pPr>
          </w:p>
        </w:tc>
      </w:tr>
      <w:tr>
        <w:trPr>
          <w:trHeight w:val="216"/>
        </w:trPr>
        <w:tc>
          <w:tcPr>
            <w:tcW w:w="3100" w:type="dxa"/>
            <w:vAlign w:val="bottom"/>
            <w:gridSpan w:val="3"/>
          </w:tcPr>
          <w:p>
            <w:pPr>
              <w:spacing w:after="0" w:line="216" w:lineRule="exact"/>
              <w:rPr>
                <w:sz w:val="20"/>
                <w:szCs w:val="20"/>
                <w:color w:val="auto"/>
              </w:rPr>
            </w:pPr>
            <w:r>
              <w:rPr>
                <w:rFonts w:ascii="Times New Roman" w:cs="Times New Roman" w:eastAsia="Times New Roman" w:hAnsi="Times New Roman"/>
                <w:sz w:val="20"/>
                <w:szCs w:val="20"/>
                <w:color w:val="auto"/>
                <w:w w:val="98"/>
              </w:rPr>
              <w:t>and the Stock Option Agreement dated</w:t>
            </w:r>
          </w:p>
        </w:tc>
        <w:tc>
          <w:tcPr>
            <w:tcW w:w="6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56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w w:val="98"/>
              </w:rPr>
              <w:t>, ____ (the “</w:t>
            </w:r>
            <w:r>
              <w:rPr>
                <w:rFonts w:ascii="Times New Roman" w:cs="Times New Roman" w:eastAsia="Times New Roman" w:hAnsi="Times New Roman"/>
                <w:sz w:val="20"/>
                <w:szCs w:val="20"/>
                <w:b w:val="1"/>
                <w:bCs w:val="1"/>
                <w:i w:val="1"/>
                <w:iCs w:val="1"/>
                <w:color w:val="auto"/>
                <w:w w:val="98"/>
              </w:rPr>
              <w:t>Option Agreement</w:t>
            </w:r>
            <w:r>
              <w:rPr>
                <w:rFonts w:ascii="Times New Roman" w:cs="Times New Roman" w:eastAsia="Times New Roman" w:hAnsi="Times New Roman"/>
                <w:sz w:val="20"/>
                <w:szCs w:val="20"/>
                <w:color w:val="auto"/>
                <w:w w:val="98"/>
              </w:rPr>
              <w:t>”). Capitalized terms used herein without definition</w:t>
            </w:r>
          </w:p>
        </w:tc>
        <w:tc>
          <w:tcPr>
            <w:tcW w:w="0" w:type="dxa"/>
            <w:vAlign w:val="bottom"/>
          </w:tcPr>
          <w:p>
            <w:pPr>
              <w:spacing w:after="0"/>
              <w:rPr>
                <w:sz w:val="1"/>
                <w:szCs w:val="1"/>
                <w:color w:val="auto"/>
              </w:rPr>
            </w:pPr>
          </w:p>
        </w:tc>
      </w:tr>
    </w:tbl>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shall have the meanings given in the Option Agreement.</w:t>
      </w:r>
    </w:p>
    <w:p>
      <w:pPr>
        <w:spacing w:after="0" w:line="200" w:lineRule="exact"/>
        <w:rPr>
          <w:sz w:val="20"/>
          <w:szCs w:val="20"/>
          <w:color w:val="auto"/>
        </w:rPr>
      </w:pPr>
    </w:p>
    <w:p>
      <w:pPr>
        <w:spacing w:after="0" w:line="2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16510</wp:posOffset>
            </wp:positionV>
            <wp:extent cx="588073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4">
                      <a:extLst>
                        <a:ext uri="{28A0092B-C50C-407E-A947-70E740481C1C}"/>
                      </a:extLst>
                    </a:blip>
                    <a:srcRect/>
                    <a:stretch>
                      <a:fillRect/>
                    </a:stretch>
                  </pic:blipFill>
                  <pic:spPr bwMode="auto">
                    <a:xfrm>
                      <a:off x="0" y="0"/>
                      <a:ext cx="5880735" cy="8255"/>
                    </a:xfrm>
                    <a:prstGeom prst="rect">
                      <a:avLst/>
                    </a:prstGeom>
                    <a:noFill/>
                  </pic:spPr>
                </pic:pic>
              </a:graphicData>
            </a:graphic>
          </wp:anchor>
        </w:drawing>
      </w:r>
    </w:p>
    <w:p>
      <w:pPr>
        <w:spacing w:after="0" w:line="2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Number of Shares as to which</w:t>
      </w:r>
    </w:p>
    <w:p>
      <w:pPr>
        <w:spacing w:after="0" w:line="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Option is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0</wp:posOffset>
            </wp:positionV>
            <wp:extent cx="499745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5">
                      <a:extLst>
                        <a:ext uri="{28A0092B-C50C-407E-A947-70E740481C1C}"/>
                      </a:extLst>
                    </a:blip>
                    <a:srcRect/>
                    <a:stretch>
                      <a:fillRect/>
                    </a:stretch>
                  </pic:blipFill>
                  <pic:spPr bwMode="auto">
                    <a:xfrm>
                      <a:off x="0" y="0"/>
                      <a:ext cx="4997450" cy="8255"/>
                    </a:xfrm>
                    <a:prstGeom prst="rect">
                      <a:avLst/>
                    </a:prstGeom>
                    <a:noFill/>
                  </pic:spPr>
                </pic:pic>
              </a:graphicData>
            </a:graphic>
          </wp:anchor>
        </w:drawing>
      </w:r>
    </w:p>
    <w:p>
      <w:pPr>
        <w:spacing w:after="0" w:line="19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Exercise Price per Share:</w:t>
      </w:r>
    </w:p>
    <w:p>
      <w:pPr>
        <w:spacing w:after="0" w:line="1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w:t>
      </w:r>
    </w:p>
    <w:p>
      <w:pPr>
        <w:spacing w:after="0" w:line="20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Total Exercise Price:</w:t>
      </w:r>
    </w:p>
    <w:p>
      <w:pPr>
        <w:spacing w:after="0" w:line="1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w:t>
      </w:r>
    </w:p>
    <w:p>
      <w:pPr>
        <w:spacing w:after="0" w:line="20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Certificate to be issued in name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153670</wp:posOffset>
            </wp:positionV>
            <wp:extent cx="499745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6">
                      <a:extLst>
                        <a:ext uri="{28A0092B-C50C-407E-A947-70E740481C1C}"/>
                      </a:extLst>
                    </a:blip>
                    <a:srcRect/>
                    <a:stretch>
                      <a:fillRect/>
                    </a:stretch>
                  </pic:blipFill>
                  <pic:spPr bwMode="auto">
                    <a:xfrm>
                      <a:off x="0" y="0"/>
                      <a:ext cx="4997450" cy="825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30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Cash Payment delivered herewith:</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Borders>
              <w:bottom w:val="single" w:sz="8" w:color="auto"/>
            </w:tcBorders>
          </w:tcPr>
          <w:p>
            <w:pPr>
              <w:spacing w:after="0"/>
              <w:rPr>
                <w:sz w:val="19"/>
                <w:szCs w:val="19"/>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20"/>
                <w:szCs w:val="20"/>
                <w:color w:val="auto"/>
                <w:w w:val="98"/>
              </w:rPr>
              <w:t>(Representing the full Exercise Price for the Shares, as well as any applicable</w:t>
            </w:r>
          </w:p>
        </w:tc>
      </w:tr>
      <w:tr>
        <w:trPr>
          <w:trHeight w:val="252"/>
        </w:trPr>
        <w:tc>
          <w:tcPr>
            <w:tcW w:w="3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20"/>
                <w:szCs w:val="20"/>
                <w:color w:val="auto"/>
              </w:rPr>
              <w:t>withholding tax)</w:t>
            </w:r>
          </w:p>
        </w:tc>
        <w:tc>
          <w:tcPr>
            <w:tcW w:w="6120" w:type="dxa"/>
            <w:vAlign w:val="bottom"/>
          </w:tcPr>
          <w:p>
            <w:pPr>
              <w:spacing w:after="0"/>
              <w:rPr>
                <w:sz w:val="21"/>
                <w:szCs w:val="21"/>
                <w:color w:val="auto"/>
              </w:rPr>
            </w:pPr>
          </w:p>
        </w:tc>
      </w:tr>
    </w:tbl>
    <w:p>
      <w:pPr>
        <w:spacing w:after="0" w:line="174" w:lineRule="exact"/>
        <w:rPr>
          <w:sz w:val="20"/>
          <w:szCs w:val="20"/>
          <w:color w:val="auto"/>
        </w:rPr>
      </w:pPr>
    </w:p>
    <w:p>
      <w:pPr>
        <w:spacing w:after="0"/>
        <w:tabs>
          <w:tab w:leader="none" w:pos="1580" w:val="left"/>
        </w:tabs>
        <w:rPr>
          <w:sz w:val="20"/>
          <w:szCs w:val="20"/>
          <w:color w:val="auto"/>
        </w:rPr>
      </w:pPr>
      <w:r>
        <w:rPr>
          <w:rFonts w:ascii="Times New Roman" w:cs="Times New Roman" w:eastAsia="Times New Roman" w:hAnsi="Times New Roman"/>
          <w:sz w:val="20"/>
          <w:szCs w:val="20"/>
          <w:b w:val="1"/>
          <w:bCs w:val="1"/>
          <w:color w:val="auto"/>
        </w:rPr>
        <w:t>Type of Option:</w:t>
      </w:r>
      <w:r>
        <w:rPr>
          <w:sz w:val="20"/>
          <w:szCs w:val="20"/>
          <w:color w:val="auto"/>
        </w:rPr>
        <w:tab/>
      </w:r>
      <w:r>
        <w:rPr>
          <w:rFonts w:ascii="Times New Roman" w:cs="Times New Roman" w:eastAsia="Times New Roman" w:hAnsi="Times New Roman"/>
          <w:sz w:val="19"/>
          <w:szCs w:val="19"/>
          <w:color w:val="auto"/>
        </w:rPr>
        <w:t>[Incentive Stock Option/Non-Qualified Stock Option]</w:t>
      </w:r>
    </w:p>
    <w:p>
      <w:pPr>
        <w:spacing w:after="0" w:line="220" w:lineRule="exact"/>
        <w:rPr>
          <w:sz w:val="20"/>
          <w:szCs w:val="20"/>
          <w:color w:val="auto"/>
        </w:rPr>
      </w:pPr>
    </w:p>
    <w:p>
      <w:pPr>
        <w:ind w:left="720" w:hanging="203"/>
        <w:spacing w:after="0"/>
        <w:tabs>
          <w:tab w:leader="none" w:pos="72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of Participant</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right="900" w:firstLine="1154"/>
        <w:spacing w:after="0" w:line="269" w:lineRule="auto"/>
        <w:tabs>
          <w:tab w:leader="none" w:pos="1415"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acknowledges that Participant has received, read and understood the Plan and the Option Agreement. Participant agrees to abide by and be bound by their terms and conditions.</w:t>
      </w:r>
    </w:p>
    <w:p>
      <w:pPr>
        <w:spacing w:after="0" w:line="159" w:lineRule="exact"/>
        <w:rPr>
          <w:rFonts w:ascii="Times New Roman" w:cs="Times New Roman" w:eastAsia="Times New Roman" w:hAnsi="Times New Roman"/>
          <w:sz w:val="20"/>
          <w:szCs w:val="20"/>
          <w:color w:val="auto"/>
        </w:rPr>
      </w:pPr>
    </w:p>
    <w:p>
      <w:pPr>
        <w:jc w:val="both"/>
        <w:ind w:right="220" w:firstLine="1154"/>
        <w:spacing w:after="0" w:line="247" w:lineRule="auto"/>
        <w:tabs>
          <w:tab w:leader="none" w:pos="1426"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Participant acknowledges that Participant is purchasing the Shares for Participant’s own account for investment only, and not with a view to, or for sale in connection with, any distribution of the Shares in violation of the Securities Act of 1933, as amended (the “Securities </w:t>
      </w:r>
      <w:r>
        <w:rPr>
          <w:rFonts w:ascii="Times New Roman" w:cs="Times New Roman" w:eastAsia="Times New Roman" w:hAnsi="Times New Roman"/>
          <w:sz w:val="20"/>
          <w:szCs w:val="20"/>
          <w:b w:val="1"/>
          <w:bCs w:val="1"/>
          <w:i w:val="1"/>
          <w:iCs w:val="1"/>
          <w:color w:val="auto"/>
        </w:rPr>
        <w:t>Act”),</w:t>
      </w:r>
      <w:r>
        <w:rPr>
          <w:rFonts w:ascii="Times New Roman" w:cs="Times New Roman" w:eastAsia="Times New Roman" w:hAnsi="Times New Roman"/>
          <w:sz w:val="20"/>
          <w:szCs w:val="20"/>
          <w:color w:val="auto"/>
        </w:rPr>
        <w:t xml:space="preserve"> or any rule or regulation under the Securities Act.</w:t>
      </w:r>
    </w:p>
    <w:p>
      <w:pPr>
        <w:spacing w:after="0" w:line="180" w:lineRule="exact"/>
        <w:rPr>
          <w:rFonts w:ascii="Times New Roman" w:cs="Times New Roman" w:eastAsia="Times New Roman" w:hAnsi="Times New Roman"/>
          <w:sz w:val="20"/>
          <w:szCs w:val="20"/>
          <w:color w:val="auto"/>
        </w:rPr>
      </w:pPr>
    </w:p>
    <w:p>
      <w:pPr>
        <w:ind w:right="340" w:firstLine="1154"/>
        <w:spacing w:after="0" w:line="295" w:lineRule="auto"/>
        <w:tabs>
          <w:tab w:leader="none" w:pos="1415" w:val="left"/>
        </w:tabs>
        <w:numPr>
          <w:ilvl w:val="1"/>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Participant has had such opportunity as Participant has deemed adequate to obtain from representatives of the Company such information as is necessary to permit Participant to evaluate the merits and risks of Participant’s investment in the Company.</w:t>
      </w:r>
    </w:p>
    <w:p>
      <w:pPr>
        <w:spacing w:after="0" w:line="137" w:lineRule="exact"/>
        <w:rPr>
          <w:rFonts w:ascii="Times New Roman" w:cs="Times New Roman" w:eastAsia="Times New Roman" w:hAnsi="Times New Roman"/>
          <w:sz w:val="19"/>
          <w:szCs w:val="19"/>
          <w:color w:val="auto"/>
        </w:rPr>
      </w:pPr>
    </w:p>
    <w:p>
      <w:pPr>
        <w:ind w:right="160" w:firstLine="1154"/>
        <w:spacing w:after="0" w:line="269" w:lineRule="auto"/>
        <w:tabs>
          <w:tab w:leader="none" w:pos="1426"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has sufficient experience in business, financial and investment matters to be able to evaluate the risks involved in the purchase of the Shares and to make an informed investment decision with respect to such purchase.</w:t>
      </w:r>
    </w:p>
    <w:p>
      <w:pPr>
        <w:spacing w:after="0" w:line="159" w:lineRule="exact"/>
        <w:rPr>
          <w:rFonts w:ascii="Times New Roman" w:cs="Times New Roman" w:eastAsia="Times New Roman" w:hAnsi="Times New Roman"/>
          <w:sz w:val="20"/>
          <w:szCs w:val="20"/>
          <w:color w:val="auto"/>
        </w:rPr>
      </w:pPr>
    </w:p>
    <w:p>
      <w:pPr>
        <w:ind w:right="540" w:firstLine="1154"/>
        <w:spacing w:after="0" w:line="269" w:lineRule="auto"/>
        <w:tabs>
          <w:tab w:leader="none" w:pos="1415"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can afford a complete loss of the value of the Shares and is able to bear the economic risk of holding such Shares for an indefinite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308610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127" w:name="page128"/>
    <w:bookmarkEnd w:id="127"/>
    <w:p>
      <w:pPr>
        <w:ind w:left="-517" w:firstLine="1154"/>
        <w:spacing w:after="0" w:line="242" w:lineRule="auto"/>
        <w:tabs>
          <w:tab w:leader="none" w:pos="876"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understands that (i) the Shares have not been registered under the Securities Act and are “restricted securities” within the meaning of Rule 144 under the Securities Act, (ii) the Shares cannot be sold, transferred or otherwise disposed of unless they are subsequently registered under the Securities Act or an exemption from registration is then available; (iii) in any event, the exemption from registration under Rule 144 will not be available for at least one year and even then will not be available unless a public market then exists for the Common Stock, adequate information concerning the Company is then available to the public, and other terms and conditions of Rule 144 are complied with; and (iv) there is now no registration statement on file with the Securities and Exchange Commission with respect to any stock of the Company and the Company has no obligation or current intention to register the Shares under the Securities Act.</w:t>
      </w:r>
    </w:p>
    <w:p>
      <w:pPr>
        <w:spacing w:after="0" w:line="185" w:lineRule="exact"/>
        <w:rPr>
          <w:rFonts w:ascii="Times New Roman" w:cs="Times New Roman" w:eastAsia="Times New Roman" w:hAnsi="Times New Roman"/>
          <w:sz w:val="20"/>
          <w:szCs w:val="20"/>
          <w:color w:val="auto"/>
        </w:rPr>
      </w:pPr>
    </w:p>
    <w:p>
      <w:pPr>
        <w:ind w:left="-517" w:firstLine="517"/>
        <w:spacing w:after="0" w:line="242" w:lineRule="auto"/>
        <w:tabs>
          <w:tab w:leader="none" w:pos="19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 Consultation</w:t>
      </w:r>
      <w:r>
        <w:rPr>
          <w:rFonts w:ascii="Times New Roman" w:cs="Times New Roman" w:eastAsia="Times New Roman" w:hAnsi="Times New Roman"/>
          <w:sz w:val="20"/>
          <w:szCs w:val="20"/>
          <w:color w:val="auto"/>
        </w:rPr>
        <w:t>. Participant understands that Participant may suffer adverse tax consequences as a result of Participant’s purchase or disposition of the Shares. Participant represents that Participant has consulted with any tax consultants Participant deems advisable in connection with the purchase or disposition of the Shares and that Participant is not relying on the Company for any tax advice. Participant is relying solely on such advisors and not on any statements or representations of the Company or any of its agents. Participant understands that Participant (and not the Company) shall be responsible for Participant’s tax liability that may arise as a result of this investment or the transactions contemplated by this Agreement.</w:t>
      </w:r>
    </w:p>
    <w:p>
      <w:pPr>
        <w:spacing w:after="0" w:line="188" w:lineRule="exact"/>
        <w:rPr>
          <w:rFonts w:ascii="Times New Roman" w:cs="Times New Roman" w:eastAsia="Times New Roman" w:hAnsi="Times New Roman"/>
          <w:sz w:val="20"/>
          <w:szCs w:val="20"/>
          <w:color w:val="auto"/>
        </w:rPr>
      </w:pPr>
    </w:p>
    <w:p>
      <w:pPr>
        <w:ind w:left="203" w:hanging="203"/>
        <w:spacing w:after="0"/>
        <w:tabs>
          <w:tab w:leader="none" w:pos="203"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Restrictive Legends and Stop-Transfer Orders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517" w:right="100" w:firstLine="1154"/>
        <w:spacing w:after="0" w:line="254" w:lineRule="auto"/>
        <w:tabs>
          <w:tab w:leader="none" w:pos="898"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Legends</w:t>
      </w:r>
      <w:r>
        <w:rPr>
          <w:rFonts w:ascii="Times New Roman" w:cs="Times New Roman" w:eastAsia="Times New Roman" w:hAnsi="Times New Roman"/>
          <w:sz w:val="20"/>
          <w:szCs w:val="20"/>
          <w:color w:val="auto"/>
        </w:rPr>
        <w:t>. Participant understands and agrees that the Company shall cause any certificates issued evidencing the Shares to have the legends set forth below or legends substantially equivalent thereto, together with any other legends that may be required by state or federal securities laws:</w:t>
      </w:r>
    </w:p>
    <w:p>
      <w:pPr>
        <w:spacing w:after="0" w:line="66" w:lineRule="exact"/>
        <w:rPr>
          <w:sz w:val="20"/>
          <w:szCs w:val="20"/>
          <w:color w:val="auto"/>
        </w:rPr>
      </w:pPr>
    </w:p>
    <w:p>
      <w:pPr>
        <w:ind w:left="643" w:right="160"/>
        <w:spacing w:after="0" w:line="242" w:lineRule="auto"/>
        <w:rPr>
          <w:sz w:val="20"/>
          <w:szCs w:val="20"/>
          <w:color w:val="auto"/>
        </w:rPr>
      </w:pPr>
      <w:r>
        <w:rPr>
          <w:rFonts w:ascii="Times New Roman" w:cs="Times New Roman" w:eastAsia="Times New Roman" w:hAnsi="Times New Roman"/>
          <w:sz w:val="20"/>
          <w:szCs w:val="20"/>
          <w:color w:val="auto"/>
        </w:rPr>
        <w:t>THE SHARES REPRESENTED HEREBY HAVE NOT BEEN REGISTERED UNDER THE SECURITIES ACT OF 1933, AS AMENDED (“ACT”), NOR HAVE THEY BEEN REGISTERED OR QUALIFIED UNDER THE SECURITIES LAWS OF ANY STATE. NO TRANSFER OF SUCH SECURITIES WILL BE PERMITTED UNLESS A REGISTRATION STATEMENT UNDER THE ACT IS IN EFFECT AS TO SUCH TRANSFER, THE TRANSFER IS MADE IN ACCORDANCE WITH RULE 144 UNDER THE ACT, OR IN THE OPINION OF COUNSEL (WHICH MAY BE COUNSEL FOR THE COMPANY) REGISTRATION UNDER THE ACT IS UNNECESSARY IN ORDER FOR SUCH TRANSFER TO COMPLY WITH THE ACT AND WITH APPLICABLE STATE SECURITIES LAWS.</w:t>
      </w:r>
    </w:p>
    <w:p>
      <w:pPr>
        <w:spacing w:after="0" w:line="78" w:lineRule="exact"/>
        <w:rPr>
          <w:sz w:val="20"/>
          <w:szCs w:val="20"/>
          <w:color w:val="auto"/>
        </w:rPr>
      </w:pPr>
    </w:p>
    <w:p>
      <w:pPr>
        <w:ind w:left="643" w:right="80"/>
        <w:spacing w:after="0" w:line="243" w:lineRule="auto"/>
        <w:rPr>
          <w:sz w:val="20"/>
          <w:szCs w:val="20"/>
          <w:color w:val="auto"/>
        </w:rPr>
      </w:pPr>
      <w:r>
        <w:rPr>
          <w:rFonts w:ascii="Times New Roman" w:cs="Times New Roman" w:eastAsia="Times New Roman" w:hAnsi="Times New Roman"/>
          <w:sz w:val="20"/>
          <w:szCs w:val="20"/>
          <w:color w:val="auto"/>
        </w:rPr>
        <w:t>THE SHARES REPRESENTED BY THIS CERTIFICATE MAY BE SUBJECT TO REPURCHASE PURSUANT TO, AND MAY BE TRANSFERRED ONLY IN ACCORDANCE WITH, THE TERMS OF AN AGREEMENT BETWEEN THE COMPANY AND THE STOCKHOLDER, A COPY OF WHICH IS ON FILE WITH THE SECRETARY OF THE COMPANY. SUCH REPURCHASE AND/OR TRANSFER RESTRICTIONS ARE BINDING ON TRANSFEREES OF THESE SHARES.</w:t>
      </w:r>
    </w:p>
    <w:p>
      <w:pPr>
        <w:spacing w:after="0" w:line="186" w:lineRule="exact"/>
        <w:rPr>
          <w:sz w:val="20"/>
          <w:szCs w:val="20"/>
          <w:color w:val="auto"/>
        </w:rPr>
      </w:pPr>
    </w:p>
    <w:p>
      <w:pPr>
        <w:ind w:left="-517" w:right="520" w:firstLine="1154"/>
        <w:spacing w:after="0" w:line="247" w:lineRule="auto"/>
        <w:tabs>
          <w:tab w:leader="none" w:pos="909"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agrees that, in order to ensure compliance with the restrictions referred to herein, the Company may issue appropriate “stop transfer” instructions to its transfer agent, if any, and that, if the Company transfers its own securities, it may make appropriate notations to the same effect in its own records.</w:t>
      </w:r>
    </w:p>
    <w:p>
      <w:pPr>
        <w:spacing w:after="0" w:line="194" w:lineRule="exact"/>
        <w:rPr>
          <w:rFonts w:ascii="Times New Roman" w:cs="Times New Roman" w:eastAsia="Times New Roman" w:hAnsi="Times New Roman"/>
          <w:sz w:val="20"/>
          <w:szCs w:val="20"/>
          <w:color w:val="auto"/>
        </w:rPr>
      </w:pPr>
    </w:p>
    <w:p>
      <w:pPr>
        <w:ind w:left="-517" w:right="260" w:firstLine="1154"/>
        <w:spacing w:after="0" w:line="269" w:lineRule="auto"/>
        <w:tabs>
          <w:tab w:leader="none" w:pos="898"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not be required (i) to transfer on its books any Shares that have been sold or otherwise transferred in violation of any of the provisions of this Agreement or (ii) to treat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163195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3"/>
          </w:cols>
          <w:pgMar w:left="837" w:top="319" w:right="379" w:bottom="1440" w:gutter="0" w:footer="0" w:header="0"/>
        </w:sectPr>
      </w:pPr>
    </w:p>
    <w:bookmarkStart w:id="128" w:name="page129"/>
    <w:bookmarkEnd w:id="128"/>
    <w:p>
      <w:pPr>
        <w:spacing w:after="0" w:line="269" w:lineRule="auto"/>
        <w:rPr>
          <w:sz w:val="20"/>
          <w:szCs w:val="20"/>
          <w:color w:val="auto"/>
        </w:rPr>
      </w:pPr>
      <w:r>
        <w:rPr>
          <w:rFonts w:ascii="Times New Roman" w:cs="Times New Roman" w:eastAsia="Times New Roman" w:hAnsi="Times New Roman"/>
          <w:sz w:val="20"/>
          <w:szCs w:val="20"/>
          <w:color w:val="auto"/>
        </w:rPr>
        <w:t>owner of such Shares or to accord the right to vote or pay dividends to any purchaser or other transferee to whom such Shares shall have been so transferred.</w:t>
      </w:r>
    </w:p>
    <w:p>
      <w:pPr>
        <w:spacing w:after="0" w:line="159" w:lineRule="exact"/>
        <w:rPr>
          <w:sz w:val="20"/>
          <w:szCs w:val="20"/>
          <w:color w:val="auto"/>
        </w:rPr>
      </w:pPr>
    </w:p>
    <w:p>
      <w:pPr>
        <w:ind w:right="160" w:firstLine="517"/>
        <w:spacing w:after="0" w:line="269" w:lineRule="auto"/>
        <w:tabs>
          <w:tab w:leader="none" w:pos="707"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 required or permitted hereunder shall be given in accordance with the provisions set forth in Section 5.2 of the Option Agreement.</w:t>
      </w:r>
    </w:p>
    <w:p>
      <w:pPr>
        <w:spacing w:after="0" w:line="159" w:lineRule="exact"/>
        <w:rPr>
          <w:rFonts w:ascii="Times New Roman" w:cs="Times New Roman" w:eastAsia="Times New Roman" w:hAnsi="Times New Roman"/>
          <w:sz w:val="20"/>
          <w:szCs w:val="20"/>
          <w:color w:val="auto"/>
        </w:rPr>
      </w:pPr>
    </w:p>
    <w:p>
      <w:pPr>
        <w:ind w:right="20" w:firstLine="517"/>
        <w:spacing w:after="0" w:line="243" w:lineRule="auto"/>
        <w:tabs>
          <w:tab w:leader="none" w:pos="707"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Further Instruments</w:t>
      </w:r>
      <w:r>
        <w:rPr>
          <w:rFonts w:ascii="Times New Roman" w:cs="Times New Roman" w:eastAsia="Times New Roman" w:hAnsi="Times New Roman"/>
          <w:sz w:val="20"/>
          <w:szCs w:val="20"/>
          <w:color w:val="auto"/>
        </w:rPr>
        <w:t>. Participant hereby agrees to execute such further instruments and to take such further action as the Company requests to carry out the purposes and intent of this Agreement and the Plan, including, without limitation, restrictions on the transferability of shares of Common Stock, the right of the Company to repurchase shares of Common Stock, the right of the Company to require that shares of Common Stock be transferred in the event of certain transactions, tag-along rights, bring-along rights, redemption and co-sale rights and voting requirements in accordance with Section 10.15 of the Plan.</w:t>
      </w:r>
    </w:p>
    <w:p>
      <w:pPr>
        <w:spacing w:after="0" w:line="185" w:lineRule="exact"/>
        <w:rPr>
          <w:rFonts w:ascii="Times New Roman" w:cs="Times New Roman" w:eastAsia="Times New Roman" w:hAnsi="Times New Roman"/>
          <w:sz w:val="20"/>
          <w:szCs w:val="20"/>
          <w:color w:val="auto"/>
        </w:rPr>
      </w:pPr>
    </w:p>
    <w:p>
      <w:pPr>
        <w:ind w:right="180" w:firstLine="517"/>
        <w:spacing w:after="0" w:line="254" w:lineRule="auto"/>
        <w:tabs>
          <w:tab w:leader="none" w:pos="707"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The Plan and Option Agreement are incorporated herein by reference. This Agreement, the Plan and the Option Agreement constitute the entire agreement of the parties and supersede in their entirety all prior undertakings and agreements of the Company and Participant with respect to the subject matter hereof.</w:t>
      </w:r>
    </w:p>
    <w:p>
      <w:pPr>
        <w:sectPr>
          <w:pgSz w:w="11900" w:h="16838" w:orient="portrait"/>
          <w:cols w:equalWidth="0" w:num="1">
            <w:col w:w="11240"/>
          </w:cols>
          <w:pgMar w:left="320" w:top="319" w:right="339" w:bottom="1440" w:gutter="0" w:footer="0" w:header="0"/>
        </w:sectPr>
      </w:pPr>
    </w:p>
    <w:p>
      <w:pPr>
        <w:spacing w:after="0" w:line="4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ACCEPTED BY:</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jc w:val="center"/>
        <w:ind w:right="4040"/>
        <w:spacing w:after="0"/>
        <w:rPr>
          <w:sz w:val="20"/>
          <w:szCs w:val="20"/>
          <w:color w:val="auto"/>
        </w:rPr>
      </w:pPr>
      <w:r>
        <w:rPr>
          <w:rFonts w:ascii="Times New Roman" w:cs="Times New Roman" w:eastAsia="Times New Roman" w:hAnsi="Times New Roman"/>
          <w:sz w:val="19"/>
          <w:szCs w:val="19"/>
          <w:b w:val="1"/>
          <w:bCs w:val="1"/>
          <w:color w:val="auto"/>
        </w:rPr>
        <w:t>SUBMITTED BY</w:t>
      </w:r>
    </w:p>
    <w:p>
      <w:pPr>
        <w:spacing w:after="0" w:line="200" w:lineRule="exact"/>
        <w:rPr>
          <w:sz w:val="20"/>
          <w:szCs w:val="20"/>
          <w:color w:val="auto"/>
        </w:rPr>
      </w:pPr>
    </w:p>
    <w:p>
      <w:pPr>
        <w:sectPr>
          <w:pgSz w:w="11900" w:h="16838" w:orient="portrait"/>
          <w:cols w:equalWidth="0" w:num="2">
            <w:col w:w="4980" w:space="720"/>
            <w:col w:w="5540"/>
          </w:cols>
          <w:pgMar w:left="320" w:top="319" w:right="339" w:bottom="1440" w:gutter="0" w:footer="0" w:header="0"/>
          <w:type w:val="continuous"/>
        </w:sectPr>
      </w:pP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INVIVYD, INC.</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jc w:val="center"/>
        <w:ind w:right="4160"/>
        <w:spacing w:after="0"/>
        <w:rPr>
          <w:sz w:val="20"/>
          <w:szCs w:val="20"/>
          <w:color w:val="auto"/>
        </w:rPr>
      </w:pPr>
      <w:r>
        <w:rPr>
          <w:rFonts w:ascii="Times New Roman" w:cs="Times New Roman" w:eastAsia="Times New Roman" w:hAnsi="Times New Roman"/>
          <w:sz w:val="18"/>
          <w:szCs w:val="18"/>
          <w:b w:val="1"/>
          <w:bCs w:val="1"/>
          <w:color w:val="auto"/>
        </w:rPr>
        <w:t>PARTICIPANT:</w:t>
      </w:r>
    </w:p>
    <w:p>
      <w:pPr>
        <w:spacing w:after="0" w:line="211" w:lineRule="exact"/>
        <w:rPr>
          <w:sz w:val="20"/>
          <w:szCs w:val="20"/>
          <w:color w:val="auto"/>
        </w:rPr>
      </w:pPr>
    </w:p>
    <w:p>
      <w:pPr>
        <w:sectPr>
          <w:pgSz w:w="11900" w:h="16838" w:orient="portrait"/>
          <w:cols w:equalWidth="0" w:num="2">
            <w:col w:w="4980" w:space="720"/>
            <w:col w:w="5540"/>
          </w:cols>
          <w:pgMar w:left="320" w:top="31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151130</wp:posOffset>
            </wp:positionV>
            <wp:extent cx="688340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9">
                      <a:extLst>
                        <a:ext uri="{28A0092B-C50C-407E-A947-70E740481C1C}"/>
                      </a:extLst>
                    </a:blip>
                    <a:srcRect/>
                    <a:stretch>
                      <a:fillRect/>
                    </a:stretch>
                  </pic:blipFill>
                  <pic:spPr bwMode="auto">
                    <a:xfrm>
                      <a:off x="0" y="0"/>
                      <a:ext cx="6883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5880" w:val="left"/>
        </w:tabs>
        <w:rPr>
          <w:sz w:val="20"/>
          <w:szCs w:val="20"/>
          <w:color w:val="auto"/>
        </w:rPr>
      </w:pPr>
      <w:r>
        <w:rPr>
          <w:rFonts w:ascii="Times New Roman" w:cs="Times New Roman" w:eastAsia="Times New Roman" w:hAnsi="Times New Roman"/>
          <w:sz w:val="20"/>
          <w:szCs w:val="20"/>
          <w:color w:val="auto"/>
        </w:rPr>
        <w:t>Print Name:</w:t>
      </w:r>
      <w:r>
        <w:rPr>
          <w:sz w:val="20"/>
          <w:szCs w:val="20"/>
          <w:color w:val="auto"/>
        </w:rPr>
        <w:tab/>
      </w:r>
      <w:r>
        <w:rPr>
          <w:rFonts w:ascii="Times New Roman" w:cs="Times New Roman" w:eastAsia="Times New Roman" w:hAnsi="Times New Roman"/>
          <w:sz w:val="19"/>
          <w:szCs w:val="19"/>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151130</wp:posOffset>
            </wp:positionV>
            <wp:extent cx="634365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0">
                      <a:extLst>
                        <a:ext uri="{28A0092B-C50C-407E-A947-70E740481C1C}"/>
                      </a:extLst>
                    </a:blip>
                    <a:srcRect/>
                    <a:stretch>
                      <a:fillRect/>
                    </a:stretch>
                  </pic:blipFill>
                  <pic:spPr bwMode="auto">
                    <a:xfrm>
                      <a:off x="0" y="0"/>
                      <a:ext cx="63436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151130</wp:posOffset>
            </wp:positionV>
            <wp:extent cx="319722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1">
                      <a:extLst>
                        <a:ext uri="{28A0092B-C50C-407E-A947-70E740481C1C}"/>
                      </a:extLst>
                    </a:blip>
                    <a:srcRect/>
                    <a:stretch>
                      <a:fillRect/>
                    </a:stretch>
                  </pic:blipFill>
                  <pic:spPr bwMode="auto">
                    <a:xfrm>
                      <a:off x="0" y="0"/>
                      <a:ext cx="319722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type w:val="continuous"/>
        </w:sectPr>
      </w:pPr>
    </w:p>
    <w:bookmarkStart w:id="129" w:name="page130"/>
    <w:bookmarkEnd w:id="129"/>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EXHIBIT C</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TO STOCK OPTION GRANT NOTICE</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STOCK ASSIGNMENT</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Assignment Separate From Certificate</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See instructions below</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FOR VALUE RECEIVED I, _________, hereby sell, assign and transfer unto __________ the shares of the Common Stock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Invivyd, Inc. registered in my name on the books of said corporation represented by Certificate No. ____ and do hereby irrevocably</w:t>
      </w:r>
    </w:p>
    <w:tbl>
      <w:tblPr>
        <w:tblLayout w:type="fixed"/>
        <w:tblInd w:w="0" w:type="dxa"/>
        <w:tblCellMar>
          <w:top w:w="0" w:type="dxa"/>
          <w:left w:w="0" w:type="dxa"/>
          <w:bottom w:w="0" w:type="dxa"/>
          <w:right w:w="0" w:type="dxa"/>
        </w:tblCellMar>
      </w:tblPr>
      <w:tr>
        <w:trPr>
          <w:trHeight w:val="190"/>
        </w:trPr>
        <w:tc>
          <w:tcPr>
            <w:tcW w:w="2560" w:type="dxa"/>
            <w:vAlign w:val="bottom"/>
            <w:gridSpan w:val="3"/>
          </w:tcPr>
          <w:p>
            <w:pPr>
              <w:spacing w:after="0" w:line="190" w:lineRule="exact"/>
              <w:rPr>
                <w:sz w:val="20"/>
                <w:szCs w:val="20"/>
                <w:color w:val="auto"/>
              </w:rPr>
            </w:pPr>
            <w:r>
              <w:rPr>
                <w:rFonts w:ascii="Times New Roman" w:cs="Times New Roman" w:eastAsia="Times New Roman" w:hAnsi="Times New Roman"/>
                <w:sz w:val="20"/>
                <w:szCs w:val="20"/>
                <w:color w:val="auto"/>
              </w:rPr>
              <w:t>constitute and appoint</w:t>
            </w:r>
          </w:p>
        </w:tc>
        <w:tc>
          <w:tcPr>
            <w:tcW w:w="8640" w:type="dxa"/>
            <w:vAlign w:val="bottom"/>
            <w:gridSpan w:val="6"/>
          </w:tcPr>
          <w:p>
            <w:pPr>
              <w:jc w:val="right"/>
              <w:spacing w:after="0" w:line="190" w:lineRule="exact"/>
              <w:rPr>
                <w:sz w:val="20"/>
                <w:szCs w:val="20"/>
                <w:color w:val="auto"/>
              </w:rPr>
            </w:pPr>
            <w:r>
              <w:rPr>
                <w:rFonts w:ascii="Times New Roman" w:cs="Times New Roman" w:eastAsia="Times New Roman" w:hAnsi="Times New Roman"/>
                <w:sz w:val="20"/>
                <w:szCs w:val="20"/>
                <w:color w:val="auto"/>
              </w:rPr>
              <w:t>to transfer the said stock on the books of the within named corporation with full power of substitution</w:t>
            </w:r>
          </w:p>
        </w:tc>
      </w:tr>
      <w:tr>
        <w:trPr>
          <w:trHeight w:val="243"/>
        </w:trPr>
        <w:tc>
          <w:tcPr>
            <w:tcW w:w="1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 the premises.</w:t>
            </w:r>
          </w:p>
        </w:tc>
        <w:tc>
          <w:tcPr>
            <w:tcW w:w="80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64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940" w:type="dxa"/>
            <w:vAlign w:val="bottom"/>
          </w:tcPr>
          <w:p>
            <w:pPr>
              <w:spacing w:after="0"/>
              <w:rPr>
                <w:sz w:val="21"/>
                <w:szCs w:val="21"/>
                <w:color w:val="auto"/>
              </w:rPr>
            </w:pPr>
          </w:p>
        </w:tc>
      </w:tr>
      <w:tr>
        <w:trPr>
          <w:trHeight w:val="417"/>
        </w:trPr>
        <w:tc>
          <w:tcPr>
            <w:tcW w:w="11200" w:type="dxa"/>
            <w:vAlign w:val="bottom"/>
            <w:gridSpan w:val="9"/>
          </w:tcPr>
          <w:p>
            <w:pPr>
              <w:ind w:left="520"/>
              <w:spacing w:after="0"/>
              <w:rPr>
                <w:sz w:val="20"/>
                <w:szCs w:val="20"/>
                <w:color w:val="auto"/>
              </w:rPr>
            </w:pPr>
            <w:r>
              <w:rPr>
                <w:rFonts w:ascii="Times New Roman" w:cs="Times New Roman" w:eastAsia="Times New Roman" w:hAnsi="Times New Roman"/>
                <w:sz w:val="20"/>
                <w:szCs w:val="20"/>
                <w:color w:val="auto"/>
              </w:rPr>
              <w:t>This Assignment Separate from Certificate may be used only in accordance with the Stock Option Grant Notice and Stock Option</w:t>
            </w:r>
          </w:p>
        </w:tc>
      </w:tr>
      <w:tr>
        <w:trPr>
          <w:trHeight w:val="212"/>
        </w:trPr>
        <w:tc>
          <w:tcPr>
            <w:tcW w:w="6820" w:type="dxa"/>
            <w:vAlign w:val="bottom"/>
            <w:gridSpan w:val="6"/>
          </w:tcPr>
          <w:p>
            <w:pPr>
              <w:spacing w:after="0" w:line="212" w:lineRule="exact"/>
              <w:rPr>
                <w:sz w:val="20"/>
                <w:szCs w:val="20"/>
                <w:color w:val="auto"/>
              </w:rPr>
            </w:pPr>
            <w:r>
              <w:rPr>
                <w:rFonts w:ascii="Times New Roman" w:cs="Times New Roman" w:eastAsia="Times New Roman" w:hAnsi="Times New Roman"/>
                <w:sz w:val="20"/>
                <w:szCs w:val="20"/>
                <w:color w:val="auto"/>
              </w:rPr>
              <w:t>Agreement between Invivyd, Inc. and the undersigned dated</w:t>
            </w:r>
          </w:p>
        </w:tc>
        <w:tc>
          <w:tcPr>
            <w:tcW w:w="440" w:type="dxa"/>
            <w:vAlign w:val="bottom"/>
            <w:gridSpan w:val="2"/>
          </w:tcPr>
          <w:p>
            <w:pPr>
              <w:jc w:val="right"/>
              <w:ind w:right="400"/>
              <w:spacing w:after="0"/>
              <w:rPr>
                <w:sz w:val="20"/>
                <w:szCs w:val="20"/>
                <w:color w:val="auto"/>
              </w:rPr>
            </w:pPr>
            <w:r>
              <w:rPr>
                <w:rFonts w:ascii="Times New Roman" w:cs="Times New Roman" w:eastAsia="Times New Roman" w:hAnsi="Times New Roman"/>
                <w:sz w:val="11"/>
                <w:szCs w:val="11"/>
                <w:color w:val="auto"/>
                <w:w w:val="70"/>
              </w:rPr>
              <w:t>,</w:t>
            </w:r>
          </w:p>
        </w:tc>
        <w:tc>
          <w:tcPr>
            <w:tcW w:w="3940" w:type="dxa"/>
            <w:vAlign w:val="bottom"/>
          </w:tcPr>
          <w:p>
            <w:pPr>
              <w:jc w:val="right"/>
              <w:ind w:right="3845"/>
              <w:spacing w:after="0"/>
              <w:rPr>
                <w:sz w:val="20"/>
                <w:szCs w:val="20"/>
                <w:color w:val="auto"/>
              </w:rPr>
            </w:pPr>
            <w:r>
              <w:rPr>
                <w:rFonts w:ascii="Times New Roman" w:cs="Times New Roman" w:eastAsia="Times New Roman" w:hAnsi="Times New Roman"/>
                <w:sz w:val="11"/>
                <w:szCs w:val="11"/>
                <w:color w:val="auto"/>
                <w:w w:val="70"/>
              </w:rPr>
              <w:t>.</w:t>
            </w:r>
          </w:p>
        </w:tc>
      </w:tr>
      <w:tr>
        <w:trPr>
          <w:trHeight w:val="426"/>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w w:val="97"/>
              </w:rPr>
              <w:t>Dated:</w:t>
            </w:r>
          </w:p>
        </w:tc>
        <w:tc>
          <w:tcPr>
            <w:tcW w:w="2020" w:type="dxa"/>
            <w:vAlign w:val="bottom"/>
            <w:tcBorders>
              <w:bottom w:val="single" w:sz="8" w:color="auto"/>
            </w:tcBorders>
            <w:gridSpan w:val="2"/>
          </w:tcPr>
          <w:p>
            <w:pPr>
              <w:spacing w:after="0"/>
              <w:rPr>
                <w:sz w:val="24"/>
                <w:szCs w:val="24"/>
                <w:color w:val="auto"/>
              </w:rPr>
            </w:pPr>
          </w:p>
        </w:tc>
        <w:tc>
          <w:tcPr>
            <w:tcW w:w="580" w:type="dxa"/>
            <w:vAlign w:val="bottom"/>
          </w:tcPr>
          <w:p>
            <w:pPr>
              <w:jc w:val="right"/>
              <w:ind w:right="421"/>
              <w:spacing w:after="0"/>
              <w:rPr>
                <w:sz w:val="20"/>
                <w:szCs w:val="20"/>
                <w:color w:val="auto"/>
              </w:rPr>
            </w:pPr>
            <w:r>
              <w:rPr>
                <w:rFonts w:ascii="Times New Roman" w:cs="Times New Roman" w:eastAsia="Times New Roman" w:hAnsi="Times New Roman"/>
                <w:sz w:val="20"/>
                <w:szCs w:val="20"/>
                <w:color w:val="auto"/>
                <w:w w:val="79"/>
              </w:rPr>
              <w:t>,</w:t>
            </w:r>
          </w:p>
        </w:tc>
        <w:tc>
          <w:tcPr>
            <w:tcW w:w="1640" w:type="dxa"/>
            <w:vAlign w:val="bottom"/>
          </w:tcPr>
          <w:p>
            <w:pPr>
              <w:spacing w:after="0"/>
              <w:rPr>
                <w:sz w:val="24"/>
                <w:szCs w:val="24"/>
                <w:color w:val="auto"/>
              </w:rPr>
            </w:pPr>
          </w:p>
        </w:tc>
        <w:tc>
          <w:tcPr>
            <w:tcW w:w="20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3940" w:type="dxa"/>
            <w:vAlign w:val="bottom"/>
          </w:tcPr>
          <w:p>
            <w:pPr>
              <w:spacing w:after="0"/>
              <w:rPr>
                <w:sz w:val="24"/>
                <w:szCs w:val="24"/>
                <w:color w:val="auto"/>
              </w:rPr>
            </w:pPr>
          </w:p>
        </w:tc>
      </w:tr>
    </w:tbl>
    <w:p>
      <w:pPr>
        <w:spacing w:after="0" w:line="220"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20"/>
          <w:szCs w:val="20"/>
          <w:color w:val="auto"/>
        </w:rPr>
        <w:t>Signature:</w:t>
      </w:r>
    </w:p>
    <w:p>
      <w:pPr>
        <w:spacing w:after="0" w:line="212"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b w:val="1"/>
          <w:bCs w:val="1"/>
          <w:u w:val="single" w:color="auto"/>
          <w:color w:val="auto"/>
        </w:rPr>
        <w:t xml:space="preserve">INSTRUCTIONS: </w:t>
      </w:r>
      <w:r>
        <w:rPr>
          <w:rFonts w:ascii="Times New Roman" w:cs="Times New Roman" w:eastAsia="Times New Roman" w:hAnsi="Times New Roman"/>
          <w:sz w:val="20"/>
          <w:szCs w:val="20"/>
          <w:u w:val="single" w:color="auto"/>
          <w:color w:val="auto"/>
        </w:rPr>
        <w:t>Please do not fill in any blanks other than the signature line. The purpose of this assignment is to enable the Company to</w:t>
      </w:r>
      <w:r>
        <w:rPr>
          <w:rFonts w:ascii="Times New Roman" w:cs="Times New Roman" w:eastAsia="Times New Roman" w:hAnsi="Times New Roman"/>
          <w:sz w:val="20"/>
          <w:szCs w:val="20"/>
          <w:b w:val="1"/>
          <w:bCs w:val="1"/>
          <w:u w:val="single" w:color="auto"/>
          <w:color w:val="auto"/>
        </w:rPr>
        <w:t xml:space="preserve"> </w:t>
      </w:r>
      <w:r>
        <w:rPr>
          <w:rFonts w:ascii="Times New Roman" w:cs="Times New Roman" w:eastAsia="Times New Roman" w:hAnsi="Times New Roman"/>
          <w:sz w:val="20"/>
          <w:szCs w:val="20"/>
          <w:u w:val="single" w:color="auto"/>
          <w:color w:val="auto"/>
        </w:rPr>
        <w:t>exercise the Company Repurchase Right, as set forth in the Stock Option Grant Notice and Stock Option Agreement, without requiring additional signatures on the part of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595630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31" w:right="379" w:bottom="1440" w:gutter="0" w:footer="0" w:header="0"/>
        </w:sectPr>
      </w:pPr>
    </w:p>
    <w:bookmarkStart w:id="130" w:name="page131"/>
    <w:bookmarkEnd w:id="130"/>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EXHIBIT D</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TO STOCK OPTION GRANT NOTICE</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JOINT ESCROW INSTRUCTIONS</w:t>
      </w:r>
    </w:p>
    <w:p>
      <w:pPr>
        <w:spacing w:after="0" w:line="108" w:lineRule="exact"/>
        <w:rPr>
          <w:sz w:val="20"/>
          <w:szCs w:val="20"/>
          <w:color w:val="auto"/>
        </w:rPr>
      </w:pPr>
    </w:p>
    <w:p>
      <w:pPr>
        <w:ind w:left="10740"/>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5849620</wp:posOffset>
            </wp:positionH>
            <wp:positionV relativeFrom="paragraph">
              <wp:posOffset>-8255</wp:posOffset>
            </wp:positionV>
            <wp:extent cx="97345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4">
                      <a:extLst>
                        <a:ext uri="{28A0092B-C50C-407E-A947-70E740481C1C}"/>
                      </a:extLst>
                    </a:blip>
                    <a:srcRect/>
                    <a:stretch>
                      <a:fillRect/>
                    </a:stretch>
                  </pic:blipFill>
                  <pic:spPr bwMode="auto">
                    <a:xfrm>
                      <a:off x="0" y="0"/>
                      <a:ext cx="973455"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Secretary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Invivyd, Inc.</w:t>
      </w:r>
    </w:p>
    <w:p>
      <w:pPr>
        <w:spacing w:after="0" w:line="194" w:lineRule="exact"/>
        <w:rPr>
          <w:sz w:val="20"/>
          <w:szCs w:val="20"/>
          <w:color w:val="auto"/>
        </w:rPr>
      </w:pPr>
    </w:p>
    <w:p>
      <w:pPr>
        <w:ind w:right="80" w:firstLine="509"/>
        <w:spacing w:after="0" w:line="244" w:lineRule="auto"/>
        <w:rPr>
          <w:sz w:val="20"/>
          <w:szCs w:val="20"/>
          <w:color w:val="auto"/>
        </w:rPr>
      </w:pPr>
      <w:r>
        <w:rPr>
          <w:rFonts w:ascii="Times New Roman" w:cs="Times New Roman" w:eastAsia="Times New Roman" w:hAnsi="Times New Roman"/>
          <w:sz w:val="20"/>
          <w:szCs w:val="20"/>
          <w:color w:val="auto"/>
        </w:rPr>
        <w:t>As Escrow Agent for both Invivyd,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the undersigned purchaser of stock of the Company (the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you are hereby authorized and directed to hold the documents delivered to you pursuant to the terms of that certain Stock Option Grant Notice and Stock Option Agreement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between the Company and the undersigned, in accordance with the following instructions:</w:t>
      </w:r>
    </w:p>
    <w:p>
      <w:pPr>
        <w:spacing w:after="0" w:line="77" w:lineRule="exact"/>
        <w:rPr>
          <w:sz w:val="20"/>
          <w:szCs w:val="20"/>
          <w:color w:val="auto"/>
        </w:rPr>
      </w:pPr>
    </w:p>
    <w:p>
      <w:pPr>
        <w:ind w:left="520" w:right="20" w:firstLine="506"/>
        <w:spacing w:after="0" w:line="243" w:lineRule="auto"/>
        <w:tabs>
          <w:tab w:leader="none" w:pos="1227"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the Company or any entitled parties (referred to collectively for convenience herein as the “Company”) exercises or is deemed to have exercised the Company Repurchase Right set forth in the Agreement, the Company shall give to Participant and you a written notice specifying the number of shares of stock to be purchased, the purchase price, and the time for a closing hereunder at the principal office of the Company. Participant and the Company hereby irrevocably authorize and direct you to close the transaction contemplated by such notice in accordance with the terms of said notice.</w:t>
      </w:r>
    </w:p>
    <w:p>
      <w:pPr>
        <w:spacing w:after="0" w:line="77" w:lineRule="exact"/>
        <w:rPr>
          <w:rFonts w:ascii="Times New Roman" w:cs="Times New Roman" w:eastAsia="Times New Roman" w:hAnsi="Times New Roman"/>
          <w:sz w:val="20"/>
          <w:szCs w:val="20"/>
          <w:color w:val="auto"/>
        </w:rPr>
      </w:pPr>
    </w:p>
    <w:p>
      <w:pPr>
        <w:ind w:left="520" w:right="260" w:firstLine="506"/>
        <w:spacing w:after="0" w:line="246" w:lineRule="auto"/>
        <w:tabs>
          <w:tab w:leader="none" w:pos="1227"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closing, you are directed (a) to date the stock assignments necessary for the transfer in question, (b) to fill in the number of shares being transferred, and (c) to deliver the same, together with the certificate evidencing the shares of stock to be transferred, to the Company or its assignee, against the simultaneous delivery to you of the purchase price (by cash, check, wire transfer of immediately available funds or a combination thereof) for the number of shares of stock being purchased pursuant to the exercise of the Company Repurchase Right.</w:t>
      </w:r>
    </w:p>
    <w:p>
      <w:pPr>
        <w:spacing w:after="0" w:line="76" w:lineRule="exact"/>
        <w:rPr>
          <w:rFonts w:ascii="Times New Roman" w:cs="Times New Roman" w:eastAsia="Times New Roman" w:hAnsi="Times New Roman"/>
          <w:sz w:val="20"/>
          <w:szCs w:val="20"/>
          <w:color w:val="auto"/>
        </w:rPr>
      </w:pPr>
    </w:p>
    <w:p>
      <w:pPr>
        <w:ind w:left="520" w:right="140" w:firstLine="506"/>
        <w:spacing w:after="0" w:line="242" w:lineRule="auto"/>
        <w:tabs>
          <w:tab w:leader="none" w:pos="1227"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irrevocably authorizes the Company to deposit with you any certificates evidencing shares of stock to be held by you hereunder and any additions and substitutions to said shares as defined in the Agreement. Participant does hereby irrevocably constitute and appoint you as Participant’s attorney-in-fact and agent for the term of this escrow to execute, with respect to such securities, all documents necessary or appropriate to make such securities negotiable and to complete any transaction herein contemplated, including but not limited to the filing with any applicable state blue sky authority of any required applications for consent to, or notice of transfer of, the securities. Subject to the provisions of this Section 3 and to the terms of the Agreement, Participant shall exercise all rights and privileges of a stockholder of the Company while the stock is held by you.</w:t>
      </w:r>
    </w:p>
    <w:p>
      <w:pPr>
        <w:spacing w:after="0" w:line="64" w:lineRule="exact"/>
        <w:rPr>
          <w:rFonts w:ascii="Times New Roman" w:cs="Times New Roman" w:eastAsia="Times New Roman" w:hAnsi="Times New Roman"/>
          <w:sz w:val="20"/>
          <w:szCs w:val="20"/>
          <w:color w:val="auto"/>
        </w:rPr>
      </w:pPr>
    </w:p>
    <w:p>
      <w:pPr>
        <w:ind w:left="520" w:firstLine="506"/>
        <w:spacing w:after="0" w:line="245" w:lineRule="auto"/>
        <w:tabs>
          <w:tab w:leader="none" w:pos="1227"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written request of Participant, but no more than once per calendar year, unless the Company Repurchase Right has been exercised, you will deliver to Participant a certificate or certificates representing the number of shares of stock as are not then subject to the Company Repurchase Right. Within thirty (30) days after Participant’s Termination of Service (within the meaning of the Agreement), you will deliver to Participant a certificate or certificates representing the aggregate number of shares held or issued pursuant to the Agreement and not subject to repurchase by the Company or any other entitled parties pursuant to exercise of the Company Repurchase Right.</w:t>
      </w:r>
    </w:p>
    <w:p>
      <w:pPr>
        <w:spacing w:after="0" w:line="184" w:lineRule="exact"/>
        <w:rPr>
          <w:rFonts w:ascii="Times New Roman" w:cs="Times New Roman" w:eastAsia="Times New Roman" w:hAnsi="Times New Roman"/>
          <w:sz w:val="20"/>
          <w:szCs w:val="20"/>
          <w:color w:val="auto"/>
        </w:rPr>
      </w:pPr>
    </w:p>
    <w:p>
      <w:pPr>
        <w:ind w:left="520" w:right="140" w:firstLine="506"/>
        <w:spacing w:after="0" w:line="295" w:lineRule="auto"/>
        <w:tabs>
          <w:tab w:leader="none" w:pos="1227"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at the time of termination of this escrow, you should have in your possession any documents, securities, or other property belonging to Participant, you shall deliver all of the same to Participant and shall be discharged of all further obligations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31" w:right="399" w:bottom="1440" w:gutter="0" w:footer="0" w:header="0"/>
        </w:sectPr>
      </w:pPr>
    </w:p>
    <w:bookmarkStart w:id="131" w:name="page132"/>
    <w:bookmarkEnd w:id="131"/>
    <w:p>
      <w:pPr>
        <w:ind w:left="194" w:hanging="194"/>
        <w:spacing w:after="0"/>
        <w:tabs>
          <w:tab w:leader="none" w:pos="194"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Your duties hereunder may be altered, amended, modified or revoked only by a writing signed by all of the parties hereto.</w:t>
      </w:r>
    </w:p>
    <w:p>
      <w:pPr>
        <w:spacing w:after="0" w:line="107" w:lineRule="exact"/>
        <w:rPr>
          <w:rFonts w:ascii="Times New Roman" w:cs="Times New Roman" w:eastAsia="Times New Roman" w:hAnsi="Times New Roman"/>
          <w:sz w:val="20"/>
          <w:szCs w:val="20"/>
          <w:color w:val="auto"/>
        </w:rPr>
      </w:pPr>
    </w:p>
    <w:p>
      <w:pPr>
        <w:ind w:left="-506" w:firstLine="506"/>
        <w:spacing w:after="0" w:line="246" w:lineRule="auto"/>
        <w:tabs>
          <w:tab w:leader="none" w:pos="201"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shall be obligated only for the performance of such duties as are specifically set forth herein and may rely and shall be protected in relying or refraining from acting on any instrument reasonably believed by you to be genuine and to have been signed or presented by the proper party or parties. You shall not be personally liable for any act you may do or omit to do hereunder as escrow agent or as attorney-in-fact for Participant while acting in good faith, and any act done or omitted by you pursuant to the advice of your own attorneys shall be conclusive evidence of such good faith.</w:t>
      </w:r>
    </w:p>
    <w:p>
      <w:pPr>
        <w:spacing w:after="0" w:line="63" w:lineRule="exact"/>
        <w:rPr>
          <w:rFonts w:ascii="Times New Roman" w:cs="Times New Roman" w:eastAsia="Times New Roman" w:hAnsi="Times New Roman"/>
          <w:sz w:val="20"/>
          <w:szCs w:val="20"/>
          <w:color w:val="auto"/>
        </w:rPr>
      </w:pPr>
    </w:p>
    <w:p>
      <w:pPr>
        <w:ind w:left="-506" w:right="80" w:firstLine="506"/>
        <w:spacing w:after="0" w:line="245" w:lineRule="auto"/>
        <w:tabs>
          <w:tab w:leader="none" w:pos="201"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are hereby expressly authorized to disregard any and all warnings given by any of the parties hereto or by any other person or corporation, excepting only orders or process of courts of law and are hereby expressly authorized to comply with and obey orders, judgments or decrees of any court. In case you obey or comply with any such order, judgment or decree, you shall not be liable to any of the parties hereto or to any other person, firm or corporation by reason of such compliance, notwithstanding any such order, judgment or decree being subsequently reversed, modified, annulled, set aside, vacated or found to have been entered without jurisdiction.</w:t>
      </w:r>
    </w:p>
    <w:p>
      <w:pPr>
        <w:spacing w:after="0" w:line="62" w:lineRule="exact"/>
        <w:rPr>
          <w:rFonts w:ascii="Times New Roman" w:cs="Times New Roman" w:eastAsia="Times New Roman" w:hAnsi="Times New Roman"/>
          <w:sz w:val="20"/>
          <w:szCs w:val="20"/>
          <w:color w:val="auto"/>
        </w:rPr>
      </w:pPr>
    </w:p>
    <w:p>
      <w:pPr>
        <w:ind w:left="-506" w:right="200" w:firstLine="506"/>
        <w:spacing w:after="0" w:line="269" w:lineRule="auto"/>
        <w:tabs>
          <w:tab w:leader="none" w:pos="201"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shall not be liable in any respect on account of the identity, authorities or rights of the parties executing or delivering or purporting to execute or deliver the Agreement or any documents or papers deposited or called for hereunder.</w:t>
      </w:r>
    </w:p>
    <w:p>
      <w:pPr>
        <w:spacing w:after="0" w:line="51" w:lineRule="exact"/>
        <w:rPr>
          <w:rFonts w:ascii="Times New Roman" w:cs="Times New Roman" w:eastAsia="Times New Roman" w:hAnsi="Times New Roman"/>
          <w:sz w:val="20"/>
          <w:szCs w:val="20"/>
          <w:color w:val="auto"/>
        </w:rPr>
      </w:pPr>
    </w:p>
    <w:p>
      <w:pPr>
        <w:ind w:left="-506" w:right="380" w:firstLine="506"/>
        <w:spacing w:after="0" w:line="269" w:lineRule="auto"/>
        <w:tabs>
          <w:tab w:leader="none" w:pos="30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shall not be liable for the expiration of any rights under any applicable state, federal or local statute of limitations or similar statute or regulation with respect to these Joint Escrow Instructions or any documents deposited with you.</w:t>
      </w:r>
    </w:p>
    <w:p>
      <w:pPr>
        <w:spacing w:after="0" w:line="51" w:lineRule="exact"/>
        <w:rPr>
          <w:rFonts w:ascii="Times New Roman" w:cs="Times New Roman" w:eastAsia="Times New Roman" w:hAnsi="Times New Roman"/>
          <w:sz w:val="20"/>
          <w:szCs w:val="20"/>
          <w:color w:val="auto"/>
        </w:rPr>
      </w:pPr>
    </w:p>
    <w:p>
      <w:pPr>
        <w:ind w:left="-506" w:right="80" w:firstLine="506"/>
        <w:spacing w:after="0" w:line="254" w:lineRule="auto"/>
        <w:tabs>
          <w:tab w:leader="none" w:pos="292"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shall be entitled to employ such legal counsel and other experts as you may deem necessary to advise you in connection with your obligations hereunder, may rely upon the advice of such counsel, and may pay such counsel reasonable compensation therefor.</w:t>
      </w:r>
    </w:p>
    <w:p>
      <w:pPr>
        <w:spacing w:after="0" w:line="52" w:lineRule="exact"/>
        <w:rPr>
          <w:rFonts w:ascii="Times New Roman" w:cs="Times New Roman" w:eastAsia="Times New Roman" w:hAnsi="Times New Roman"/>
          <w:sz w:val="20"/>
          <w:szCs w:val="20"/>
          <w:color w:val="auto"/>
        </w:rPr>
      </w:pPr>
    </w:p>
    <w:p>
      <w:pPr>
        <w:ind w:left="-506" w:right="20" w:firstLine="506"/>
        <w:spacing w:after="0" w:line="254" w:lineRule="auto"/>
        <w:tabs>
          <w:tab w:leader="none" w:pos="30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Your responsibilities as escrow agent hereunder shall terminate if you shall cease to be an officer or agent of the Company or if you shall resign by written notice to each party. In the event of any such termination, the Company shall appoint a successor escrow agent.</w:t>
      </w:r>
    </w:p>
    <w:p>
      <w:pPr>
        <w:spacing w:after="0" w:line="66" w:lineRule="exact"/>
        <w:rPr>
          <w:rFonts w:ascii="Times New Roman" w:cs="Times New Roman" w:eastAsia="Times New Roman" w:hAnsi="Times New Roman"/>
          <w:sz w:val="20"/>
          <w:szCs w:val="20"/>
          <w:color w:val="auto"/>
        </w:rPr>
      </w:pPr>
    </w:p>
    <w:p>
      <w:pPr>
        <w:ind w:left="-506" w:right="300" w:firstLine="506"/>
        <w:spacing w:after="0" w:line="269" w:lineRule="auto"/>
        <w:tabs>
          <w:tab w:leader="none" w:pos="30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you reasonably require other or further instruments in connection with these Joint Escrow Instructions or obligations in respect hereto, the necessary parties hereto shall join in furnishing such instruments.</w:t>
      </w:r>
    </w:p>
    <w:p>
      <w:pPr>
        <w:spacing w:after="0" w:line="51" w:lineRule="exact"/>
        <w:rPr>
          <w:rFonts w:ascii="Times New Roman" w:cs="Times New Roman" w:eastAsia="Times New Roman" w:hAnsi="Times New Roman"/>
          <w:sz w:val="20"/>
          <w:szCs w:val="20"/>
          <w:color w:val="auto"/>
        </w:rPr>
      </w:pPr>
    </w:p>
    <w:p>
      <w:pPr>
        <w:ind w:left="-506" w:right="100" w:firstLine="506"/>
        <w:spacing w:after="0" w:line="243" w:lineRule="auto"/>
        <w:tabs>
          <w:tab w:leader="none" w:pos="30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understood and agreed that should any dispute arise with respect to the delivery and/or ownership or right of possession of the securities held by you hereunder, you are authorized and directed to retain in your possession without liability to anyone all or any part of said securities until such disputes shall have been settled either by mutual written agreement of the parties concerned or by a final order, decree or judgment of a court of competent jurisdiction after the time for appeal has expired and no appeal has been perfected, but you shall be under no duty whatsoever to institute or defend any such proceedings.</w:t>
      </w:r>
    </w:p>
    <w:p>
      <w:pPr>
        <w:spacing w:after="0" w:line="199" w:lineRule="exact"/>
        <w:rPr>
          <w:rFonts w:ascii="Times New Roman" w:cs="Times New Roman" w:eastAsia="Times New Roman" w:hAnsi="Times New Roman"/>
          <w:sz w:val="20"/>
          <w:szCs w:val="20"/>
          <w:color w:val="auto"/>
        </w:rPr>
      </w:pPr>
    </w:p>
    <w:p>
      <w:pPr>
        <w:jc w:val="both"/>
        <w:ind w:left="-506" w:right="300" w:firstLine="506"/>
        <w:spacing w:after="0" w:line="244" w:lineRule="auto"/>
        <w:tabs>
          <w:tab w:leader="none" w:pos="30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notice required or permitted hereunder shall be given in writing and shall be deemed effectively given upon personal delivery or upon deposit in the United States Post Office, by registered or certified mail with postage and fees prepaid, addressed to each of the other parties thereunto entitled at such addresses as a party may designate by written notice to each of the other parties hereto.</w:t>
      </w:r>
    </w:p>
    <w:p>
      <w:pPr>
        <w:spacing w:after="0" w:line="77" w:lineRule="exact"/>
        <w:rPr>
          <w:rFonts w:ascii="Times New Roman" w:cs="Times New Roman" w:eastAsia="Times New Roman" w:hAnsi="Times New Roman"/>
          <w:sz w:val="20"/>
          <w:szCs w:val="20"/>
          <w:color w:val="auto"/>
        </w:rPr>
      </w:pPr>
    </w:p>
    <w:p>
      <w:pPr>
        <w:ind w:left="-506" w:right="1040" w:firstLine="506"/>
        <w:spacing w:after="0" w:line="269" w:lineRule="auto"/>
        <w:tabs>
          <w:tab w:leader="none" w:pos="30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signing these Joint Escrow Instructions, you become a party hereto only for the purpose of said Joint Escrow Instructions; you do not become a party to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163195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14"/>
          </w:cols>
          <w:pgMar w:left="1346" w:top="427" w:right="339" w:bottom="1440" w:gutter="0" w:footer="0" w:header="0"/>
        </w:sectPr>
      </w:pPr>
    </w:p>
    <w:bookmarkStart w:id="132" w:name="page133"/>
    <w:bookmarkEnd w:id="132"/>
    <w:p>
      <w:pPr>
        <w:ind w:right="360" w:firstLine="506"/>
        <w:spacing w:after="0" w:line="269" w:lineRule="auto"/>
        <w:tabs>
          <w:tab w:leader="none" w:pos="806"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instrument shall be binding upon and inure to the benefit of the parties hereto, and their respective successors and permitted assigns.</w:t>
      </w:r>
    </w:p>
    <w:p>
      <w:pPr>
        <w:spacing w:after="0" w:line="51" w:lineRule="exact"/>
        <w:rPr>
          <w:rFonts w:ascii="Times New Roman" w:cs="Times New Roman" w:eastAsia="Times New Roman" w:hAnsi="Times New Roman"/>
          <w:sz w:val="20"/>
          <w:szCs w:val="20"/>
          <w:color w:val="auto"/>
        </w:rPr>
      </w:pPr>
    </w:p>
    <w:p>
      <w:pPr>
        <w:ind w:firstLine="506"/>
        <w:spacing w:after="0" w:line="269" w:lineRule="auto"/>
        <w:tabs>
          <w:tab w:leader="none" w:pos="806"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These Joint Escrow Instructions shall be governed by, and construed and enforced in accordance with, the laws of the State of Delaware, excluding that body of law pertaining to conflicts of law.</w:t>
      </w:r>
    </w:p>
    <w:p>
      <w:pPr>
        <w:spacing w:after="0" w:line="4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621030</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0"/>
          </w:cols>
          <w:pgMar w:left="840" w:top="427" w:right="51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9"/>
          <w:szCs w:val="19"/>
          <w:color w:val="auto"/>
        </w:rPr>
        <w:t>IN WITNESS WHEREOF, these Joint Escrow Instructions shall be effective as of the date first set forth above.</w:t>
      </w:r>
    </w:p>
    <w:p>
      <w:pPr>
        <w:sectPr>
          <w:pgSz w:w="11900" w:h="16838" w:orient="portrait"/>
          <w:cols w:equalWidth="0" w:num="1">
            <w:col w:w="9619"/>
          </w:cols>
          <w:pgMar w:left="840" w:top="3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20"/>
          <w:szCs w:val="20"/>
          <w:b w:val="1"/>
          <w:bCs w:val="1"/>
          <w:color w:val="auto"/>
        </w:rPr>
        <w:t>INVIVYD, INC.</w:t>
      </w:r>
    </w:p>
    <w:p>
      <w:pPr>
        <w:spacing w:after="0" w:line="233"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20"/>
          <w:szCs w:val="20"/>
          <w:color w:val="auto"/>
        </w:rPr>
        <w:t>By:</w:t>
      </w:r>
    </w:p>
    <w:p>
      <w:pPr>
        <w:spacing w:after="0" w:line="2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auto"/>
        </w:rPr>
        <w:t>Name:</w:t>
      </w:r>
    </w:p>
    <w:p>
      <w:pPr>
        <w:ind w:left="6540"/>
        <w:spacing w:after="0"/>
        <w:rPr>
          <w:sz w:val="20"/>
          <w:szCs w:val="20"/>
          <w:color w:val="auto"/>
        </w:rPr>
      </w:pPr>
      <w:r>
        <w:rPr>
          <w:rFonts w:ascii="Times New Roman" w:cs="Times New Roman" w:eastAsia="Times New Roman" w:hAnsi="Times New Roman"/>
          <w:sz w:val="20"/>
          <w:szCs w:val="20"/>
          <w:color w:val="auto"/>
        </w:rPr>
        <w:t>Title:</w:t>
      </w:r>
    </w:p>
    <w:p>
      <w:pPr>
        <w:spacing w:after="0" w:line="203"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20"/>
          <w:szCs w:val="20"/>
          <w:b w:val="1"/>
          <w:bCs w:val="1"/>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9"/>
          <w:szCs w:val="19"/>
          <w:b w:val="1"/>
          <w:bCs w:val="1"/>
          <w:color w:val="auto"/>
        </w:rPr>
        <w:t>ESCROW AGENT</w:t>
      </w:r>
    </w:p>
    <w:p>
      <w:pPr>
        <w:spacing w:after="0" w:line="245"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20"/>
          <w:szCs w:val="20"/>
          <w:color w:val="auto"/>
        </w:rPr>
        <w:t>By:</w:t>
      </w:r>
    </w:p>
    <w:p>
      <w:pPr>
        <w:spacing w:after="0" w:line="2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auto"/>
        </w:rPr>
        <w:t>Name:</w:t>
      </w:r>
    </w:p>
    <w:p>
      <w:pPr>
        <w:ind w:left="6540"/>
        <w:spacing w:after="0"/>
        <w:rPr>
          <w:sz w:val="20"/>
          <w:szCs w:val="20"/>
          <w:color w:val="auto"/>
        </w:rPr>
      </w:pPr>
      <w:r>
        <w:rPr>
          <w:rFonts w:ascii="Times New Roman" w:cs="Times New Roman" w:eastAsia="Times New Roman" w:hAnsi="Times New Roman"/>
          <w:sz w:val="20"/>
          <w:szCs w:val="20"/>
          <w:color w:val="auto"/>
        </w:rPr>
        <w:t>Title: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459105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19"/>
          </w:cols>
          <w:pgMar w:left="840" w:top="319" w:right="1440" w:bottom="1440" w:gutter="0" w:footer="0" w:header="0"/>
          <w:type w:val="continuous"/>
        </w:sectPr>
      </w:pPr>
    </w:p>
    <w:bookmarkStart w:id="134" w:name="page135"/>
    <w:bookmarkEnd w:id="134"/>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OF 83(B) ELECTION AND INSTRUCTIONS</w:t>
      </w:r>
    </w:p>
    <w:p>
      <w:pPr>
        <w:spacing w:after="0" w:line="98"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20"/>
          <w:szCs w:val="20"/>
          <w:color w:val="auto"/>
        </w:rPr>
        <w:t xml:space="preserve">These instructions are provided to assist you if you choose to make an election under Section 83(b) of the Internal Revenue Code, as amended, with respect to the shares of common stock of Invivyd, Inc. transferred to you. </w:t>
      </w:r>
      <w:r>
        <w:rPr>
          <w:rFonts w:ascii="Times New Roman" w:cs="Times New Roman" w:eastAsia="Times New Roman" w:hAnsi="Times New Roman"/>
          <w:sz w:val="20"/>
          <w:szCs w:val="20"/>
          <w:b w:val="1"/>
          <w:bCs w:val="1"/>
          <w:color w:val="auto"/>
        </w:rPr>
        <w:t>Please consult with your personal tax advisor as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to whether an election of this nature will be in your best interests in light of your personal tax situation.</w:t>
      </w:r>
    </w:p>
    <w:p>
      <w:pPr>
        <w:spacing w:after="0" w:line="174" w:lineRule="exact"/>
        <w:rPr>
          <w:sz w:val="20"/>
          <w:szCs w:val="20"/>
          <w:color w:val="auto"/>
        </w:rPr>
      </w:pPr>
    </w:p>
    <w:p>
      <w:pPr>
        <w:jc w:val="both"/>
        <w:ind w:firstLine="509"/>
        <w:spacing w:after="0" w:line="274" w:lineRule="auto"/>
        <w:rPr>
          <w:sz w:val="20"/>
          <w:szCs w:val="20"/>
          <w:color w:val="auto"/>
        </w:rPr>
      </w:pPr>
      <w:r>
        <w:rPr>
          <w:rFonts w:ascii="Times New Roman" w:cs="Times New Roman" w:eastAsia="Times New Roman" w:hAnsi="Times New Roman"/>
          <w:sz w:val="19"/>
          <w:szCs w:val="19"/>
          <w:color w:val="auto"/>
        </w:rPr>
        <w:t xml:space="preserve">The executed original of the Section 83(b) election must be filed with the Internal Revenue Service not later than 30 days after the date the shares were transferred to you. </w:t>
      </w:r>
      <w:r>
        <w:rPr>
          <w:rFonts w:ascii="Times New Roman" w:cs="Times New Roman" w:eastAsia="Times New Roman" w:hAnsi="Times New Roman"/>
          <w:sz w:val="19"/>
          <w:szCs w:val="19"/>
          <w:b w:val="1"/>
          <w:bCs w:val="1"/>
          <w:color w:val="auto"/>
        </w:rPr>
        <w:t>There is no remedy for failure to file on time.</w:t>
      </w:r>
      <w:r>
        <w:rPr>
          <w:rFonts w:ascii="Times New Roman" w:cs="Times New Roman" w:eastAsia="Times New Roman" w:hAnsi="Times New Roman"/>
          <w:sz w:val="19"/>
          <w:szCs w:val="19"/>
          <w:color w:val="auto"/>
        </w:rPr>
        <w:t xml:space="preserve"> The steps outlined below should be followed to ensure the election is mailed and filed correctly and in a timely manner. </w:t>
      </w:r>
      <w:r>
        <w:rPr>
          <w:rFonts w:ascii="Times New Roman" w:cs="Times New Roman" w:eastAsia="Times New Roman" w:hAnsi="Times New Roman"/>
          <w:sz w:val="19"/>
          <w:szCs w:val="19"/>
          <w:b w:val="1"/>
          <w:bCs w:val="1"/>
          <w:color w:val="auto"/>
        </w:rPr>
        <w:t>If you make the Section 83(b) election, the election is irrevocable.</w:t>
      </w:r>
    </w:p>
    <w:p>
      <w:pPr>
        <w:spacing w:after="0" w:line="1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 xml:space="preserve">Complete the Section 83(b) election form (attached as </w:t>
      </w:r>
      <w:r>
        <w:rPr>
          <w:rFonts w:ascii="Times New Roman" w:cs="Times New Roman" w:eastAsia="Times New Roman" w:hAnsi="Times New Roman"/>
          <w:sz w:val="20"/>
          <w:szCs w:val="20"/>
          <w:u w:val="single" w:color="auto"/>
          <w:color w:val="auto"/>
        </w:rPr>
        <w:t>Attachment 1</w:t>
      </w:r>
      <w:r>
        <w:rPr>
          <w:rFonts w:ascii="Times New Roman" w:cs="Times New Roman" w:eastAsia="Times New Roman" w:hAnsi="Times New Roman"/>
          <w:sz w:val="20"/>
          <w:szCs w:val="20"/>
          <w:color w:val="auto"/>
        </w:rPr>
        <w:t>) and make three (3) copies of the signed election form.</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 xml:space="preserve">Prepare the cover letter to the Internal Revenue Service (sample letter attached as </w:t>
      </w:r>
      <w:r>
        <w:rPr>
          <w:rFonts w:ascii="Times New Roman" w:cs="Times New Roman" w:eastAsia="Times New Roman" w:hAnsi="Times New Roman"/>
          <w:sz w:val="20"/>
          <w:szCs w:val="20"/>
          <w:u w:val="single" w:color="auto"/>
          <w:color w:val="auto"/>
        </w:rPr>
        <w:t>Attachment 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20"/>
          <w:szCs w:val="20"/>
          <w:color w:val="auto"/>
        </w:rPr>
        <w:t>Send the cover letter with the originally executed Section 83(b) election form and one (1) copy via certified mail, return receipt requested to the Internal Revenue Service at the address of the Internal Revenue Service where you file your personal tax returns. We suggest that you have the package date-stamped at the post office. The post office will provide you with a certified receipt that includes a dated postmark. Enclose a self-addressed, stamped envelope so that the Internal Revenue Service may return a date-stamped copy to you. However, your postmarked receipt is your proof of having timely filed the Section 83(b) election if you do not receive confirmation from the Internal Revenue Service.</w:t>
      </w:r>
    </w:p>
    <w:p>
      <w:pPr>
        <w:spacing w:after="0" w:line="188" w:lineRule="exact"/>
        <w:rPr>
          <w:sz w:val="20"/>
          <w:szCs w:val="20"/>
          <w:color w:val="auto"/>
        </w:rPr>
      </w:pPr>
    </w:p>
    <w:p>
      <w:pPr>
        <w:ind w:right="320" w:firstLine="509"/>
        <w:spacing w:after="0" w:line="269" w:lineRule="auto"/>
        <w:rPr>
          <w:sz w:val="20"/>
          <w:szCs w:val="20"/>
          <w:color w:val="auto"/>
        </w:rPr>
      </w:pPr>
      <w:r>
        <w:rPr>
          <w:rFonts w:ascii="Times New Roman" w:cs="Times New Roman" w:eastAsia="Times New Roman" w:hAnsi="Times New Roman"/>
          <w:sz w:val="20"/>
          <w:szCs w:val="20"/>
          <w:color w:val="auto"/>
        </w:rPr>
        <w:t>One (1) copy must be sent to Invivyd, Inc. for its records and one (1) copy of the Section 83(b) election form should be retained for your records.</w:t>
      </w:r>
    </w:p>
    <w:p>
      <w:pPr>
        <w:spacing w:after="0" w:line="1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Retain the Internal Revenue Service file stamped copy (when returned) for your records.</w:t>
      </w:r>
    </w:p>
    <w:p>
      <w:pPr>
        <w:spacing w:after="0" w:line="216" w:lineRule="exact"/>
        <w:rPr>
          <w:sz w:val="20"/>
          <w:szCs w:val="20"/>
          <w:color w:val="auto"/>
        </w:rPr>
      </w:pPr>
    </w:p>
    <w:p>
      <w:pPr>
        <w:ind w:right="280" w:firstLine="509"/>
        <w:spacing w:after="0" w:line="269" w:lineRule="auto"/>
        <w:rPr>
          <w:sz w:val="20"/>
          <w:szCs w:val="20"/>
          <w:color w:val="auto"/>
        </w:rPr>
      </w:pPr>
      <w:r>
        <w:rPr>
          <w:rFonts w:ascii="Times New Roman" w:cs="Times New Roman" w:eastAsia="Times New Roman" w:hAnsi="Times New Roman"/>
          <w:sz w:val="20"/>
          <w:szCs w:val="20"/>
          <w:color w:val="auto"/>
        </w:rPr>
        <w:t>Please consult your personal tax advisor for the address of the office of the Internal Revenue Service to which you should mail your election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437515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135" w:name="page136"/>
    <w:bookmarkEnd w:id="135"/>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ATTACHMENT 1</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ELECTION UNDER INTERNAL REVENUE CODE SECTION 83(B)</w:t>
      </w:r>
    </w:p>
    <w:p>
      <w:pPr>
        <w:spacing w:after="0" w:line="112" w:lineRule="exact"/>
        <w:rPr>
          <w:sz w:val="20"/>
          <w:szCs w:val="20"/>
          <w:color w:val="auto"/>
        </w:rPr>
      </w:pPr>
    </w:p>
    <w:p>
      <w:pPr>
        <w:ind w:right="320" w:firstLine="509"/>
        <w:spacing w:after="0" w:line="254" w:lineRule="auto"/>
        <w:rPr>
          <w:sz w:val="20"/>
          <w:szCs w:val="20"/>
          <w:color w:val="auto"/>
        </w:rPr>
      </w:pPr>
      <w:r>
        <w:rPr>
          <w:rFonts w:ascii="Times New Roman" w:cs="Times New Roman" w:eastAsia="Times New Roman" w:hAnsi="Times New Roman"/>
          <w:sz w:val="20"/>
          <w:szCs w:val="20"/>
          <w:color w:val="auto"/>
        </w:rPr>
        <w:t>The undersigned taxpayer hereby elects, pursuant to Section 83(b) of the Internal Revenue Code of 1986, as amended, to include in taxpayer’s gross income for the current taxable year the amount of any compensation taxable to taxpayer in connection with taxpayer’s receipt of shares (the “</w:t>
      </w:r>
      <w:r>
        <w:rPr>
          <w:rFonts w:ascii="Times New Roman" w:cs="Times New Roman" w:eastAsia="Times New Roman" w:hAnsi="Times New Roman"/>
          <w:sz w:val="20"/>
          <w:szCs w:val="20"/>
          <w:u w:val="single" w:color="auto"/>
          <w:color w:val="auto"/>
        </w:rPr>
        <w:t>Shares</w:t>
      </w:r>
      <w:r>
        <w:rPr>
          <w:rFonts w:ascii="Times New Roman" w:cs="Times New Roman" w:eastAsia="Times New Roman" w:hAnsi="Times New Roman"/>
          <w:sz w:val="20"/>
          <w:szCs w:val="20"/>
          <w:color w:val="auto"/>
        </w:rPr>
        <w:t>”) of Common Stock of Invivyd, Inc.,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name, address and taxpayer identification number of the undersigned taxpayer are:</w:t>
      </w:r>
    </w:p>
    <w:p>
      <w:pPr>
        <w:spacing w:after="0" w:line="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___________________________</w:t>
      </w:r>
    </w:p>
    <w:p>
      <w:pPr>
        <w:ind w:left="520"/>
        <w:spacing w:after="0" w:line="225" w:lineRule="auto"/>
        <w:rPr>
          <w:sz w:val="20"/>
          <w:szCs w:val="20"/>
          <w:color w:val="auto"/>
        </w:rPr>
      </w:pPr>
      <w:r>
        <w:rPr>
          <w:rFonts w:ascii="Times New Roman" w:cs="Times New Roman" w:eastAsia="Times New Roman" w:hAnsi="Times New Roman"/>
          <w:sz w:val="20"/>
          <w:szCs w:val="20"/>
          <w:color w:val="auto"/>
        </w:rPr>
        <w:t>___________________________</w:t>
      </w:r>
    </w:p>
    <w:p>
      <w:pPr>
        <w:ind w:left="520"/>
        <w:spacing w:after="0"/>
        <w:rPr>
          <w:sz w:val="20"/>
          <w:szCs w:val="20"/>
          <w:color w:val="auto"/>
        </w:rPr>
      </w:pPr>
      <w:r>
        <w:rPr>
          <w:rFonts w:ascii="Times New Roman" w:cs="Times New Roman" w:eastAsia="Times New Roman" w:hAnsi="Times New Roman"/>
          <w:sz w:val="20"/>
          <w:szCs w:val="20"/>
          <w:color w:val="auto"/>
        </w:rPr>
        <w:t>___________________________</w:t>
      </w:r>
    </w:p>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SSN: ______________________</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Description of the property with respect to which the election is being made:</w:t>
      </w: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__________________ (_____) shares of Common Stock of the Company.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date on which the property was transferred was ______________. The taxable year to which this election relates is calendar year ____.</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Nature of restrictions to which the property is subject:</w:t>
      </w:r>
    </w:p>
    <w:p>
      <w:pPr>
        <w:spacing w:after="0" w:line="94" w:lineRule="exact"/>
        <w:rPr>
          <w:sz w:val="20"/>
          <w:szCs w:val="20"/>
          <w:color w:val="auto"/>
        </w:rPr>
      </w:pPr>
    </w:p>
    <w:p>
      <w:pPr>
        <w:ind w:left="520" w:right="500"/>
        <w:spacing w:after="0" w:line="269" w:lineRule="auto"/>
        <w:rPr>
          <w:sz w:val="20"/>
          <w:szCs w:val="20"/>
          <w:color w:val="auto"/>
        </w:rPr>
      </w:pPr>
      <w:r>
        <w:rPr>
          <w:rFonts w:ascii="Times New Roman" w:cs="Times New Roman" w:eastAsia="Times New Roman" w:hAnsi="Times New Roman"/>
          <w:sz w:val="20"/>
          <w:szCs w:val="20"/>
          <w:color w:val="auto"/>
        </w:rPr>
        <w:t>The Shares are subject to repurchase by the Company or its assignee upon the occurrence of certain events. This repurchase right lapses based upon the continued performance of services by the taxpayer over time.</w:t>
      </w:r>
    </w:p>
    <w:p>
      <w:pPr>
        <w:spacing w:after="0" w:line="15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fair market value at the time of transfer, determined without regard to any restriction other than a restriction which by its terms will never lapse, of the Shares is $______ ($____ per Share).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amount paid by the taxpayer for the Shares is $______ ($____ per Share).</w:t>
      </w:r>
    </w:p>
    <w:p>
      <w:pPr>
        <w:spacing w:after="0" w:line="216" w:lineRule="exact"/>
        <w:rPr>
          <w:sz w:val="20"/>
          <w:szCs w:val="20"/>
          <w:color w:val="auto"/>
        </w:rPr>
      </w:pPr>
    </w:p>
    <w:p>
      <w:pPr>
        <w:ind w:right="320"/>
        <w:spacing w:after="0" w:line="247" w:lineRule="auto"/>
        <w:rPr>
          <w:sz w:val="20"/>
          <w:szCs w:val="20"/>
          <w:color w:val="auto"/>
        </w:rPr>
      </w:pPr>
      <w:r>
        <w:rPr>
          <w:rFonts w:ascii="Times New Roman" w:cs="Times New Roman" w:eastAsia="Times New Roman" w:hAnsi="Times New Roman"/>
          <w:sz w:val="20"/>
          <w:szCs w:val="20"/>
          <w:color w:val="auto"/>
        </w:rPr>
        <w:t>The undersigned has submitted a copy of this statement to the person for whom the services were performed in connection with the undersigned’s receipt of the above-described property. The transferee of such property is the person performing the services in connection with the transfer of said property.</w:t>
      </w:r>
    </w:p>
    <w:p>
      <w:pPr>
        <w:spacing w:after="0" w:line="181" w:lineRule="exact"/>
        <w:rPr>
          <w:sz w:val="20"/>
          <w:szCs w:val="20"/>
          <w:color w:val="auto"/>
        </w:rPr>
      </w:pPr>
    </w:p>
    <w:p>
      <w:pPr>
        <w:spacing w:after="0"/>
        <w:tabs>
          <w:tab w:leader="none" w:pos="4320" w:val="left"/>
        </w:tabs>
        <w:rPr>
          <w:sz w:val="20"/>
          <w:szCs w:val="20"/>
          <w:color w:val="auto"/>
        </w:rPr>
      </w:pPr>
      <w:r>
        <w:rPr>
          <w:rFonts w:ascii="Times New Roman" w:cs="Times New Roman" w:eastAsia="Times New Roman" w:hAnsi="Times New Roman"/>
          <w:sz w:val="20"/>
          <w:szCs w:val="20"/>
          <w:color w:val="auto"/>
        </w:rPr>
        <w:t>Dated: _____________, ____</w:t>
      </w:r>
      <w:r>
        <w:rPr>
          <w:sz w:val="20"/>
          <w:szCs w:val="20"/>
          <w:color w:val="auto"/>
        </w:rPr>
        <w:tab/>
      </w:r>
      <w:r>
        <w:rPr>
          <w:rFonts w:ascii="Times New Roman" w:cs="Times New Roman" w:eastAsia="Times New Roman" w:hAnsi="Times New Roman"/>
          <w:sz w:val="19"/>
          <w:szCs w:val="19"/>
          <w:color w:val="auto"/>
        </w:rPr>
        <w:t>Taxpayer Signature 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136" w:name="page137"/>
    <w:bookmarkEnd w:id="136"/>
    <w:p>
      <w:pPr>
        <w:jc w:val="center"/>
        <w:ind w:right="-179"/>
        <w:spacing w:after="0"/>
        <w:rPr>
          <w:sz w:val="20"/>
          <w:szCs w:val="20"/>
          <w:color w:val="auto"/>
        </w:rPr>
      </w:pPr>
      <w:r>
        <w:rPr>
          <w:rFonts w:ascii="Times New Roman" w:cs="Times New Roman" w:eastAsia="Times New Roman" w:hAnsi="Times New Roman"/>
          <w:sz w:val="20"/>
          <w:szCs w:val="20"/>
          <w:b w:val="1"/>
          <w:bCs w:val="1"/>
          <w:u w:val="single" w:color="auto"/>
          <w:color w:val="auto"/>
        </w:rPr>
        <w:t>ATTACHMENT 2</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9"/>
          <w:szCs w:val="19"/>
          <w:b w:val="1"/>
          <w:bCs w:val="1"/>
          <w:color w:val="auto"/>
        </w:rPr>
        <w:t>SAMPLE COVER LETTER TO INTERNAL REVENUE SERVICE</w:t>
      </w:r>
    </w:p>
    <w:p>
      <w:pPr>
        <w:spacing w:after="0" w:line="123"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0"/>
          <w:szCs w:val="20"/>
          <w:color w:val="auto"/>
        </w:rPr>
        <w:t>__________________, 20___</w:t>
      </w:r>
    </w:p>
    <w:p>
      <w:pPr>
        <w:spacing w:after="0" w:line="2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VIA CERTIFIED MAIL</w:t>
      </w:r>
    </w:p>
    <w:p>
      <w:pPr>
        <w:spacing w:after="0" w:line="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RETURN RECEIPT REQUESTED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Internal Revenue Service</w:t>
      </w:r>
    </w:p>
    <w:p>
      <w:pPr>
        <w:sectPr>
          <w:pgSz w:w="11900" w:h="16838" w:orient="portrait"/>
          <w:cols w:equalWidth="0" w:num="1">
            <w:col w:w="11060"/>
          </w:cols>
          <w:pgMar w:left="320" w:top="531" w:right="519" w:bottom="1440" w:gutter="0" w:footer="0" w:header="0"/>
        </w:sect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Election under Section 83(b) of the Internal Revenue Code of 1986</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Taxpayer:</w:t>
      </w:r>
    </w:p>
    <w:p>
      <w:pPr>
        <w:ind w:left="20"/>
        <w:spacing w:after="0"/>
        <w:rPr>
          <w:sz w:val="20"/>
          <w:szCs w:val="20"/>
          <w:color w:val="auto"/>
        </w:rPr>
      </w:pPr>
      <w:r>
        <w:rPr>
          <w:rFonts w:ascii="Times New Roman" w:cs="Times New Roman" w:eastAsia="Times New Roman" w:hAnsi="Times New Roman"/>
          <w:sz w:val="20"/>
          <w:szCs w:val="20"/>
          <w:color w:val="auto"/>
        </w:rPr>
        <w:t>Taxpayer’s Social Security Number:</w:t>
      </w:r>
    </w:p>
    <w:p>
      <w:pPr>
        <w:spacing w:after="0" w:line="194" w:lineRule="exact"/>
        <w:rPr>
          <w:sz w:val="20"/>
          <w:szCs w:val="20"/>
          <w:color w:val="auto"/>
        </w:rPr>
      </w:pPr>
    </w:p>
    <w:p>
      <w:pPr>
        <w:sectPr>
          <w:pgSz w:w="11900" w:h="16838" w:orient="portrait"/>
          <w:cols w:equalWidth="0" w:num="2">
            <w:col w:w="280" w:space="400"/>
            <w:col w:w="10380"/>
          </w:cols>
          <w:pgMar w:left="320" w:top="531" w:right="519" w:bottom="1440" w:gutter="0" w:footer="0" w:header="0"/>
          <w:type w:val="continuous"/>
        </w:sect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10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20"/>
          <w:szCs w:val="20"/>
          <w:color w:val="auto"/>
        </w:rPr>
        <w:t>Enclosed please find an original and one copy of an Election under Section 83(b) of the Internal Revenue Code of 1986, as amended, being made by the taxpayer referenced above. Please acknowledge receipt of the enclosed materials by stamping the enclosed copy of the Election and returning it to me in the self-addressed stamped envelope provided herewith.</w:t>
      </w:r>
    </w:p>
    <w:p>
      <w:pPr>
        <w:spacing w:after="0" w:line="200" w:lineRule="exact"/>
        <w:rPr>
          <w:sz w:val="20"/>
          <w:szCs w:val="20"/>
          <w:color w:val="auto"/>
        </w:rPr>
      </w:pPr>
    </w:p>
    <w:p>
      <w:pPr>
        <w:spacing w:after="0" w:line="20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0"/>
          <w:szCs w:val="20"/>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305435</wp:posOffset>
            </wp:positionV>
            <wp:extent cx="284607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1">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Enclosures</w:t>
      </w:r>
    </w:p>
    <w:p>
      <w:pPr>
        <w:spacing w:after="0" w:line="216" w:lineRule="exact"/>
        <w:rPr>
          <w:sz w:val="20"/>
          <w:szCs w:val="20"/>
          <w:color w:val="auto"/>
        </w:rPr>
      </w:pPr>
    </w:p>
    <w:p>
      <w:pPr>
        <w:ind w:left="480" w:hanging="472"/>
        <w:spacing w:after="0"/>
        <w:tabs>
          <w:tab w:leader="none" w:pos="48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Invivyd,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531" w:right="519" w:bottom="1440" w:gutter="0" w:footer="0" w:header="0"/>
          <w:type w:val="continuous"/>
        </w:sectPr>
      </w:pPr>
    </w:p>
    <w:bookmarkStart w:id="137" w:name="page138"/>
    <w:bookmarkEnd w:id="137"/>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INVIVYD, INC.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2020 EQUITY INCENTIVE PLAN</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STOCK OPTION GRANT NOTICE</w:t>
      </w:r>
    </w:p>
    <w:p>
      <w:pPr>
        <w:spacing w:after="0" w:line="216" w:lineRule="exact"/>
        <w:rPr>
          <w:sz w:val="20"/>
          <w:szCs w:val="20"/>
          <w:color w:val="auto"/>
        </w:rPr>
      </w:pPr>
    </w:p>
    <w:p>
      <w:pPr>
        <w:ind w:right="120" w:firstLine="509"/>
        <w:spacing w:after="0" w:line="243" w:lineRule="auto"/>
        <w:rPr>
          <w:sz w:val="20"/>
          <w:szCs w:val="20"/>
          <w:color w:val="auto"/>
        </w:rPr>
      </w:pPr>
      <w:r>
        <w:rPr>
          <w:rFonts w:ascii="Times New Roman" w:cs="Times New Roman" w:eastAsia="Times New Roman" w:hAnsi="Times New Roman"/>
          <w:sz w:val="20"/>
          <w:szCs w:val="20"/>
          <w:color w:val="auto"/>
        </w:rPr>
        <w:t>Invivyd,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pursuant to its 2020 Equity Incentive Plan, as amended from time to time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has granted to the participant set forth below (“</w:t>
      </w:r>
      <w:r>
        <w:rPr>
          <w:rFonts w:ascii="Times New Roman" w:cs="Times New Roman" w:eastAsia="Times New Roman" w:hAnsi="Times New Roman"/>
          <w:sz w:val="20"/>
          <w:szCs w:val="20"/>
          <w:b w:val="1"/>
          <w:bCs w:val="1"/>
          <w:i w:val="1"/>
          <w:iCs w:val="1"/>
          <w:color w:val="auto"/>
        </w:rPr>
        <w:t>Participant</w:t>
      </w:r>
      <w:r>
        <w:rPr>
          <w:rFonts w:ascii="Times New Roman" w:cs="Times New Roman" w:eastAsia="Times New Roman" w:hAnsi="Times New Roman"/>
          <w:sz w:val="20"/>
          <w:szCs w:val="20"/>
          <w:color w:val="auto"/>
        </w:rPr>
        <w:t>”), an Option to purchase the number of shares of the Company’s Common Stock (referred to herein as “</w:t>
      </w:r>
      <w:r>
        <w:rPr>
          <w:rFonts w:ascii="Times New Roman" w:cs="Times New Roman" w:eastAsia="Times New Roman" w:hAnsi="Times New Roman"/>
          <w:sz w:val="20"/>
          <w:szCs w:val="20"/>
          <w:b w:val="1"/>
          <w:bCs w:val="1"/>
          <w:i w:val="1"/>
          <w:iCs w:val="1"/>
          <w:color w:val="auto"/>
        </w:rPr>
        <w:t>Shares</w:t>
      </w:r>
      <w:r>
        <w:rPr>
          <w:rFonts w:ascii="Times New Roman" w:cs="Times New Roman" w:eastAsia="Times New Roman" w:hAnsi="Times New Roman"/>
          <w:sz w:val="20"/>
          <w:szCs w:val="20"/>
          <w:color w:val="auto"/>
        </w:rPr>
        <w:t xml:space="preserve">”) set forth below. The Option is subject to all of the terms and conditions as set forth herein and in the Stock Option Agreement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i w:val="1"/>
          <w:iCs w:val="1"/>
          <w:color w:val="auto"/>
        </w:rPr>
        <w:t>Stock Option Agreement”)</w:t>
      </w:r>
      <w:r>
        <w:rPr>
          <w:rFonts w:ascii="Times New Roman" w:cs="Times New Roman" w:eastAsia="Times New Roman" w:hAnsi="Times New Roman"/>
          <w:sz w:val="20"/>
          <w:szCs w:val="20"/>
          <w:color w:val="auto"/>
        </w:rPr>
        <w:t xml:space="preserve"> and the Plan, each of which is incorporated herein by reference. Unless otherwise defined herein, the terms defined in the Plan shall have the same defined meanings in this Stock Option Grant Notice and the Stock Option Agreement.</w:t>
      </w:r>
    </w:p>
    <w:p>
      <w:pPr>
        <w:spacing w:after="0" w:line="200" w:lineRule="exact"/>
        <w:rPr>
          <w:sz w:val="20"/>
          <w:szCs w:val="20"/>
          <w:color w:val="auto"/>
        </w:rPr>
      </w:pP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Participant:</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Grant Date:</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Vesting Commencement Date:</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Exercise Price per Share:</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Total Number of Shares Subject to Option:</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Expiration Date:</w:t>
      </w:r>
    </w:p>
    <w:p>
      <w:pPr>
        <w:sectPr>
          <w:pgSz w:w="11900" w:h="16838" w:orient="portrait"/>
          <w:cols w:equalWidth="0" w:num="1">
            <w:col w:w="11220"/>
          </w:cols>
          <w:pgMar w:left="320" w:top="531" w:right="359" w:bottom="1440" w:gutter="0" w:footer="0" w:header="0"/>
        </w:sectPr>
      </w:pP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Type of Option</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[Incentive Stock Option/Non-Qualified Stock Option]</w:t>
      </w:r>
    </w:p>
    <w:p>
      <w:pPr>
        <w:spacing w:after="0" w:line="200" w:lineRule="exact"/>
        <w:rPr>
          <w:sz w:val="20"/>
          <w:szCs w:val="20"/>
          <w:color w:val="auto"/>
        </w:rPr>
      </w:pPr>
    </w:p>
    <w:p>
      <w:pPr>
        <w:sectPr>
          <w:pgSz w:w="11900" w:h="16838" w:orient="portrait"/>
          <w:cols w:equalWidth="0" w:num="2">
            <w:col w:w="3240" w:space="720"/>
            <w:col w:w="7260"/>
          </w:cols>
          <w:pgMar w:left="320" w:top="531" w:right="359" w:bottom="1440" w:gutter="0" w:footer="0" w:header="0"/>
          <w:type w:val="continuous"/>
        </w:sectPr>
      </w:pP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Vesting Schedule:</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9"/>
          <w:szCs w:val="19"/>
          <w:color w:val="auto"/>
        </w:rPr>
        <w:t>[Subject to the terms of the Agreement, the Option will vest as to 25% of the Shares on the first anniversary of the vesting commencement date set forth above (the “</w:t>
      </w:r>
      <w:r>
        <w:rPr>
          <w:rFonts w:ascii="Times New Roman" w:cs="Times New Roman" w:eastAsia="Times New Roman" w:hAnsi="Times New Roman"/>
          <w:sz w:val="19"/>
          <w:szCs w:val="19"/>
          <w:b w:val="1"/>
          <w:bCs w:val="1"/>
          <w:i w:val="1"/>
          <w:iCs w:val="1"/>
          <w:color w:val="auto"/>
        </w:rPr>
        <w:t>Vesting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 xml:space="preserve">Commencement Date”) </w:t>
      </w:r>
      <w:r>
        <w:rPr>
          <w:rFonts w:ascii="Times New Roman" w:cs="Times New Roman" w:eastAsia="Times New Roman" w:hAnsi="Times New Roman"/>
          <w:sz w:val="19"/>
          <w:szCs w:val="19"/>
          <w:color w:val="auto"/>
        </w:rPr>
        <w:t>and as to 1/48</w:t>
      </w:r>
      <w:r>
        <w:rPr>
          <w:rFonts w:ascii="Times New Roman" w:cs="Times New Roman" w:eastAsia="Times New Roman" w:hAnsi="Times New Roman"/>
          <w:sz w:val="12"/>
          <w:szCs w:val="12"/>
          <w:color w:val="auto"/>
        </w:rPr>
        <w:t>th</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of the Shares upon Participant’s completion of</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each successive month of continuous service as a Service Provider after the first anniversary of the Vesting Commencement Date.] [Notwithstanding the foregoing, the Option will vest in full immediately prior to a Change in Control, subject to Participant’s continued service as a Service Provider until immediately prior to such Change in Control.]</w:t>
      </w:r>
    </w:p>
    <w:p>
      <w:pPr>
        <w:spacing w:after="0" w:line="200" w:lineRule="exact"/>
        <w:rPr>
          <w:sz w:val="20"/>
          <w:szCs w:val="20"/>
          <w:color w:val="auto"/>
        </w:rPr>
      </w:pPr>
    </w:p>
    <w:p>
      <w:pPr>
        <w:sectPr>
          <w:pgSz w:w="11900" w:h="16838" w:orient="portrait"/>
          <w:cols w:equalWidth="0" w:num="2">
            <w:col w:w="3240" w:space="720"/>
            <w:col w:w="7260"/>
          </w:cols>
          <w:pgMar w:left="320" w:top="531" w:right="359" w:bottom="1440" w:gutter="0" w:footer="0" w:header="0"/>
          <w:type w:val="continuous"/>
        </w:sectPr>
      </w:pPr>
    </w:p>
    <w:p>
      <w:pPr>
        <w:spacing w:after="0" w:line="4"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20"/>
          <w:szCs w:val="20"/>
          <w:color w:val="auto"/>
        </w:rPr>
        <w:t>By his or her signature and the Company’s signature below, Participant agrees to be bound by the terms and conditions of the Plan, the Stock Option Agreement and this Grant Notice. Participant has reviewed the Stock Option Agreement, the Plan and this Grant Notice in their entirety, has had an opportunity to obtain the advice of counsel prior to executing this Grant Notice and fully understands all provisions of this Grant Notice, the Stock Option Agreement and the Plan. Participant hereby agrees to accept as binding, conclusive and final all decisions or interpretations of the Administrator of the Plan upon any questions arising under the Plan or the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1" w:right="359" w:bottom="1440" w:gutter="0" w:footer="0" w:header="0"/>
          <w:type w:val="continuous"/>
        </w:sectPr>
      </w:pPr>
    </w:p>
    <w:bookmarkStart w:id="138" w:name="page139"/>
    <w:bookmarkEnd w:id="138"/>
    <w:tbl>
      <w:tblPr>
        <w:tblLayout w:type="fixed"/>
        <w:tblInd w:w="0" w:type="dxa"/>
        <w:tblCellMar>
          <w:top w:w="0" w:type="dxa"/>
          <w:left w:w="0" w:type="dxa"/>
          <w:bottom w:w="0" w:type="dxa"/>
          <w:right w:w="0" w:type="dxa"/>
        </w:tblCellMar>
      </w:tblPr>
      <w:tr>
        <w:trPr>
          <w:trHeight w:val="262"/>
        </w:trPr>
        <w:tc>
          <w:tcPr>
            <w:tcW w:w="334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INVIVYD, INC.</w:t>
            </w:r>
          </w:p>
        </w:tc>
        <w:tc>
          <w:tcPr>
            <w:tcW w:w="7900" w:type="dxa"/>
            <w:vAlign w:val="bottom"/>
          </w:tcPr>
          <w:p>
            <w:pPr>
              <w:ind w:left="1940"/>
              <w:spacing w:after="0"/>
              <w:rPr>
                <w:sz w:val="20"/>
                <w:szCs w:val="20"/>
                <w:color w:val="auto"/>
              </w:rPr>
            </w:pPr>
            <w:r>
              <w:rPr>
                <w:rFonts w:ascii="Times New Roman" w:cs="Times New Roman" w:eastAsia="Times New Roman" w:hAnsi="Times New Roman"/>
                <w:sz w:val="20"/>
                <w:szCs w:val="20"/>
                <w:b w:val="1"/>
                <w:bCs w:val="1"/>
                <w:color w:val="auto"/>
              </w:rPr>
              <w:t>PARTICIPANT</w:t>
            </w:r>
          </w:p>
        </w:tc>
      </w:tr>
      <w:tr>
        <w:trPr>
          <w:trHeight w:val="675"/>
        </w:trPr>
        <w:tc>
          <w:tcPr>
            <w:tcW w:w="3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By:</w:t>
            </w:r>
          </w:p>
        </w:tc>
        <w:tc>
          <w:tcPr>
            <w:tcW w:w="7900" w:type="dxa"/>
            <w:vAlign w:val="bottom"/>
          </w:tcPr>
          <w:p>
            <w:pPr>
              <w:spacing w:after="0"/>
              <w:rPr>
                <w:sz w:val="24"/>
                <w:szCs w:val="24"/>
                <w:color w:val="auto"/>
              </w:rPr>
            </w:pPr>
          </w:p>
        </w:tc>
      </w:tr>
      <w:tr>
        <w:trPr>
          <w:trHeight w:val="675"/>
        </w:trPr>
        <w:tc>
          <w:tcPr>
            <w:tcW w:w="3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Name:</w:t>
            </w:r>
          </w:p>
        </w:tc>
        <w:tc>
          <w:tcPr>
            <w:tcW w:w="7900" w:type="dxa"/>
            <w:vAlign w:val="bottom"/>
          </w:tcPr>
          <w:p>
            <w:pPr>
              <w:ind w:left="1940"/>
              <w:spacing w:after="0"/>
              <w:rPr>
                <w:sz w:val="20"/>
                <w:szCs w:val="20"/>
                <w:color w:val="auto"/>
              </w:rPr>
            </w:pPr>
            <w:r>
              <w:rPr>
                <w:rFonts w:ascii="Times New Roman" w:cs="Times New Roman" w:eastAsia="Times New Roman" w:hAnsi="Times New Roman"/>
                <w:sz w:val="20"/>
                <w:szCs w:val="20"/>
                <w:color w:val="auto"/>
              </w:rPr>
              <w:t>[Participant Name]</w:t>
            </w:r>
          </w:p>
        </w:tc>
      </w:tr>
      <w:tr>
        <w:trPr>
          <w:trHeight w:val="675"/>
        </w:trPr>
        <w:tc>
          <w:tcPr>
            <w:tcW w:w="3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Title:</w:t>
            </w:r>
          </w:p>
        </w:tc>
        <w:tc>
          <w:tcPr>
            <w:tcW w:w="7900" w:type="dxa"/>
            <w:vAlign w:val="bottom"/>
          </w:tcPr>
          <w:p>
            <w:pPr>
              <w:spacing w:after="0"/>
              <w:rPr>
                <w:sz w:val="24"/>
                <w:szCs w:val="24"/>
                <w:color w:val="auto"/>
              </w:rPr>
            </w:pPr>
          </w:p>
        </w:tc>
      </w:tr>
      <w:tr>
        <w:trPr>
          <w:trHeight w:val="946"/>
        </w:trPr>
        <w:tc>
          <w:tcPr>
            <w:tcW w:w="3340" w:type="dxa"/>
            <w:vAlign w:val="bottom"/>
            <w:tcBorders>
              <w:bottom w:val="single" w:sz="8" w:color="9A9A9A"/>
            </w:tcBorders>
          </w:tcPr>
          <w:p>
            <w:pPr>
              <w:spacing w:after="0"/>
              <w:rPr>
                <w:sz w:val="24"/>
                <w:szCs w:val="24"/>
                <w:color w:val="auto"/>
              </w:rPr>
            </w:pPr>
          </w:p>
        </w:tc>
        <w:tc>
          <w:tcPr>
            <w:tcW w:w="7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9"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STOCK OPTION AGREEMENT</w:t>
      </w:r>
    </w:p>
    <w:p>
      <w:pPr>
        <w:spacing w:after="0" w:line="216"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20"/>
          <w:szCs w:val="20"/>
          <w:color w:val="auto"/>
        </w:rPr>
        <w:t>Invivyd,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has granted to Participant an Option under the Company’s 2020 Equity Incentive Plan, as amended from time to time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to purchase the number of Shares indicated in the Stock Option Grant Notice (“</w:t>
      </w:r>
      <w:r>
        <w:rPr>
          <w:rFonts w:ascii="Times New Roman" w:cs="Times New Roman" w:eastAsia="Times New Roman" w:hAnsi="Times New Roman"/>
          <w:sz w:val="20"/>
          <w:szCs w:val="20"/>
          <w:b w:val="1"/>
          <w:bCs w:val="1"/>
          <w:i w:val="1"/>
          <w:iCs w:val="1"/>
          <w:color w:val="auto"/>
        </w:rPr>
        <w:t>Grant Notice”)</w:t>
      </w:r>
      <w:r>
        <w:rPr>
          <w:rFonts w:ascii="Times New Roman" w:cs="Times New Roman" w:eastAsia="Times New Roman" w:hAnsi="Times New Roman"/>
          <w:sz w:val="20"/>
          <w:szCs w:val="20"/>
          <w:color w:val="auto"/>
        </w:rPr>
        <w:t xml:space="preserve"> to which this Stock Option Agreement (this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is attached.</w:t>
      </w:r>
    </w:p>
    <w:p>
      <w:pPr>
        <w:spacing w:after="0" w:line="38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2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194" w:lineRule="exact"/>
        <w:rPr>
          <w:sz w:val="20"/>
          <w:szCs w:val="20"/>
          <w:color w:val="auto"/>
        </w:rPr>
      </w:pPr>
    </w:p>
    <w:p>
      <w:pPr>
        <w:ind w:right="580" w:firstLine="509"/>
        <w:spacing w:after="0" w:line="255" w:lineRule="auto"/>
        <w:rPr>
          <w:sz w:val="20"/>
          <w:szCs w:val="20"/>
          <w:color w:val="auto"/>
        </w:rPr>
      </w:pPr>
      <w:r>
        <w:rPr>
          <w:rFonts w:ascii="Times New Roman" w:cs="Times New Roman" w:eastAsia="Times New Roman" w:hAnsi="Times New Roman"/>
          <w:sz w:val="20"/>
          <w:szCs w:val="20"/>
          <w:color w:val="auto"/>
        </w:rPr>
        <w:t xml:space="preserve">1.2 </w:t>
      </w: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Capitalized terms not specifically defined herein shall have the meanings specified in the Plan and the Grant Notice.</w:t>
      </w:r>
    </w:p>
    <w:p>
      <w:pPr>
        <w:spacing w:after="0" w:line="173"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20"/>
          <w:szCs w:val="20"/>
          <w:color w:val="auto"/>
        </w:rPr>
        <w:t xml:space="preserve">1.3 </w:t>
      </w:r>
      <w:r>
        <w:rPr>
          <w:rFonts w:ascii="Times New Roman" w:cs="Times New Roman" w:eastAsia="Times New Roman" w:hAnsi="Times New Roman"/>
          <w:sz w:val="20"/>
          <w:szCs w:val="20"/>
          <w:u w:val="single" w:color="auto"/>
          <w:color w:val="auto"/>
        </w:rPr>
        <w:t>Incorporation of Terms of Plan</w:t>
      </w:r>
      <w:r>
        <w:rPr>
          <w:rFonts w:ascii="Times New Roman" w:cs="Times New Roman" w:eastAsia="Times New Roman" w:hAnsi="Times New Roman"/>
          <w:sz w:val="20"/>
          <w:szCs w:val="20"/>
          <w:color w:val="auto"/>
        </w:rPr>
        <w:t>. The Option is subject to the terms and conditions of the Plan which are incorporated herein by reference. In the event of a conflict between the terms of the Agreement and the Plan, the terms of the Plan shall control. Participant hereby agrees to execute such further instruments and to take such further action as the Company requests to carry out the purposes and intent of this Agreement and the Plan, including, without limitation, restrictions on the transferability of shares of Common Stock, the right of the Company to repurchase shares of Common Stock, the right of the Company to require that shares of Common Stock be transferred in the event of certain transactions, tag-along rights, bring-along rights, redemption and co-sale rights and voting requirements in accordance with Section 10.15 of the Plan.</w:t>
      </w:r>
    </w:p>
    <w:p>
      <w:pPr>
        <w:spacing w:after="0" w:line="186"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20"/>
          <w:szCs w:val="20"/>
          <w:color w:val="auto"/>
        </w:rPr>
        <w:t xml:space="preserve">1.4 </w:t>
      </w:r>
      <w:r>
        <w:rPr>
          <w:rFonts w:ascii="Times New Roman" w:cs="Times New Roman" w:eastAsia="Times New Roman" w:hAnsi="Times New Roman"/>
          <w:sz w:val="20"/>
          <w:szCs w:val="20"/>
          <w:u w:val="single" w:color="auto"/>
          <w:color w:val="auto"/>
        </w:rPr>
        <w:t>Grant of Option</w:t>
      </w:r>
      <w:r>
        <w:rPr>
          <w:rFonts w:ascii="Times New Roman" w:cs="Times New Roman" w:eastAsia="Times New Roman" w:hAnsi="Times New Roman"/>
          <w:sz w:val="20"/>
          <w:szCs w:val="20"/>
          <w:color w:val="auto"/>
        </w:rPr>
        <w:t xml:space="preserve">. In consideration of Participant’s past and/or continued employment with or service to the Company or a parent or subsidiary and for other good and valuable consideration, effective as of the grant date set forth in the Grant Notice (the “Grant </w:t>
      </w:r>
      <w:r>
        <w:rPr>
          <w:rFonts w:ascii="Times New Roman" w:cs="Times New Roman" w:eastAsia="Times New Roman" w:hAnsi="Times New Roman"/>
          <w:sz w:val="20"/>
          <w:szCs w:val="20"/>
          <w:b w:val="1"/>
          <w:bCs w:val="1"/>
          <w:i w:val="1"/>
          <w:iCs w:val="1"/>
          <w:color w:val="auto"/>
        </w:rPr>
        <w:t>Date”),</w:t>
      </w:r>
      <w:r>
        <w:rPr>
          <w:rFonts w:ascii="Times New Roman" w:cs="Times New Roman" w:eastAsia="Times New Roman" w:hAnsi="Times New Roman"/>
          <w:sz w:val="20"/>
          <w:szCs w:val="20"/>
          <w:color w:val="auto"/>
        </w:rPr>
        <w:t xml:space="preserve"> the Company irrevocably grants to Participant an Option to purchase any part or all of an aggregate of the number of Shares set forth in the Grant Notice, upon the terms and conditions set forth in the Plan and this Agreement. Unless designated as a Non-Qualified Stock Option in the Grant Notice, the Option shall be an Incentive Stock Option to the maximum extent permitted by law.</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PERIOD OF EXERCISABILITY</w:t>
      </w:r>
    </w:p>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 xml:space="preserve">2.1 </w:t>
      </w:r>
      <w:r>
        <w:rPr>
          <w:rFonts w:ascii="Times New Roman" w:cs="Times New Roman" w:eastAsia="Times New Roman" w:hAnsi="Times New Roman"/>
          <w:sz w:val="20"/>
          <w:szCs w:val="20"/>
          <w:u w:val="single" w:color="auto"/>
          <w:color w:val="auto"/>
        </w:rPr>
        <w:t>Vesting; Commencement of Exercisability</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20" w:firstLine="1154"/>
        <w:spacing w:after="0" w:line="254" w:lineRule="auto"/>
        <w:tabs>
          <w:tab w:leader="none" w:pos="1415"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Sections 2.1(b) and 2.3, the Option shall become vested and exercisable in such amounts and at such times as are set forth in the vesting schedule in the Grant Notice (the “</w:t>
      </w:r>
      <w:r>
        <w:rPr>
          <w:rFonts w:ascii="Times New Roman" w:cs="Times New Roman" w:eastAsia="Times New Roman" w:hAnsi="Times New Roman"/>
          <w:sz w:val="20"/>
          <w:szCs w:val="20"/>
          <w:b w:val="1"/>
          <w:bCs w:val="1"/>
          <w:i w:val="1"/>
          <w:iCs w:val="1"/>
          <w:color w:val="auto"/>
        </w:rPr>
        <w:t>Vesting Schedule”),</w:t>
      </w:r>
      <w:r>
        <w:rPr>
          <w:rFonts w:ascii="Times New Roman" w:cs="Times New Roman" w:eastAsia="Times New Roman" w:hAnsi="Times New Roman"/>
          <w:sz w:val="20"/>
          <w:szCs w:val="20"/>
          <w:color w:val="auto"/>
        </w:rPr>
        <w:t xml:space="preserve"> except that any Share as to which the Option would be fractionally vested will be accumulated and will vest and become exercisable only when a whole Share has accumulated.</w:t>
      </w:r>
    </w:p>
    <w:p>
      <w:pPr>
        <w:spacing w:after="0" w:line="160" w:lineRule="exact"/>
        <w:rPr>
          <w:rFonts w:ascii="Times New Roman" w:cs="Times New Roman" w:eastAsia="Times New Roman" w:hAnsi="Times New Roman"/>
          <w:sz w:val="20"/>
          <w:szCs w:val="20"/>
          <w:color w:val="auto"/>
        </w:rPr>
      </w:pPr>
    </w:p>
    <w:p>
      <w:pPr>
        <w:ind w:firstLine="1154"/>
        <w:spacing w:after="0" w:line="254" w:lineRule="auto"/>
        <w:tabs>
          <w:tab w:leader="none" w:pos="1426"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determined by the Administrator, any portion of the Option that has not become vested and exercisable on or prior to the date of Participant’s Termination of Service shall be forfeited on the date of Participant’s Termination of Service and shall not thereafter become vested or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140" w:name="page141"/>
    <w:bookmarkEnd w:id="140"/>
    <w:p>
      <w:pPr>
        <w:ind w:right="260" w:firstLine="509"/>
        <w:spacing w:after="0" w:line="254" w:lineRule="auto"/>
        <w:rPr>
          <w:sz w:val="20"/>
          <w:szCs w:val="20"/>
          <w:color w:val="auto"/>
        </w:rPr>
      </w:pPr>
      <w:r>
        <w:rPr>
          <w:rFonts w:ascii="Times New Roman" w:cs="Times New Roman" w:eastAsia="Times New Roman" w:hAnsi="Times New Roman"/>
          <w:sz w:val="20"/>
          <w:szCs w:val="20"/>
          <w:color w:val="auto"/>
        </w:rPr>
        <w:t xml:space="preserve">2.2 </w:t>
      </w:r>
      <w:r>
        <w:rPr>
          <w:rFonts w:ascii="Times New Roman" w:cs="Times New Roman" w:eastAsia="Times New Roman" w:hAnsi="Times New Roman"/>
          <w:sz w:val="20"/>
          <w:szCs w:val="20"/>
          <w:u w:val="single" w:color="auto"/>
          <w:color w:val="auto"/>
        </w:rPr>
        <w:t>Duration of Exercisability</w:t>
      </w:r>
      <w:r>
        <w:rPr>
          <w:rFonts w:ascii="Times New Roman" w:cs="Times New Roman" w:eastAsia="Times New Roman" w:hAnsi="Times New Roman"/>
          <w:sz w:val="20"/>
          <w:szCs w:val="20"/>
          <w:color w:val="auto"/>
        </w:rPr>
        <w:t>. The installments provided for in the Vesting Schedule are cumulative. Each such installment which becomes vested and exercisable pursuant to the Vesting Schedule shall remain vested and exercisable until it becomes unexercisable under Section 2.3 or pursuant to the terms of the Plan. Once the Option becomes unexercisable, it shall be forfeited immediately.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2.3 </w:t>
      </w:r>
      <w:r>
        <w:rPr>
          <w:rFonts w:ascii="Times New Roman" w:cs="Times New Roman" w:eastAsia="Times New Roman" w:hAnsi="Times New Roman"/>
          <w:sz w:val="20"/>
          <w:szCs w:val="20"/>
          <w:u w:val="single" w:color="auto"/>
          <w:color w:val="auto"/>
        </w:rPr>
        <w:t>Expiration of Option</w:t>
      </w:r>
      <w:r>
        <w:rPr>
          <w:rFonts w:ascii="Times New Roman" w:cs="Times New Roman" w:eastAsia="Times New Roman" w:hAnsi="Times New Roman"/>
          <w:sz w:val="20"/>
          <w:szCs w:val="20"/>
          <w:color w:val="auto"/>
        </w:rPr>
        <w:t>. The Option may not be exercised to any extent by anyone after the first to occur of the following events:</w:t>
      </w:r>
    </w:p>
    <w:p>
      <w:pPr>
        <w:spacing w:after="0" w:line="216" w:lineRule="exact"/>
        <w:rPr>
          <w:sz w:val="20"/>
          <w:szCs w:val="20"/>
          <w:color w:val="auto"/>
        </w:rPr>
      </w:pPr>
    </w:p>
    <w:p>
      <w:pPr>
        <w:ind w:left="1420" w:hanging="266"/>
        <w:spacing w:after="0"/>
        <w:tabs>
          <w:tab w:leader="none" w:pos="142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Expiration Date set forth in the Grant Notice;</w:t>
      </w:r>
    </w:p>
    <w:p>
      <w:pPr>
        <w:spacing w:after="0" w:line="202" w:lineRule="exact"/>
        <w:rPr>
          <w:rFonts w:ascii="Times New Roman" w:cs="Times New Roman" w:eastAsia="Times New Roman" w:hAnsi="Times New Roman"/>
          <w:sz w:val="20"/>
          <w:szCs w:val="20"/>
          <w:color w:val="auto"/>
        </w:rPr>
      </w:pPr>
    </w:p>
    <w:p>
      <w:pPr>
        <w:ind w:right="500" w:firstLine="1154"/>
        <w:spacing w:after="0" w:line="269" w:lineRule="auto"/>
        <w:tabs>
          <w:tab w:leader="none" w:pos="1426"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expiration of three months following the date of Participant’s Termination of Service, unless such Termination of Service occurs by reason of Participant’s death, Disability or Cause;</w:t>
      </w:r>
    </w:p>
    <w:p>
      <w:pPr>
        <w:spacing w:after="0" w:line="159" w:lineRule="exact"/>
        <w:rPr>
          <w:rFonts w:ascii="Times New Roman" w:cs="Times New Roman" w:eastAsia="Times New Roman" w:hAnsi="Times New Roman"/>
          <w:sz w:val="20"/>
          <w:szCs w:val="20"/>
          <w:color w:val="auto"/>
        </w:rPr>
      </w:pPr>
    </w:p>
    <w:p>
      <w:pPr>
        <w:ind w:left="1420" w:hanging="266"/>
        <w:spacing w:after="0"/>
        <w:tabs>
          <w:tab w:leader="none" w:pos="142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expiration of one year following the date of Participant’s Termination of Service by reason of Participant’s death or</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Disability; or</w:t>
      </w:r>
    </w:p>
    <w:p>
      <w:pPr>
        <w:spacing w:after="0" w:line="193" w:lineRule="exact"/>
        <w:rPr>
          <w:rFonts w:ascii="Times New Roman" w:cs="Times New Roman" w:eastAsia="Times New Roman" w:hAnsi="Times New Roman"/>
          <w:sz w:val="20"/>
          <w:szCs w:val="20"/>
          <w:color w:val="auto"/>
        </w:rPr>
      </w:pPr>
    </w:p>
    <w:p>
      <w:pPr>
        <w:ind w:left="1440" w:hanging="286"/>
        <w:spacing w:after="0"/>
        <w:tabs>
          <w:tab w:leader="none" w:pos="144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of Participant’s Termination of Service for Cause.</w:t>
      </w:r>
    </w:p>
    <w:p>
      <w:pPr>
        <w:spacing w:after="0" w:line="216"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20"/>
          <w:szCs w:val="20"/>
          <w:color w:val="auto"/>
        </w:rPr>
        <w:t>Participant acknowledges that an Incentive Stock Option exercised more than three months after Participant’s termination of status as an Employee, other than by reason of death or Disability, will be taxed as a Non-Qualified Stock Option.</w:t>
      </w:r>
    </w:p>
    <w:p>
      <w:pPr>
        <w:spacing w:after="0" w:line="169"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Cause</w:t>
      </w:r>
      <w:r>
        <w:rPr>
          <w:rFonts w:ascii="Times New Roman" w:cs="Times New Roman" w:eastAsia="Times New Roman" w:hAnsi="Times New Roman"/>
          <w:sz w:val="20"/>
          <w:szCs w:val="20"/>
          <w:color w:val="auto"/>
        </w:rPr>
        <w:t xml:space="preserve">,” means “Cause” (or any term of similar effect) as defined in Participant’s employment agreement with the Company if such an agreement exists and contains a definition of Cause (or term of similar effect), or, if no such agreement exists or such agreement does not contain a definition of Cause (or term of similar effect), then Cause shall include, but not be limited to: (i) Participant’s unauthorized use or disclosure of confidential information or trade secrets of the Company or any material breach of a written agreement between Participant and the Company, including without limitation a material breach of any employment, confidentiality, non-compete, non-solicit or similar agreement; (ii) Participant’s commission of, indictment for or the entry of a plea of guilty or </w:t>
      </w:r>
      <w:r>
        <w:rPr>
          <w:rFonts w:ascii="Times New Roman" w:cs="Times New Roman" w:eastAsia="Times New Roman" w:hAnsi="Times New Roman"/>
          <w:sz w:val="20"/>
          <w:szCs w:val="20"/>
          <w:i w:val="1"/>
          <w:iCs w:val="1"/>
          <w:color w:val="auto"/>
        </w:rPr>
        <w:t>nolo contendere</w:t>
      </w:r>
      <w:r>
        <w:rPr>
          <w:rFonts w:ascii="Times New Roman" w:cs="Times New Roman" w:eastAsia="Times New Roman" w:hAnsi="Times New Roman"/>
          <w:sz w:val="20"/>
          <w:szCs w:val="20"/>
          <w:color w:val="auto"/>
        </w:rPr>
        <w:t xml:space="preserve"> by Participant to, a felony under the laws of the United States or any state thereof or any crime involving dishonesty or moral turpitude (or any similar crime in any jurisdiction outside the United States); (iii) Participant’s negligence or willful misconduct in the performance of Participant’s duties or Participant’s willful or repeated failure or refusal to substantially perform assigned duties; (iv) any act of fraud, embezzlement, material misappropriation or dishonesty committed by Participant against the Company; or (v) any acts, omissions or statements by Participant which the Company determines to be materially detrimental or damaging to the reputation, operations, prospects or business relations of the Company.</w:t>
      </w:r>
    </w:p>
    <w:p>
      <w:pPr>
        <w:spacing w:after="0" w:line="176"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20"/>
          <w:szCs w:val="20"/>
          <w:color w:val="auto"/>
        </w:rPr>
        <w:t xml:space="preserve">2.4 </w:t>
      </w:r>
      <w:r>
        <w:rPr>
          <w:rFonts w:ascii="Times New Roman" w:cs="Times New Roman" w:eastAsia="Times New Roman" w:hAnsi="Times New Roman"/>
          <w:sz w:val="20"/>
          <w:szCs w:val="20"/>
          <w:u w:val="single" w:color="auto"/>
          <w:color w:val="auto"/>
        </w:rPr>
        <w:t>Special Tax Consequences</w:t>
      </w:r>
      <w:r>
        <w:rPr>
          <w:rFonts w:ascii="Times New Roman" w:cs="Times New Roman" w:eastAsia="Times New Roman" w:hAnsi="Times New Roman"/>
          <w:sz w:val="20"/>
          <w:szCs w:val="20"/>
          <w:color w:val="auto"/>
        </w:rPr>
        <w:t>. If the Option is intended to be an Incentive Stock Option, Participant acknowledges that, to the extent that the aggregate fair market value (determined as of the time the Option is granted) of all Shares with respect to which Incentive Stock Options, including, without limitation, the Option, are first exercisable for the first time by Participant in any calendar year exceeds $100,000 (or such other limitation as imposed by Section 422(d) of the Code), the Option and such other options (or the applicable portion thereof) shall be treated as not qualifying under Section 422 of the Code but rather shall be considered Non-Qualified Stock Options. Participant further acknowledges that the rule set forth in the preceding sentence shall be applied by taking Options and other “incentive stock options” into account in the order in which they were granted. Participant acknowledges that amendments or modifications made to the Option pursuant to the Plan that would cause the Option to become a Non-Qualified Stock Option will not materially or adversely affect Participant’s rights under the Option, and that any such amendment or modification shall not require Participant’s consent. Participant also acknowledges that if the Option is exercised more than three (3) months after Participant’s Termination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180975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20"/>
          <w:szCs w:val="20"/>
          <w:color w:val="auto"/>
        </w:rPr>
        <w:t>Service as an Employee, other than by reason of death or disability, the Option will be taxed as a Non-Qualified Stock Option.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EXERCISE OF OPTION</w:t>
      </w:r>
    </w:p>
    <w:p>
      <w:pPr>
        <w:spacing w:after="0" w:line="194" w:lineRule="exact"/>
        <w:rPr>
          <w:sz w:val="20"/>
          <w:szCs w:val="20"/>
          <w:color w:val="auto"/>
        </w:rPr>
      </w:pPr>
    </w:p>
    <w:p>
      <w:pPr>
        <w:ind w:right="120" w:firstLine="509"/>
        <w:spacing w:after="0" w:line="244"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u w:val="single" w:color="auto"/>
          <w:color w:val="auto"/>
        </w:rPr>
        <w:t>Person Eligible to Exercise</w:t>
      </w:r>
      <w:r>
        <w:rPr>
          <w:rFonts w:ascii="Times New Roman" w:cs="Times New Roman" w:eastAsia="Times New Roman" w:hAnsi="Times New Roman"/>
          <w:sz w:val="20"/>
          <w:szCs w:val="20"/>
          <w:color w:val="auto"/>
        </w:rPr>
        <w:t>. During the lifetime of Participant, only Participant may exercise the Option or any portion thereof. After the death of Participant, any exercisable portion of the Option may, prior to the time when the Option becomes unexercisable under Section 2.3, be exercised by Participant’s personal representative or by any person empowered to do so under the deceased Participant’s will or under the then applicable laws of descent and distribution.</w:t>
      </w:r>
    </w:p>
    <w:p>
      <w:pPr>
        <w:spacing w:after="0" w:line="77" w:lineRule="exact"/>
        <w:rPr>
          <w:sz w:val="20"/>
          <w:szCs w:val="20"/>
          <w:color w:val="auto"/>
        </w:rPr>
      </w:pPr>
    </w:p>
    <w:p>
      <w:pPr>
        <w:ind w:right="120" w:firstLine="509"/>
        <w:spacing w:after="0" w:line="269" w:lineRule="auto"/>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u w:val="single" w:color="auto"/>
          <w:color w:val="auto"/>
        </w:rPr>
        <w:t>Partial Exercise</w:t>
      </w:r>
      <w:r>
        <w:rPr>
          <w:rFonts w:ascii="Times New Roman" w:cs="Times New Roman" w:eastAsia="Times New Roman" w:hAnsi="Times New Roman"/>
          <w:sz w:val="20"/>
          <w:szCs w:val="20"/>
          <w:color w:val="auto"/>
        </w:rPr>
        <w:t>. Any exercisable portion of the Option or the entire Option, if then wholly exercisable, may be exercised in whole or in part at any time prior to the time when the Option or portion thereof becomes unexercisable under Section 2.3.</w:t>
      </w:r>
    </w:p>
    <w:p>
      <w:pPr>
        <w:spacing w:after="0" w:line="159" w:lineRule="exact"/>
        <w:rPr>
          <w:sz w:val="20"/>
          <w:szCs w:val="20"/>
          <w:color w:val="auto"/>
        </w:rPr>
      </w:pPr>
    </w:p>
    <w:p>
      <w:pPr>
        <w:jc w:val="both"/>
        <w:ind w:right="280" w:firstLine="509"/>
        <w:spacing w:after="0" w:line="247" w:lineRule="auto"/>
        <w:rPr>
          <w:sz w:val="20"/>
          <w:szCs w:val="20"/>
          <w:color w:val="auto"/>
        </w:rPr>
      </w:pPr>
      <w:r>
        <w:rPr>
          <w:rFonts w:ascii="Times New Roman" w:cs="Times New Roman" w:eastAsia="Times New Roman" w:hAnsi="Times New Roman"/>
          <w:sz w:val="20"/>
          <w:szCs w:val="20"/>
          <w:color w:val="auto"/>
        </w:rPr>
        <w:t xml:space="preserve">3.3 </w:t>
      </w:r>
      <w:r>
        <w:rPr>
          <w:rFonts w:ascii="Times New Roman" w:cs="Times New Roman" w:eastAsia="Times New Roman" w:hAnsi="Times New Roman"/>
          <w:sz w:val="20"/>
          <w:szCs w:val="20"/>
          <w:u w:val="single" w:color="auto"/>
          <w:color w:val="auto"/>
        </w:rPr>
        <w:t>Manner of Exercise</w:t>
      </w:r>
      <w:r>
        <w:rPr>
          <w:rFonts w:ascii="Times New Roman" w:cs="Times New Roman" w:eastAsia="Times New Roman" w:hAnsi="Times New Roman"/>
          <w:sz w:val="20"/>
          <w:szCs w:val="20"/>
          <w:color w:val="auto"/>
        </w:rPr>
        <w:t>. The Option, or any exercisable portion thereof, may be exercised solely by delivery to the Secretary of the Company or the Secretary’s office, or such other place as may be determined by the Administrator, of all of the following prior to the time when the Option or such portion thereof becomes unexercisable under Section 2.3:</w:t>
      </w:r>
    </w:p>
    <w:p>
      <w:pPr>
        <w:spacing w:after="0" w:line="73" w:lineRule="exact"/>
        <w:rPr>
          <w:sz w:val="20"/>
          <w:szCs w:val="20"/>
          <w:color w:val="auto"/>
        </w:rPr>
      </w:pPr>
    </w:p>
    <w:p>
      <w:pPr>
        <w:ind w:firstLine="1154"/>
        <w:spacing w:after="0" w:line="249" w:lineRule="auto"/>
        <w:tabs>
          <w:tab w:leader="none" w:pos="1415"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exercise notice in substantially in the form attached as Exhibit B to the Grant Notice (or such other form as is prescribed by the Administrator) (the “</w:t>
      </w:r>
      <w:r>
        <w:rPr>
          <w:rFonts w:ascii="Times New Roman" w:cs="Times New Roman" w:eastAsia="Times New Roman" w:hAnsi="Times New Roman"/>
          <w:sz w:val="20"/>
          <w:szCs w:val="20"/>
          <w:b w:val="1"/>
          <w:bCs w:val="1"/>
          <w:i w:val="1"/>
          <w:iCs w:val="1"/>
          <w:color w:val="auto"/>
        </w:rPr>
        <w:t>Exercise Notice”)</w:t>
      </w:r>
      <w:r>
        <w:rPr>
          <w:rFonts w:ascii="Times New Roman" w:cs="Times New Roman" w:eastAsia="Times New Roman" w:hAnsi="Times New Roman"/>
          <w:sz w:val="20"/>
          <w:szCs w:val="20"/>
          <w:color w:val="auto"/>
        </w:rPr>
        <w:t xml:space="preserve"> in writing signed by Participant or any other person then entitled to exercise the Option or portion thereof, stating that the Option or portion thereof is thereby exercised, such notice complying with all applicable rules established by the Administrator; and</w:t>
      </w:r>
    </w:p>
    <w:p>
      <w:pPr>
        <w:spacing w:after="0" w:line="179" w:lineRule="exact"/>
        <w:rPr>
          <w:rFonts w:ascii="Times New Roman" w:cs="Times New Roman" w:eastAsia="Times New Roman" w:hAnsi="Times New Roman"/>
          <w:sz w:val="20"/>
          <w:szCs w:val="20"/>
          <w:color w:val="auto"/>
        </w:rPr>
      </w:pPr>
    </w:p>
    <w:p>
      <w:pPr>
        <w:ind w:left="1440" w:hanging="286"/>
        <w:spacing w:after="0"/>
        <w:tabs>
          <w:tab w:leader="none" w:pos="144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Full payment for Shares with respect to which the Option or portion thereof is exercised in accordance with Section 5.6 of</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Plan; and</w:t>
      </w:r>
    </w:p>
    <w:p>
      <w:pPr>
        <w:spacing w:after="0" w:line="180" w:lineRule="exact"/>
        <w:rPr>
          <w:rFonts w:ascii="Times New Roman" w:cs="Times New Roman" w:eastAsia="Times New Roman" w:hAnsi="Times New Roman"/>
          <w:sz w:val="20"/>
          <w:szCs w:val="20"/>
          <w:color w:val="auto"/>
        </w:rPr>
      </w:pPr>
    </w:p>
    <w:p>
      <w:pPr>
        <w:ind w:right="320" w:firstLine="1154"/>
        <w:spacing w:after="0" w:line="269" w:lineRule="auto"/>
        <w:tabs>
          <w:tab w:leader="none" w:pos="1415"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receipt by the Company of full payment for any applicable withholding tax in cash, by wire transfer of immediately available funds, by check or in such other form as is permitted by the Plan; and</w:t>
      </w:r>
    </w:p>
    <w:p>
      <w:pPr>
        <w:spacing w:after="0" w:line="159" w:lineRule="exact"/>
        <w:rPr>
          <w:rFonts w:ascii="Times New Roman" w:cs="Times New Roman" w:eastAsia="Times New Roman" w:hAnsi="Times New Roman"/>
          <w:sz w:val="20"/>
          <w:szCs w:val="20"/>
          <w:color w:val="auto"/>
        </w:rPr>
      </w:pPr>
    </w:p>
    <w:p>
      <w:pPr>
        <w:ind w:right="340" w:firstLine="1154"/>
        <w:spacing w:after="0" w:line="269" w:lineRule="auto"/>
        <w:tabs>
          <w:tab w:leader="none" w:pos="1426"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the Option or portion thereof shall be exercised pursuant to Section 3.1 by any person or persons other than Participant, appropriate proof of the right of such person or persons to exercise the Option.</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IV.</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OTHER PROVISIONS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u w:val="single" w:color="auto"/>
          <w:color w:val="auto"/>
        </w:rPr>
        <w:t>Restrictive Legends and Stop-Transfer Orders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580" w:firstLine="1154"/>
        <w:spacing w:after="0" w:line="254" w:lineRule="auto"/>
        <w:tabs>
          <w:tab w:leader="none" w:pos="1415"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agrees that, in order to ensure compliance with the restrictions referred to herein, the Company may issue appropriate “stop transfer” instructions to its transfer agent, if any, and that, if the Company transfers its own securities, it may make appropriate notations to the same effect in its own records.</w:t>
      </w:r>
    </w:p>
    <w:p>
      <w:pPr>
        <w:spacing w:after="0" w:line="174" w:lineRule="exact"/>
        <w:rPr>
          <w:rFonts w:ascii="Times New Roman" w:cs="Times New Roman" w:eastAsia="Times New Roman" w:hAnsi="Times New Roman"/>
          <w:sz w:val="20"/>
          <w:szCs w:val="20"/>
          <w:color w:val="auto"/>
        </w:rPr>
      </w:pPr>
    </w:p>
    <w:p>
      <w:pPr>
        <w:ind w:right="220" w:firstLine="1154"/>
        <w:spacing w:after="0" w:line="269" w:lineRule="auto"/>
        <w:tabs>
          <w:tab w:leader="none" w:pos="1426"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not be required: (i) to transfer on its books any Shares that have been sold or otherwise transferred in violation of any of the provisions of this Agreement, or (ii) to treat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163195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42" w:name="page143"/>
    <w:bookmarkEnd w:id="142"/>
    <w:p>
      <w:pPr>
        <w:ind w:right="40"/>
        <w:spacing w:after="0" w:line="269" w:lineRule="auto"/>
        <w:rPr>
          <w:sz w:val="20"/>
          <w:szCs w:val="20"/>
          <w:color w:val="auto"/>
        </w:rPr>
      </w:pPr>
      <w:r>
        <w:rPr>
          <w:rFonts w:ascii="Times New Roman" w:cs="Times New Roman" w:eastAsia="Times New Roman" w:hAnsi="Times New Roman"/>
          <w:sz w:val="20"/>
          <w:szCs w:val="20"/>
          <w:color w:val="auto"/>
        </w:rPr>
        <w:t>owner of such Shares or to accord the right to vote or pay dividends to any purchaser or other transferee to whom such shares shall have been so transferred.</w:t>
      </w:r>
    </w:p>
    <w:p>
      <w:pPr>
        <w:spacing w:after="0" w:line="173" w:lineRule="exact"/>
        <w:rPr>
          <w:sz w:val="20"/>
          <w:szCs w:val="20"/>
          <w:color w:val="auto"/>
        </w:rPr>
      </w:pPr>
    </w:p>
    <w:p>
      <w:pPr>
        <w:ind w:firstLine="1146"/>
        <w:spacing w:after="0" w:line="242" w:lineRule="auto"/>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 to be given under the terms of this Agreement to the Company shall be addressed to the Company at its principal executive offices in care of the Secretary of the Company, and any notice to be given to Participant shall be addressed to Participant at the most recent address for Participant shown in the Company’s records. By a notice given pursuant to this Section 4.2, either party may hereafter designate a different address for notices to be given to that party. Any notice which is required to be given to Participant shall, if Participant is then deceased, be given to the person entitled to exercise his or her Option by written notice under this Section 4.2. Any notice shall be deemed duly given when sent via email or when sent by certified mail (return receipt requested) and deposited (with postage prepaid) in a post office or branch post office regularly maintained by the United States Postal Service.</w:t>
      </w:r>
    </w:p>
    <w:p>
      <w:pPr>
        <w:spacing w:after="0" w:line="186" w:lineRule="exact"/>
        <w:rPr>
          <w:sz w:val="20"/>
          <w:szCs w:val="20"/>
          <w:color w:val="auto"/>
        </w:rPr>
      </w:pPr>
    </w:p>
    <w:p>
      <w:pPr>
        <w:ind w:right="240" w:firstLine="1146"/>
        <w:spacing w:after="0" w:line="269" w:lineRule="auto"/>
        <w:rPr>
          <w:sz w:val="20"/>
          <w:szCs w:val="20"/>
          <w:color w:val="auto"/>
        </w:rPr>
      </w:pPr>
      <w:r>
        <w:rPr>
          <w:rFonts w:ascii="Times New Roman" w:cs="Times New Roman" w:eastAsia="Times New Roman" w:hAnsi="Times New Roman"/>
          <w:sz w:val="20"/>
          <w:szCs w:val="20"/>
          <w:color w:val="auto"/>
        </w:rPr>
        <w:t xml:space="preserve">4.3 </w:t>
      </w:r>
      <w:r>
        <w:rPr>
          <w:rFonts w:ascii="Times New Roman" w:cs="Times New Roman" w:eastAsia="Times New Roman" w:hAnsi="Times New Roman"/>
          <w:sz w:val="20"/>
          <w:szCs w:val="20"/>
          <w:u w:val="single" w:color="auto"/>
          <w:color w:val="auto"/>
        </w:rPr>
        <w:t>Titles</w:t>
      </w:r>
      <w:r>
        <w:rPr>
          <w:rFonts w:ascii="Times New Roman" w:cs="Times New Roman" w:eastAsia="Times New Roman" w:hAnsi="Times New Roman"/>
          <w:sz w:val="20"/>
          <w:szCs w:val="20"/>
          <w:color w:val="auto"/>
        </w:rPr>
        <w:t>. Titles are provided herein for convenience only and are not to serve as a basis for interpretation or construction of this Agreement.</w:t>
      </w:r>
    </w:p>
    <w:p>
      <w:pPr>
        <w:spacing w:after="0" w:line="146" w:lineRule="exact"/>
        <w:rPr>
          <w:sz w:val="20"/>
          <w:szCs w:val="20"/>
          <w:color w:val="auto"/>
        </w:rPr>
      </w:pPr>
    </w:p>
    <w:p>
      <w:pPr>
        <w:ind w:right="120" w:firstLine="1146"/>
        <w:spacing w:after="0" w:line="249" w:lineRule="auto"/>
        <w:rPr>
          <w:sz w:val="20"/>
          <w:szCs w:val="20"/>
          <w:color w:val="auto"/>
        </w:rPr>
      </w:pPr>
      <w:r>
        <w:rPr>
          <w:rFonts w:ascii="Times New Roman" w:cs="Times New Roman" w:eastAsia="Times New Roman" w:hAnsi="Times New Roman"/>
          <w:sz w:val="20"/>
          <w:szCs w:val="20"/>
          <w:color w:val="auto"/>
        </w:rPr>
        <w:t xml:space="preserve">4.4 </w:t>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Severability. This Agreement and the Exercise Notice shall be administered, interpreted and enforced under the laws of the State of Delaware, without regard to the conflicts of law principles thereof. Should any provision of this Agreement be determined by a court of law to be illegal or unenforceable, the other provisions shall nevertheless remain effective and shall remain enforceable.</w:t>
      </w:r>
    </w:p>
    <w:p>
      <w:pPr>
        <w:spacing w:after="0" w:line="180" w:lineRule="exact"/>
        <w:rPr>
          <w:sz w:val="20"/>
          <w:szCs w:val="20"/>
          <w:color w:val="auto"/>
        </w:rPr>
      </w:pPr>
    </w:p>
    <w:p>
      <w:pPr>
        <w:ind w:right="100" w:firstLine="1146"/>
        <w:spacing w:after="0" w:line="242" w:lineRule="auto"/>
        <w:rPr>
          <w:sz w:val="20"/>
          <w:szCs w:val="20"/>
          <w:color w:val="auto"/>
        </w:rPr>
      </w:pPr>
      <w:r>
        <w:rPr>
          <w:rFonts w:ascii="Times New Roman" w:cs="Times New Roman" w:eastAsia="Times New Roman" w:hAnsi="Times New Roman"/>
          <w:sz w:val="20"/>
          <w:szCs w:val="20"/>
          <w:color w:val="auto"/>
        </w:rPr>
        <w:t xml:space="preserve">4.5 </w:t>
      </w:r>
      <w:r>
        <w:rPr>
          <w:rFonts w:ascii="Times New Roman" w:cs="Times New Roman" w:eastAsia="Times New Roman" w:hAnsi="Times New Roman"/>
          <w:sz w:val="20"/>
          <w:szCs w:val="20"/>
          <w:u w:val="single" w:color="auto"/>
          <w:color w:val="auto"/>
        </w:rPr>
        <w:t>Conformity to Securities Laws</w:t>
      </w:r>
      <w:r>
        <w:rPr>
          <w:rFonts w:ascii="Times New Roman" w:cs="Times New Roman" w:eastAsia="Times New Roman" w:hAnsi="Times New Roman"/>
          <w:sz w:val="20"/>
          <w:szCs w:val="20"/>
          <w:color w:val="auto"/>
        </w:rPr>
        <w:t>. Participant acknowledges that the Plan is intended to conform to the extent necessary with all provisions of the Securities Act and the Exchange Act and any and all regulations and rules promulgated by the Securities and Exchange Commission thereunder, and state securities laws and regulations. Notwithstanding anything herein to the contrary, the Plan shall be administered, and the Option is granted and may be exercised, only in such a manner as to conform to such laws, rules and regulations. To the extent permitted by applicable law, the Plan and this Agreement shall be deemed amended to the extent necessary to conform to such laws, rules and regulations.</w:t>
      </w:r>
    </w:p>
    <w:p>
      <w:pPr>
        <w:spacing w:after="0" w:line="188" w:lineRule="exact"/>
        <w:rPr>
          <w:sz w:val="20"/>
          <w:szCs w:val="20"/>
          <w:color w:val="auto"/>
        </w:rPr>
      </w:pPr>
    </w:p>
    <w:p>
      <w:pPr>
        <w:ind w:right="40" w:firstLine="1146"/>
        <w:spacing w:after="0" w:line="244" w:lineRule="auto"/>
        <w:rPr>
          <w:sz w:val="20"/>
          <w:szCs w:val="20"/>
          <w:color w:val="auto"/>
        </w:rPr>
      </w:pPr>
      <w:r>
        <w:rPr>
          <w:rFonts w:ascii="Times New Roman" w:cs="Times New Roman" w:eastAsia="Times New Roman" w:hAnsi="Times New Roman"/>
          <w:sz w:val="20"/>
          <w:szCs w:val="20"/>
          <w:color w:val="auto"/>
        </w:rPr>
        <w:t xml:space="preserve">4.6 </w:t>
      </w: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The Company may assign any of its rights under this Agreement and the Exercise Notice to single or multiple assignees, and this Agreement shall inure to the benefit of the successors and assigns of the Company. Subject to the restrictions on transfer herein set forth, this Agreement shall be binding upon Participant and his or her heirs, executors, administrators, successors and assigns.</w:t>
      </w:r>
    </w:p>
    <w:p>
      <w:pPr>
        <w:spacing w:after="0" w:line="185" w:lineRule="exact"/>
        <w:rPr>
          <w:sz w:val="20"/>
          <w:szCs w:val="20"/>
          <w:color w:val="auto"/>
        </w:rPr>
      </w:pPr>
    </w:p>
    <w:p>
      <w:pPr>
        <w:ind w:right="80" w:firstLine="1146"/>
        <w:spacing w:after="0" w:line="254" w:lineRule="auto"/>
        <w:rPr>
          <w:sz w:val="20"/>
          <w:szCs w:val="20"/>
          <w:color w:val="auto"/>
        </w:rPr>
      </w:pPr>
      <w:r>
        <w:rPr>
          <w:rFonts w:ascii="Times New Roman" w:cs="Times New Roman" w:eastAsia="Times New Roman" w:hAnsi="Times New Roman"/>
          <w:sz w:val="20"/>
          <w:szCs w:val="20"/>
          <w:color w:val="auto"/>
        </w:rPr>
        <w:t xml:space="preserve">4.7 </w:t>
      </w: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The Plan and this Agreement (including, without limitation, all Exhibits hereto) constitute the entire agreement of the parties and supersede in their entirety all prior undertakings and agreements of the Company and Participant with respect to the subject matter hereof.</w:t>
      </w:r>
    </w:p>
    <w:p>
      <w:pPr>
        <w:spacing w:after="0" w:line="174" w:lineRule="exact"/>
        <w:rPr>
          <w:sz w:val="20"/>
          <w:szCs w:val="20"/>
          <w:color w:val="auto"/>
        </w:rPr>
      </w:pPr>
    </w:p>
    <w:p>
      <w:pPr>
        <w:ind w:right="40" w:firstLine="1146"/>
        <w:spacing w:after="0" w:line="256" w:lineRule="auto"/>
        <w:rPr>
          <w:sz w:val="20"/>
          <w:szCs w:val="20"/>
          <w:color w:val="auto"/>
        </w:rPr>
      </w:pPr>
      <w:r>
        <w:rPr>
          <w:rFonts w:ascii="Times New Roman" w:cs="Times New Roman" w:eastAsia="Times New Roman" w:hAnsi="Times New Roman"/>
          <w:sz w:val="19"/>
          <w:szCs w:val="19"/>
          <w:color w:val="auto"/>
        </w:rPr>
        <w:t xml:space="preserve">4.8 </w:t>
      </w:r>
      <w:r>
        <w:rPr>
          <w:rFonts w:ascii="Times New Roman" w:cs="Times New Roman" w:eastAsia="Times New Roman" w:hAnsi="Times New Roman"/>
          <w:sz w:val="19"/>
          <w:szCs w:val="19"/>
          <w:u w:val="single" w:color="auto"/>
          <w:color w:val="auto"/>
        </w:rPr>
        <w:t>Lock-Up Period</w:t>
      </w:r>
      <w:r>
        <w:rPr>
          <w:rFonts w:ascii="Times New Roman" w:cs="Times New Roman" w:eastAsia="Times New Roman" w:hAnsi="Times New Roman"/>
          <w:sz w:val="19"/>
          <w:szCs w:val="19"/>
          <w:color w:val="auto"/>
        </w:rPr>
        <w:t>. Participant agrees that Participant will not, without the prior written consent of the managing underwriter, during the period commencing on the date of the final prospectus relating to an initial public offering of any of the Company’s securities and ending on the date specified by the Company and the managing underwriter (such period not to exceed one hundred eighty (180) days, or such other period as may be requested by the Company or an underwriter to accommodate regulatory restrictions on (1) the publication or other distribution of research reports, and (2) analyst recommendations and opinions, including, but not limited to, the restrictions contained in FINRA Rule 2241 or NYSE Rule 472(f)(4)), (i)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(directly or indirectly) for Common Stock 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43" w:name="page144"/>
    <w:bookmarkEnd w:id="143"/>
    <w:p>
      <w:pPr>
        <w:spacing w:after="0" w:line="256" w:lineRule="auto"/>
        <w:rPr>
          <w:sz w:val="20"/>
          <w:szCs w:val="20"/>
          <w:color w:val="auto"/>
        </w:rPr>
      </w:pPr>
      <w:r>
        <w:rPr>
          <w:rFonts w:ascii="Times New Roman" w:cs="Times New Roman" w:eastAsia="Times New Roman" w:hAnsi="Times New Roman"/>
          <w:sz w:val="19"/>
          <w:szCs w:val="19"/>
          <w:color w:val="auto"/>
        </w:rPr>
        <w:t>immediately before the effective date of the registration statement for such offering or (ii) enter into any swap or other arrangement that transfers to another, in whole or in part, any of the economic consequences of ownership of such securities, whether any such transaction described in clause (i) or (ii) above is to be settled by delivery of Common Stock or other securities, in cash, or otherwise. The foregoing provisions of this Section shall apply only to an initial public offering of the Company’s securities and shall not apply to the sale of any shares to an underwriter pursuant to an underwriting agreement for such initial public offering. The underwriters in connection with such registration are intended third-party beneficiaries of this Section and shall have the right, power, and authority to enforce the provisions hereof as though they were a party hereto. Participant further agrees to execute such agreements as may be reasonably requested by the underwriters in connection with such registration that are consistent with this Section or that are necessary to give further effect thereto.</w:t>
      </w:r>
    </w:p>
    <w:p>
      <w:pPr>
        <w:spacing w:after="0" w:line="17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0"/>
          <w:szCs w:val="20"/>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535" w:right="719"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Exhibit B</w:t>
            </w:r>
          </w:p>
        </w:tc>
        <w:tc>
          <w:tcPr>
            <w:tcW w:w="0" w:type="dxa"/>
            <w:vAlign w:val="bottom"/>
          </w:tcPr>
          <w:p>
            <w:pPr>
              <w:spacing w:after="0"/>
              <w:rPr>
                <w:sz w:val="1"/>
                <w:szCs w:val="1"/>
                <w:color w:val="auto"/>
              </w:rPr>
            </w:pPr>
          </w:p>
        </w:tc>
      </w:tr>
      <w:tr>
        <w:trPr>
          <w:trHeight w:val="256"/>
        </w:trPr>
        <w:tc>
          <w:tcPr>
            <w:tcW w:w="7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520" w:type="dxa"/>
            <w:vAlign w:val="bottom"/>
            <w:gridSpan w:val="7"/>
          </w:tcPr>
          <w:p>
            <w:pPr>
              <w:jc w:val="right"/>
              <w:ind w:right="3121"/>
              <w:spacing w:after="0"/>
              <w:rPr>
                <w:sz w:val="20"/>
                <w:szCs w:val="20"/>
                <w:color w:val="auto"/>
              </w:rPr>
            </w:pPr>
            <w:r>
              <w:rPr>
                <w:rFonts w:ascii="Times New Roman" w:cs="Times New Roman" w:eastAsia="Times New Roman" w:hAnsi="Times New Roman"/>
                <w:sz w:val="20"/>
                <w:szCs w:val="20"/>
                <w:b w:val="1"/>
                <w:bCs w:val="1"/>
                <w:color w:val="auto"/>
              </w:rPr>
              <w:t>TO STOCK OPTION AGREEMENT</w:t>
            </w:r>
          </w:p>
        </w:tc>
        <w:tc>
          <w:tcPr>
            <w:tcW w:w="8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7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320" w:type="dxa"/>
            <w:vAlign w:val="bottom"/>
            <w:gridSpan w:val="8"/>
          </w:tcPr>
          <w:p>
            <w:pPr>
              <w:jc w:val="right"/>
              <w:ind w:right="4200"/>
              <w:spacing w:after="0"/>
              <w:rPr>
                <w:sz w:val="20"/>
                <w:szCs w:val="20"/>
                <w:color w:val="auto"/>
              </w:rPr>
            </w:pPr>
            <w:r>
              <w:rPr>
                <w:rFonts w:ascii="Times New Roman" w:cs="Times New Roman" w:eastAsia="Times New Roman" w:hAnsi="Times New Roman"/>
                <w:sz w:val="20"/>
                <w:szCs w:val="20"/>
                <w:b w:val="1"/>
                <w:bCs w:val="1"/>
                <w:color w:val="auto"/>
              </w:rPr>
              <w:t>FORM OF EXERCISE NOTICE</w:t>
            </w:r>
          </w:p>
        </w:tc>
        <w:tc>
          <w:tcPr>
            <w:tcW w:w="0" w:type="dxa"/>
            <w:vAlign w:val="bottom"/>
          </w:tcPr>
          <w:p>
            <w:pPr>
              <w:spacing w:after="0"/>
              <w:rPr>
                <w:sz w:val="1"/>
                <w:szCs w:val="1"/>
                <w:color w:val="auto"/>
              </w:rPr>
            </w:pPr>
          </w:p>
        </w:tc>
      </w:tr>
      <w:tr>
        <w:trPr>
          <w:trHeight w:val="399"/>
        </w:trPr>
        <w:tc>
          <w:tcPr>
            <w:tcW w:w="2200" w:type="dxa"/>
            <w:vAlign w:val="bottom"/>
            <w:gridSpan w:val="3"/>
          </w:tcPr>
          <w:p>
            <w:pPr>
              <w:ind w:left="520"/>
              <w:spacing w:after="0"/>
              <w:rPr>
                <w:sz w:val="20"/>
                <w:szCs w:val="20"/>
                <w:color w:val="auto"/>
              </w:rPr>
            </w:pPr>
            <w:r>
              <w:rPr>
                <w:rFonts w:ascii="Times New Roman" w:cs="Times New Roman" w:eastAsia="Times New Roman" w:hAnsi="Times New Roman"/>
                <w:sz w:val="20"/>
                <w:szCs w:val="20"/>
                <w:color w:val="auto"/>
                <w:w w:val="97"/>
              </w:rPr>
              <w:t>Effective as of today,</w:t>
            </w:r>
          </w:p>
        </w:tc>
        <w:tc>
          <w:tcPr>
            <w:tcW w:w="660" w:type="dxa"/>
            <w:vAlign w:val="bottom"/>
          </w:tcPr>
          <w:p>
            <w:pPr>
              <w:spacing w:after="0"/>
              <w:rPr>
                <w:sz w:val="24"/>
                <w:szCs w:val="24"/>
                <w:color w:val="auto"/>
              </w:rPr>
            </w:pPr>
          </w:p>
        </w:tc>
        <w:tc>
          <w:tcPr>
            <w:tcW w:w="1060" w:type="dxa"/>
            <w:vAlign w:val="bottom"/>
            <w:gridSpan w:val="4"/>
          </w:tcPr>
          <w:p>
            <w:pPr>
              <w:ind w:left="920"/>
              <w:spacing w:after="0"/>
              <w:rPr>
                <w:sz w:val="20"/>
                <w:szCs w:val="20"/>
                <w:color w:val="auto"/>
              </w:rPr>
            </w:pPr>
            <w:r>
              <w:rPr>
                <w:rFonts w:ascii="Times New Roman" w:cs="Times New Roman" w:eastAsia="Times New Roman" w:hAnsi="Times New Roman"/>
                <w:sz w:val="20"/>
                <w:szCs w:val="20"/>
                <w:color w:val="auto"/>
              </w:rPr>
              <w:t>,</w:t>
            </w:r>
          </w:p>
        </w:tc>
        <w:tc>
          <w:tcPr>
            <w:tcW w:w="7320" w:type="dxa"/>
            <w:vAlign w:val="bottom"/>
            <w:gridSpan w:val="8"/>
          </w:tcPr>
          <w:p>
            <w:pPr>
              <w:jc w:val="right"/>
              <w:ind w:right="160"/>
              <w:spacing w:after="0"/>
              <w:rPr>
                <w:sz w:val="20"/>
                <w:szCs w:val="20"/>
                <w:color w:val="auto"/>
              </w:rPr>
            </w:pPr>
            <w:r>
              <w:rPr>
                <w:rFonts w:ascii="Times New Roman" w:cs="Times New Roman" w:eastAsia="Times New Roman" w:hAnsi="Times New Roman"/>
                <w:sz w:val="20"/>
                <w:szCs w:val="20"/>
                <w:color w:val="auto"/>
              </w:rPr>
              <w:t xml:space="preserve">, the undersigned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Participant</w:t>
            </w:r>
            <w:r>
              <w:rPr>
                <w:rFonts w:ascii="Times New Roman" w:cs="Times New Roman" w:eastAsia="Times New Roman" w:hAnsi="Times New Roman"/>
                <w:sz w:val="20"/>
                <w:szCs w:val="20"/>
                <w:color w:val="auto"/>
              </w:rPr>
              <w:t>”) hereby elects to exercise Participant’s option to</w:t>
            </w:r>
          </w:p>
        </w:tc>
        <w:tc>
          <w:tcPr>
            <w:tcW w:w="0" w:type="dxa"/>
            <w:vAlign w:val="bottom"/>
          </w:tcPr>
          <w:p>
            <w:pPr>
              <w:spacing w:after="0"/>
              <w:rPr>
                <w:sz w:val="1"/>
                <w:szCs w:val="1"/>
                <w:color w:val="auto"/>
              </w:rPr>
            </w:pPr>
          </w:p>
        </w:tc>
      </w:tr>
      <w:tr>
        <w:trPr>
          <w:trHeight w:val="20"/>
        </w:trPr>
        <w:tc>
          <w:tcPr>
            <w:tcW w:w="7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w w:val="98"/>
              </w:rPr>
              <w:t>purchase</w:t>
            </w:r>
          </w:p>
        </w:tc>
        <w:tc>
          <w:tcPr>
            <w:tcW w:w="142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720" w:type="dxa"/>
            <w:vAlign w:val="bottom"/>
            <w:vMerge w:val="continue"/>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9100" w:type="dxa"/>
            <w:vAlign w:val="bottom"/>
            <w:gridSpan w:val="14"/>
          </w:tcPr>
          <w:p>
            <w:pPr>
              <w:jc w:val="right"/>
              <w:ind w:right="160"/>
              <w:spacing w:after="0" w:line="209" w:lineRule="exact"/>
              <w:rPr>
                <w:sz w:val="20"/>
                <w:szCs w:val="20"/>
                <w:color w:val="auto"/>
              </w:rPr>
            </w:pPr>
            <w:r>
              <w:rPr>
                <w:rFonts w:ascii="Times New Roman" w:cs="Times New Roman" w:eastAsia="Times New Roman" w:hAnsi="Times New Roman"/>
                <w:sz w:val="20"/>
                <w:szCs w:val="20"/>
                <w:color w:val="auto"/>
                <w:w w:val="98"/>
              </w:rPr>
              <w:t>Shares of Invivyd, Inc. (the “</w:t>
            </w:r>
            <w:r>
              <w:rPr>
                <w:rFonts w:ascii="Times New Roman" w:cs="Times New Roman" w:eastAsia="Times New Roman" w:hAnsi="Times New Roman"/>
                <w:sz w:val="20"/>
                <w:szCs w:val="20"/>
                <w:b w:val="1"/>
                <w:bCs w:val="1"/>
                <w:i w:val="1"/>
                <w:iCs w:val="1"/>
                <w:color w:val="auto"/>
                <w:w w:val="98"/>
              </w:rPr>
              <w:t>Company</w:t>
            </w:r>
            <w:r>
              <w:rPr>
                <w:rFonts w:ascii="Times New Roman" w:cs="Times New Roman" w:eastAsia="Times New Roman" w:hAnsi="Times New Roman"/>
                <w:sz w:val="20"/>
                <w:szCs w:val="20"/>
                <w:color w:val="auto"/>
                <w:w w:val="98"/>
              </w:rPr>
              <w:t>”) under and pursuant to the Invivyd, Inc. 2020 Equity Incentive Plan (the</w:t>
            </w:r>
          </w:p>
        </w:tc>
        <w:tc>
          <w:tcPr>
            <w:tcW w:w="0" w:type="dxa"/>
            <w:vAlign w:val="bottom"/>
          </w:tcPr>
          <w:p>
            <w:pPr>
              <w:spacing w:after="0"/>
              <w:rPr>
                <w:sz w:val="1"/>
                <w:szCs w:val="1"/>
                <w:color w:val="auto"/>
              </w:rPr>
            </w:pPr>
          </w:p>
        </w:tc>
      </w:tr>
      <w:tr>
        <w:trPr>
          <w:trHeight w:val="209"/>
        </w:trPr>
        <w:tc>
          <w:tcPr>
            <w:tcW w:w="3920" w:type="dxa"/>
            <w:vAlign w:val="bottom"/>
            <w:gridSpan w:val="8"/>
          </w:tcPr>
          <w:p>
            <w:pPr>
              <w:spacing w:after="0" w:line="209"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and the Stock Option Agreement dated</w:t>
            </w:r>
          </w:p>
        </w:tc>
        <w:tc>
          <w:tcPr>
            <w:tcW w:w="2160" w:type="dxa"/>
            <w:vAlign w:val="bottom"/>
            <w:gridSpan w:val="5"/>
          </w:tcPr>
          <w:p>
            <w:pPr>
              <w:jc w:val="right"/>
              <w:ind w:right="680"/>
              <w:spacing w:after="0" w:line="209" w:lineRule="exact"/>
              <w:rPr>
                <w:sz w:val="20"/>
                <w:szCs w:val="20"/>
                <w:color w:val="auto"/>
              </w:rPr>
            </w:pPr>
            <w:r>
              <w:rPr>
                <w:rFonts w:ascii="Times New Roman" w:cs="Times New Roman" w:eastAsia="Times New Roman" w:hAnsi="Times New Roman"/>
                <w:sz w:val="20"/>
                <w:szCs w:val="20"/>
                <w:color w:val="auto"/>
              </w:rPr>
              <w:t>,</w:t>
            </w:r>
          </w:p>
        </w:tc>
        <w:tc>
          <w:tcPr>
            <w:tcW w:w="5160" w:type="dxa"/>
            <w:vAlign w:val="bottom"/>
            <w:gridSpan w:val="3"/>
          </w:tcPr>
          <w:p>
            <w:pPr>
              <w:jc w:val="right"/>
              <w:ind w:right="460"/>
              <w:spacing w:after="0" w:line="209" w:lineRule="exact"/>
              <w:rPr>
                <w:sz w:val="20"/>
                <w:szCs w:val="20"/>
                <w:color w:val="auto"/>
              </w:rPr>
            </w:pP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i w:val="1"/>
                <w:iCs w:val="1"/>
                <w:color w:val="auto"/>
              </w:rPr>
              <w:t>Option Agreement</w:t>
            </w:r>
            <w:r>
              <w:rPr>
                <w:rFonts w:ascii="Times New Roman" w:cs="Times New Roman" w:eastAsia="Times New Roman" w:hAnsi="Times New Roman"/>
                <w:sz w:val="20"/>
                <w:szCs w:val="20"/>
                <w:color w:val="auto"/>
              </w:rPr>
              <w:t>”). Capitalized terms used herein</w:t>
            </w:r>
          </w:p>
        </w:tc>
        <w:tc>
          <w:tcPr>
            <w:tcW w:w="0" w:type="dxa"/>
            <w:vAlign w:val="bottom"/>
          </w:tcPr>
          <w:p>
            <w:pPr>
              <w:spacing w:after="0"/>
              <w:rPr>
                <w:sz w:val="1"/>
                <w:szCs w:val="1"/>
                <w:color w:val="auto"/>
              </w:rPr>
            </w:pPr>
          </w:p>
        </w:tc>
      </w:tr>
      <w:tr>
        <w:trPr>
          <w:trHeight w:val="20"/>
        </w:trPr>
        <w:tc>
          <w:tcPr>
            <w:tcW w:w="3760" w:type="dxa"/>
            <w:vAlign w:val="bottom"/>
            <w:gridSpan w:val="6"/>
            <w:vMerge w:val="restart"/>
          </w:tcPr>
          <w:p>
            <w:pPr>
              <w:spacing w:after="0"/>
              <w:rPr>
                <w:sz w:val="20"/>
                <w:szCs w:val="20"/>
                <w:color w:val="auto"/>
              </w:rPr>
            </w:pPr>
            <w:r>
              <w:rPr>
                <w:rFonts w:ascii="Times New Roman" w:cs="Times New Roman" w:eastAsia="Times New Roman" w:hAnsi="Times New Roman"/>
                <w:sz w:val="20"/>
                <w:szCs w:val="20"/>
                <w:color w:val="auto"/>
                <w:w w:val="95"/>
              </w:rPr>
              <w:t>without definition shall have the meanings given</w:t>
            </w:r>
          </w:p>
        </w:tc>
        <w:tc>
          <w:tcPr>
            <w:tcW w:w="1020" w:type="dxa"/>
            <w:vAlign w:val="bottom"/>
            <w:tcBorders>
              <w:left w:val="single" w:sz="8" w:color="auto"/>
            </w:tcBorders>
            <w:gridSpan w:val="4"/>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3760" w:type="dxa"/>
            <w:vAlign w:val="bottom"/>
            <w:gridSpan w:val="6"/>
            <w:vMerge w:val="continue"/>
          </w:tcPr>
          <w:p>
            <w:pPr>
              <w:spacing w:after="0"/>
              <w:rPr>
                <w:sz w:val="21"/>
                <w:szCs w:val="21"/>
                <w:color w:val="auto"/>
              </w:rPr>
            </w:pPr>
          </w:p>
        </w:tc>
        <w:tc>
          <w:tcPr>
            <w:tcW w:w="2320" w:type="dxa"/>
            <w:vAlign w:val="bottom"/>
            <w:gridSpan w:val="7"/>
          </w:tcPr>
          <w:p>
            <w:pPr>
              <w:ind w:left="160"/>
              <w:spacing w:after="0"/>
              <w:rPr>
                <w:sz w:val="20"/>
                <w:szCs w:val="20"/>
                <w:color w:val="auto"/>
              </w:rPr>
            </w:pPr>
            <w:r>
              <w:rPr>
                <w:rFonts w:ascii="Times New Roman" w:cs="Times New Roman" w:eastAsia="Times New Roman" w:hAnsi="Times New Roman"/>
                <w:sz w:val="20"/>
                <w:szCs w:val="20"/>
                <w:color w:val="auto"/>
              </w:rPr>
              <w:t>in the Option Agreement.</w:t>
            </w:r>
          </w:p>
        </w:tc>
        <w:tc>
          <w:tcPr>
            <w:tcW w:w="16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9"/>
        </w:trPr>
        <w:tc>
          <w:tcPr>
            <w:tcW w:w="2140" w:type="dxa"/>
            <w:vAlign w:val="bottom"/>
            <w:gridSpan w:val="2"/>
          </w:tcPr>
          <w:p>
            <w:pPr>
              <w:ind w:left="480"/>
              <w:spacing w:after="0"/>
              <w:rPr>
                <w:sz w:val="20"/>
                <w:szCs w:val="20"/>
                <w:color w:val="auto"/>
              </w:rPr>
            </w:pPr>
            <w:r>
              <w:rPr>
                <w:rFonts w:ascii="Times New Roman" w:cs="Times New Roman" w:eastAsia="Times New Roman" w:hAnsi="Times New Roman"/>
                <w:sz w:val="20"/>
                <w:szCs w:val="20"/>
                <w:b w:val="1"/>
                <w:bCs w:val="1"/>
                <w:color w:val="auto"/>
              </w:rPr>
              <w:t>Grant Date:</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9"/>
        </w:trPr>
        <w:tc>
          <w:tcPr>
            <w:tcW w:w="2860" w:type="dxa"/>
            <w:vAlign w:val="bottom"/>
            <w:gridSpan w:val="4"/>
          </w:tcPr>
          <w:p>
            <w:pPr>
              <w:ind w:left="480"/>
              <w:spacing w:after="0"/>
              <w:rPr>
                <w:sz w:val="20"/>
                <w:szCs w:val="20"/>
                <w:color w:val="auto"/>
              </w:rPr>
            </w:pPr>
            <w:r>
              <w:rPr>
                <w:rFonts w:ascii="Times New Roman" w:cs="Times New Roman" w:eastAsia="Times New Roman" w:hAnsi="Times New Roman"/>
                <w:sz w:val="20"/>
                <w:szCs w:val="20"/>
                <w:b w:val="1"/>
                <w:bCs w:val="1"/>
                <w:color w:val="auto"/>
              </w:rPr>
              <w:t>Number of Shares as</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140" w:type="dxa"/>
            <w:vAlign w:val="bottom"/>
            <w:gridSpan w:val="2"/>
          </w:tcPr>
          <w:p>
            <w:pPr>
              <w:ind w:left="480"/>
              <w:spacing w:after="0" w:line="203" w:lineRule="exact"/>
              <w:rPr>
                <w:sz w:val="20"/>
                <w:szCs w:val="20"/>
                <w:color w:val="auto"/>
              </w:rPr>
            </w:pPr>
            <w:r>
              <w:rPr>
                <w:rFonts w:ascii="Times New Roman" w:cs="Times New Roman" w:eastAsia="Times New Roman" w:hAnsi="Times New Roman"/>
                <w:sz w:val="20"/>
                <w:szCs w:val="20"/>
                <w:b w:val="1"/>
                <w:bCs w:val="1"/>
                <w:color w:val="auto"/>
              </w:rPr>
              <w:t>to which Option is</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2140" w:type="dxa"/>
            <w:vAlign w:val="bottom"/>
            <w:gridSpan w:val="2"/>
          </w:tcPr>
          <w:p>
            <w:pPr>
              <w:ind w:left="480"/>
              <w:spacing w:after="0"/>
              <w:rPr>
                <w:sz w:val="20"/>
                <w:szCs w:val="20"/>
                <w:color w:val="auto"/>
              </w:rPr>
            </w:pPr>
            <w:r>
              <w:rPr>
                <w:rFonts w:ascii="Times New Roman" w:cs="Times New Roman" w:eastAsia="Times New Roman" w:hAnsi="Times New Roman"/>
                <w:sz w:val="20"/>
                <w:szCs w:val="20"/>
                <w:b w:val="1"/>
                <w:bCs w:val="1"/>
                <w:color w:val="auto"/>
              </w:rPr>
              <w:t>Exercised:</w:t>
            </w: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3"/>
        </w:trPr>
        <w:tc>
          <w:tcPr>
            <w:tcW w:w="2140" w:type="dxa"/>
            <w:vAlign w:val="bottom"/>
            <w:gridSpan w:val="2"/>
          </w:tcPr>
          <w:p>
            <w:pPr>
              <w:ind w:left="480"/>
              <w:spacing w:after="0"/>
              <w:rPr>
                <w:sz w:val="20"/>
                <w:szCs w:val="20"/>
                <w:color w:val="auto"/>
              </w:rPr>
            </w:pPr>
            <w:r>
              <w:rPr>
                <w:rFonts w:ascii="Times New Roman" w:cs="Times New Roman" w:eastAsia="Times New Roman" w:hAnsi="Times New Roman"/>
                <w:sz w:val="20"/>
                <w:szCs w:val="20"/>
                <w:b w:val="1"/>
                <w:bCs w:val="1"/>
                <w:color w:val="auto"/>
              </w:rPr>
              <w:t>Exercise Price per</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140" w:type="dxa"/>
            <w:vAlign w:val="bottom"/>
            <w:gridSpan w:val="2"/>
          </w:tcPr>
          <w:p>
            <w:pPr>
              <w:ind w:left="480"/>
              <w:spacing w:after="0"/>
              <w:rPr>
                <w:sz w:val="20"/>
                <w:szCs w:val="20"/>
                <w:color w:val="auto"/>
              </w:rPr>
            </w:pPr>
            <w:r>
              <w:rPr>
                <w:rFonts w:ascii="Times New Roman" w:cs="Times New Roman" w:eastAsia="Times New Roman" w:hAnsi="Times New Roman"/>
                <w:sz w:val="20"/>
                <w:szCs w:val="20"/>
                <w:b w:val="1"/>
                <w:bCs w:val="1"/>
                <w:color w:val="auto"/>
              </w:rPr>
              <w:t>Share:</w:t>
            </w: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40" w:type="dxa"/>
            <w:vAlign w:val="bottom"/>
          </w:tcPr>
          <w:p>
            <w:pPr>
              <w:ind w:left="640"/>
              <w:spacing w:after="0"/>
              <w:rPr>
                <w:sz w:val="20"/>
                <w:szCs w:val="20"/>
                <w:color w:val="auto"/>
              </w:rPr>
            </w:pPr>
            <w:r>
              <w:rPr>
                <w:rFonts w:ascii="Times New Roman" w:cs="Times New Roman" w:eastAsia="Times New Roman" w:hAnsi="Times New Roman"/>
                <w:sz w:val="20"/>
                <w:szCs w:val="20"/>
                <w:color w:val="auto"/>
                <w:w w:val="79"/>
              </w:rPr>
              <w:t>$</w:t>
            </w: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2860" w:type="dxa"/>
            <w:vAlign w:val="bottom"/>
            <w:gridSpan w:val="4"/>
          </w:tcPr>
          <w:p>
            <w:pPr>
              <w:ind w:left="480"/>
              <w:spacing w:after="0"/>
              <w:rPr>
                <w:sz w:val="20"/>
                <w:szCs w:val="20"/>
                <w:color w:val="auto"/>
              </w:rPr>
            </w:pPr>
            <w:r>
              <w:rPr>
                <w:rFonts w:ascii="Times New Roman" w:cs="Times New Roman" w:eastAsia="Times New Roman" w:hAnsi="Times New Roman"/>
                <w:sz w:val="20"/>
                <w:szCs w:val="20"/>
                <w:b w:val="1"/>
                <w:bCs w:val="1"/>
                <w:color w:val="auto"/>
              </w:rPr>
              <w:t>Total Exercise Price:</w:t>
            </w:r>
          </w:p>
        </w:tc>
        <w:tc>
          <w:tcPr>
            <w:tcW w:w="740" w:type="dxa"/>
            <w:vAlign w:val="bottom"/>
          </w:tcPr>
          <w:p>
            <w:pPr>
              <w:ind w:left="640"/>
              <w:spacing w:after="0"/>
              <w:rPr>
                <w:sz w:val="20"/>
                <w:szCs w:val="20"/>
                <w:color w:val="auto"/>
              </w:rPr>
            </w:pPr>
            <w:r>
              <w:rPr>
                <w:rFonts w:ascii="Times New Roman" w:cs="Times New Roman" w:eastAsia="Times New Roman" w:hAnsi="Times New Roman"/>
                <w:sz w:val="20"/>
                <w:szCs w:val="20"/>
                <w:color w:val="auto"/>
                <w:w w:val="79"/>
              </w:rPr>
              <w:t>$</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2140" w:type="dxa"/>
            <w:vAlign w:val="bottom"/>
            <w:gridSpan w:val="2"/>
          </w:tcPr>
          <w:p>
            <w:pPr>
              <w:ind w:left="480"/>
              <w:spacing w:after="0"/>
              <w:rPr>
                <w:sz w:val="20"/>
                <w:szCs w:val="20"/>
                <w:color w:val="auto"/>
              </w:rPr>
            </w:pPr>
            <w:r>
              <w:rPr>
                <w:rFonts w:ascii="Times New Roman" w:cs="Times New Roman" w:eastAsia="Times New Roman" w:hAnsi="Times New Roman"/>
                <w:sz w:val="20"/>
                <w:szCs w:val="20"/>
                <w:b w:val="1"/>
                <w:bCs w:val="1"/>
                <w:color w:val="auto"/>
              </w:rPr>
              <w:t>Certificate to be</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140" w:type="dxa"/>
            <w:vAlign w:val="bottom"/>
            <w:gridSpan w:val="2"/>
          </w:tcPr>
          <w:p>
            <w:pPr>
              <w:ind w:left="480"/>
              <w:spacing w:after="0"/>
              <w:rPr>
                <w:sz w:val="20"/>
                <w:szCs w:val="20"/>
                <w:color w:val="auto"/>
              </w:rPr>
            </w:pPr>
            <w:r>
              <w:rPr>
                <w:rFonts w:ascii="Times New Roman" w:cs="Times New Roman" w:eastAsia="Times New Roman" w:hAnsi="Times New Roman"/>
                <w:sz w:val="20"/>
                <w:szCs w:val="20"/>
                <w:b w:val="1"/>
                <w:bCs w:val="1"/>
                <w:color w:val="auto"/>
              </w:rPr>
              <w:t>issued in name of:</w:t>
            </w: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3"/>
        </w:trPr>
        <w:tc>
          <w:tcPr>
            <w:tcW w:w="2140" w:type="dxa"/>
            <w:vAlign w:val="bottom"/>
            <w:gridSpan w:val="2"/>
          </w:tcPr>
          <w:p>
            <w:pPr>
              <w:ind w:left="480"/>
              <w:spacing w:after="0"/>
              <w:rPr>
                <w:sz w:val="20"/>
                <w:szCs w:val="20"/>
                <w:color w:val="auto"/>
              </w:rPr>
            </w:pPr>
            <w:r>
              <w:rPr>
                <w:rFonts w:ascii="Times New Roman" w:cs="Times New Roman" w:eastAsia="Times New Roman" w:hAnsi="Times New Roman"/>
                <w:sz w:val="20"/>
                <w:szCs w:val="20"/>
                <w:b w:val="1"/>
                <w:bCs w:val="1"/>
                <w:color w:val="auto"/>
              </w:rPr>
              <w:t>Cash Payment</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ind w:left="640"/>
              <w:spacing w:after="0"/>
              <w:rPr>
                <w:sz w:val="20"/>
                <w:szCs w:val="20"/>
                <w:color w:val="auto"/>
              </w:rPr>
            </w:pPr>
            <w:r>
              <w:rPr>
                <w:rFonts w:ascii="Times New Roman" w:cs="Times New Roman" w:eastAsia="Times New Roman" w:hAnsi="Times New Roman"/>
                <w:sz w:val="20"/>
                <w:szCs w:val="20"/>
                <w:color w:val="auto"/>
                <w:w w:val="79"/>
              </w:rPr>
              <w:t>$</w:t>
            </w: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60" w:type="dxa"/>
            <w:vAlign w:val="bottom"/>
            <w:gridSpan w:val="6"/>
          </w:tcPr>
          <w:p>
            <w:pPr>
              <w:jc w:val="right"/>
              <w:ind w:right="1200"/>
              <w:spacing w:after="0"/>
              <w:rPr>
                <w:sz w:val="20"/>
                <w:szCs w:val="20"/>
                <w:color w:val="auto"/>
              </w:rPr>
            </w:pPr>
            <w:r>
              <w:rPr>
                <w:rFonts w:ascii="Times New Roman" w:cs="Times New Roman" w:eastAsia="Times New Roman" w:hAnsi="Times New Roman"/>
                <w:sz w:val="20"/>
                <w:szCs w:val="20"/>
                <w:color w:val="auto"/>
                <w:w w:val="98"/>
              </w:rPr>
              <w:t>(Representing the full Exercise Price for the Shares, as well as any</w:t>
            </w:r>
          </w:p>
        </w:tc>
        <w:tc>
          <w:tcPr>
            <w:tcW w:w="0" w:type="dxa"/>
            <w:vAlign w:val="bottom"/>
          </w:tcPr>
          <w:p>
            <w:pPr>
              <w:spacing w:after="0"/>
              <w:rPr>
                <w:sz w:val="1"/>
                <w:szCs w:val="1"/>
                <w:color w:val="auto"/>
              </w:rPr>
            </w:pPr>
          </w:p>
        </w:tc>
      </w:tr>
      <w:tr>
        <w:trPr>
          <w:trHeight w:val="252"/>
        </w:trPr>
        <w:tc>
          <w:tcPr>
            <w:tcW w:w="2140" w:type="dxa"/>
            <w:vAlign w:val="bottom"/>
            <w:gridSpan w:val="2"/>
          </w:tcPr>
          <w:p>
            <w:pPr>
              <w:ind w:left="480"/>
              <w:spacing w:after="0"/>
              <w:rPr>
                <w:sz w:val="20"/>
                <w:szCs w:val="20"/>
                <w:color w:val="auto"/>
              </w:rPr>
            </w:pPr>
            <w:r>
              <w:rPr>
                <w:rFonts w:ascii="Times New Roman" w:cs="Times New Roman" w:eastAsia="Times New Roman" w:hAnsi="Times New Roman"/>
                <w:sz w:val="20"/>
                <w:szCs w:val="20"/>
                <w:b w:val="1"/>
                <w:bCs w:val="1"/>
                <w:color w:val="auto"/>
                <w:w w:val="98"/>
              </w:rPr>
              <w:t>delivered herewith:</w:t>
            </w: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8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applicable withholding tax)</w:t>
            </w:r>
          </w:p>
        </w:tc>
        <w:tc>
          <w:tcPr>
            <w:tcW w:w="16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0"/>
        </w:trPr>
        <w:tc>
          <w:tcPr>
            <w:tcW w:w="2140" w:type="dxa"/>
            <w:vAlign w:val="bottom"/>
            <w:gridSpan w:val="2"/>
          </w:tcPr>
          <w:p>
            <w:pPr>
              <w:ind w:left="480"/>
              <w:spacing w:after="0"/>
              <w:rPr>
                <w:sz w:val="20"/>
                <w:szCs w:val="20"/>
                <w:color w:val="auto"/>
              </w:rPr>
            </w:pPr>
            <w:r>
              <w:rPr>
                <w:rFonts w:ascii="Times New Roman" w:cs="Times New Roman" w:eastAsia="Times New Roman" w:hAnsi="Times New Roman"/>
                <w:sz w:val="20"/>
                <w:szCs w:val="20"/>
                <w:b w:val="1"/>
                <w:bCs w:val="1"/>
                <w:color w:val="auto"/>
              </w:rPr>
              <w:t>Type of Option:</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380" w:type="dxa"/>
            <w:vAlign w:val="bottom"/>
            <w:gridSpan w:val="12"/>
          </w:tcPr>
          <w:p>
            <w:pPr>
              <w:ind w:left="640"/>
              <w:spacing w:after="0" w:line="230" w:lineRule="exact"/>
              <w:rPr>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Incentive Stock Option  </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Non-Qualified Stock Option</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720" w:hanging="203"/>
        <w:spacing w:after="0"/>
        <w:tabs>
          <w:tab w:leader="none" w:pos="72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of Participant</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right="900" w:firstLine="1154"/>
        <w:spacing w:after="0" w:line="269" w:lineRule="auto"/>
        <w:tabs>
          <w:tab w:leader="none" w:pos="1415"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acknowledges that Participant has received, read and understood the Plan and the Option Agreement. Participant agrees to abide by and be bound by their terms and conditions.</w:t>
      </w:r>
    </w:p>
    <w:p>
      <w:pPr>
        <w:spacing w:after="0" w:line="159" w:lineRule="exact"/>
        <w:rPr>
          <w:rFonts w:ascii="Times New Roman" w:cs="Times New Roman" w:eastAsia="Times New Roman" w:hAnsi="Times New Roman"/>
          <w:sz w:val="20"/>
          <w:szCs w:val="20"/>
          <w:color w:val="auto"/>
        </w:rPr>
      </w:pPr>
    </w:p>
    <w:p>
      <w:pPr>
        <w:jc w:val="both"/>
        <w:ind w:right="220" w:firstLine="1154"/>
        <w:spacing w:after="0" w:line="247" w:lineRule="auto"/>
        <w:tabs>
          <w:tab w:leader="none" w:pos="1426"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Participant acknowledges that Participant is purchasing the Shares for Participant’s own account for investment only, and not with a view to, or for sale in connection with, any distribution of the Shares in violation of the Securities Act of 1933, as amended (the “Securities </w:t>
      </w:r>
      <w:r>
        <w:rPr>
          <w:rFonts w:ascii="Times New Roman" w:cs="Times New Roman" w:eastAsia="Times New Roman" w:hAnsi="Times New Roman"/>
          <w:sz w:val="20"/>
          <w:szCs w:val="20"/>
          <w:b w:val="1"/>
          <w:bCs w:val="1"/>
          <w:i w:val="1"/>
          <w:iCs w:val="1"/>
          <w:color w:val="auto"/>
        </w:rPr>
        <w:t>Act”),</w:t>
      </w:r>
      <w:r>
        <w:rPr>
          <w:rFonts w:ascii="Times New Roman" w:cs="Times New Roman" w:eastAsia="Times New Roman" w:hAnsi="Times New Roman"/>
          <w:sz w:val="20"/>
          <w:szCs w:val="20"/>
          <w:color w:val="auto"/>
        </w:rPr>
        <w:t xml:space="preserve"> or any rule or regulation under the Securities Act.</w:t>
      </w:r>
    </w:p>
    <w:p>
      <w:pPr>
        <w:spacing w:after="0" w:line="180" w:lineRule="exact"/>
        <w:rPr>
          <w:rFonts w:ascii="Times New Roman" w:cs="Times New Roman" w:eastAsia="Times New Roman" w:hAnsi="Times New Roman"/>
          <w:sz w:val="20"/>
          <w:szCs w:val="20"/>
          <w:color w:val="auto"/>
        </w:rPr>
      </w:pPr>
    </w:p>
    <w:p>
      <w:pPr>
        <w:ind w:right="340" w:firstLine="1154"/>
        <w:spacing w:after="0" w:line="295" w:lineRule="auto"/>
        <w:tabs>
          <w:tab w:leader="none" w:pos="1415" w:val="left"/>
        </w:tabs>
        <w:numPr>
          <w:ilvl w:val="1"/>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Participant has had such opportunity as Participant has deemed adequate to obtain from representatives of the Company such information as is necessary to permit Participant to evaluate the merits and risks of Participant’s investment in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45" w:name="page146"/>
    <w:bookmarkEnd w:id="145"/>
    <w:p>
      <w:pPr>
        <w:ind w:left="-517" w:right="120" w:firstLine="1154"/>
        <w:spacing w:after="0" w:line="269" w:lineRule="auto"/>
        <w:tabs>
          <w:tab w:leader="none" w:pos="909"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has sufficient experience in business, financial and investment matters to be able to evaluate the risks involved in the purchase of the Shares and to make an informed investment decision with respect to such purchase.</w:t>
      </w:r>
    </w:p>
    <w:p>
      <w:pPr>
        <w:spacing w:after="0" w:line="159" w:lineRule="exact"/>
        <w:rPr>
          <w:rFonts w:ascii="Times New Roman" w:cs="Times New Roman" w:eastAsia="Times New Roman" w:hAnsi="Times New Roman"/>
          <w:sz w:val="20"/>
          <w:szCs w:val="20"/>
          <w:color w:val="auto"/>
        </w:rPr>
      </w:pPr>
    </w:p>
    <w:p>
      <w:pPr>
        <w:ind w:left="-517" w:right="500" w:firstLine="1154"/>
        <w:spacing w:after="0" w:line="269" w:lineRule="auto"/>
        <w:tabs>
          <w:tab w:leader="none" w:pos="898"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can afford a complete loss of the value of the Shares and is able to bear the economic risk of holding such Shares for an indefinite period.</w:t>
      </w:r>
    </w:p>
    <w:p>
      <w:pPr>
        <w:spacing w:after="0" w:line="159" w:lineRule="exact"/>
        <w:rPr>
          <w:rFonts w:ascii="Times New Roman" w:cs="Times New Roman" w:eastAsia="Times New Roman" w:hAnsi="Times New Roman"/>
          <w:sz w:val="20"/>
          <w:szCs w:val="20"/>
          <w:color w:val="auto"/>
        </w:rPr>
      </w:pPr>
    </w:p>
    <w:p>
      <w:pPr>
        <w:ind w:left="-517" w:firstLine="1154"/>
        <w:spacing w:after="0" w:line="242" w:lineRule="auto"/>
        <w:tabs>
          <w:tab w:leader="none" w:pos="876"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understands that (i) the Shares have not been registered under the Securities Act and are “restricted securities” within the meaning of Rule 144 under the Securities Act, (ii) the Shares cannot be sold, transferred or otherwise disposed of unless they are subsequently registered under the Securities Act or an exemption from registration is then available; (iii) in any event, the exemption from registration under Rule 144 will not be available for at least one year and even then will not be available unless a public market then exists for the Common Stock, adequate information concerning the Company is then available to the public, and other terms and conditions of Rule 144 are complied with; and (iv) there is now no registration statement on file with the Securities and Exchange Commission with respect to any stock of the Company and the Company has no obligation or current intention to register the Shares under the Securities Act.</w:t>
      </w:r>
    </w:p>
    <w:p>
      <w:pPr>
        <w:spacing w:after="0" w:line="185" w:lineRule="exact"/>
        <w:rPr>
          <w:rFonts w:ascii="Times New Roman" w:cs="Times New Roman" w:eastAsia="Times New Roman" w:hAnsi="Times New Roman"/>
          <w:sz w:val="20"/>
          <w:szCs w:val="20"/>
          <w:color w:val="auto"/>
        </w:rPr>
      </w:pPr>
    </w:p>
    <w:p>
      <w:pPr>
        <w:ind w:left="-517" w:firstLine="517"/>
        <w:spacing w:after="0" w:line="242" w:lineRule="auto"/>
        <w:tabs>
          <w:tab w:leader="none" w:pos="19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 Consultation</w:t>
      </w:r>
      <w:r>
        <w:rPr>
          <w:rFonts w:ascii="Times New Roman" w:cs="Times New Roman" w:eastAsia="Times New Roman" w:hAnsi="Times New Roman"/>
          <w:sz w:val="20"/>
          <w:szCs w:val="20"/>
          <w:color w:val="auto"/>
        </w:rPr>
        <w:t>. Participant understands that Participant may suffer adverse tax consequences as a result of Participant’s purchase or disposition of the Shares. Participant represents that Participant has consulted with any tax consultants Participant deems advisable in connection with the purchase or disposition of the Shares and that Participant is not relying on the Company for any tax advice. Participant is relying solely on such advisors and not on any statements or representations of the Company or any of its agents. Participant understands that Participant (and not the Company) shall be responsible for Participant’s tax liability that may arise as a result of this investment or the transactions contemplated by this Agreement.</w:t>
      </w:r>
    </w:p>
    <w:p>
      <w:pPr>
        <w:spacing w:after="0" w:line="188" w:lineRule="exact"/>
        <w:rPr>
          <w:rFonts w:ascii="Times New Roman" w:cs="Times New Roman" w:eastAsia="Times New Roman" w:hAnsi="Times New Roman"/>
          <w:sz w:val="20"/>
          <w:szCs w:val="20"/>
          <w:color w:val="auto"/>
        </w:rPr>
      </w:pPr>
    </w:p>
    <w:p>
      <w:pPr>
        <w:ind w:left="203" w:hanging="203"/>
        <w:spacing w:after="0"/>
        <w:tabs>
          <w:tab w:leader="none" w:pos="203"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Restrictive Legends and Stop-Transfer Orders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517" w:right="100" w:firstLine="1154"/>
        <w:spacing w:after="0" w:line="247" w:lineRule="auto"/>
        <w:tabs>
          <w:tab w:leader="none" w:pos="898"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Legends. Participant understands and agrees that the Company shall cause any certificates issued evidencing the Shares to have the legends set forth below or legends substantially equivalent thereto, together with any other legends that may be required by state or federal securities laws:</w:t>
      </w:r>
    </w:p>
    <w:p>
      <w:pPr>
        <w:spacing w:after="0" w:line="73" w:lineRule="exact"/>
        <w:rPr>
          <w:sz w:val="20"/>
          <w:szCs w:val="20"/>
          <w:color w:val="auto"/>
        </w:rPr>
      </w:pPr>
    </w:p>
    <w:p>
      <w:pPr>
        <w:ind w:left="643" w:right="160"/>
        <w:spacing w:after="0" w:line="242" w:lineRule="auto"/>
        <w:rPr>
          <w:sz w:val="20"/>
          <w:szCs w:val="20"/>
          <w:color w:val="auto"/>
        </w:rPr>
      </w:pPr>
      <w:r>
        <w:rPr>
          <w:rFonts w:ascii="Times New Roman" w:cs="Times New Roman" w:eastAsia="Times New Roman" w:hAnsi="Times New Roman"/>
          <w:sz w:val="20"/>
          <w:szCs w:val="20"/>
          <w:color w:val="auto"/>
        </w:rPr>
        <w:t>THE SHARES REPRESENTED HEREBY HAVE NOT BEEN REGISTERED UNDER THE SECURITIES ACT OF 1933, AS AMENDED (“ACT”), NOR HAVE THEY BEEN REGISTERED OR QUALIFIED UNDER THE SECURITIES LAWS OF ANY STATE. NO TRANSFER OF SUCH SECURITIES WILL BE PERMITTED UNLESS A REGISTRATION STATEMENT UNDER THE ACT IS IN EFFECT AS TO SUCH TRANSFER, THE TRANSFER IS MADE IN ACCORDANCE WITH RULE 144 UNDER THE ACT, OR IN THE OPINION OF COUNSEL (WHICH MAY BE COUNSEL FOR THE COMPANY) REGISTRATION UNDER THE ACT IS UNNECESSARY IN ORDER FOR SUCH TRANSFER TO COMPLY WITH THE ACT AND WITH APPLICABLE STATE SECURITIES LAWS.</w:t>
      </w:r>
    </w:p>
    <w:p>
      <w:pPr>
        <w:spacing w:after="0" w:line="78" w:lineRule="exact"/>
        <w:rPr>
          <w:sz w:val="20"/>
          <w:szCs w:val="20"/>
          <w:color w:val="auto"/>
        </w:rPr>
      </w:pPr>
    </w:p>
    <w:p>
      <w:pPr>
        <w:ind w:left="643" w:right="120"/>
        <w:spacing w:after="0" w:line="244" w:lineRule="auto"/>
        <w:rPr>
          <w:sz w:val="20"/>
          <w:szCs w:val="20"/>
          <w:color w:val="auto"/>
        </w:rPr>
      </w:pPr>
      <w:r>
        <w:rPr>
          <w:rFonts w:ascii="Times New Roman" w:cs="Times New Roman" w:eastAsia="Times New Roman" w:hAnsi="Times New Roman"/>
          <w:sz w:val="20"/>
          <w:szCs w:val="20"/>
          <w:color w:val="auto"/>
        </w:rPr>
        <w:t>THE SHARES REPRESENTED BY THIS CERTIFICATE MAY BE TRANSFERRED ONLY IN ACCORDANCE WITH THE TERMS OF AN AGREEMENT BETWEEN THE COMPANY AND THE STOCKHOLDER, A COPY OF WHICH IS ON FILE WITH THE SECRETARY OF THE COMPANY. SUCH TRANSFER RESTRICTIONS ARE BINDING ON TRANSFEREES OF THESE SHARES.</w:t>
      </w:r>
    </w:p>
    <w:p>
      <w:pPr>
        <w:spacing w:after="0" w:line="185" w:lineRule="exact"/>
        <w:rPr>
          <w:sz w:val="20"/>
          <w:szCs w:val="20"/>
          <w:color w:val="auto"/>
        </w:rPr>
      </w:pPr>
    </w:p>
    <w:p>
      <w:pPr>
        <w:ind w:left="-517" w:right="520" w:firstLine="1154"/>
        <w:spacing w:after="0" w:line="269" w:lineRule="auto"/>
        <w:tabs>
          <w:tab w:leader="none" w:pos="909"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agrees that, in order to ensure compliance with the restrictions referred to herein, the Company may issue appropriate “stop transfer” instructions to its transfer agent, if any,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163195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3"/>
          </w:cols>
          <w:pgMar w:left="837" w:top="535" w:right="37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20"/>
          <w:szCs w:val="20"/>
          <w:color w:val="auto"/>
        </w:rPr>
        <w:t>that, if the Company transfers its own securities, it may make appropriate notations to the same effect in its own records.</w:t>
      </w:r>
    </w:p>
    <w:p>
      <w:pPr>
        <w:spacing w:after="0" w:line="229" w:lineRule="exact"/>
        <w:rPr>
          <w:sz w:val="20"/>
          <w:szCs w:val="20"/>
          <w:color w:val="auto"/>
        </w:rPr>
      </w:pPr>
    </w:p>
    <w:p>
      <w:pPr>
        <w:ind w:right="180" w:firstLine="1154"/>
        <w:spacing w:after="0" w:line="254" w:lineRule="auto"/>
        <w:tabs>
          <w:tab w:leader="none" w:pos="1415"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not be required (i) to transfer on its books any Shares that have been sold or otherwise transferred in violation of any of the provisions of this Agreement or (ii) to treat as owner of such Shares or to accord the right to vote or pay dividends to any purchaser or other transferee to whom such Shares shall have been so transferred.</w:t>
      </w:r>
    </w:p>
    <w:p>
      <w:pPr>
        <w:spacing w:after="0" w:line="174" w:lineRule="exact"/>
        <w:rPr>
          <w:rFonts w:ascii="Times New Roman" w:cs="Times New Roman" w:eastAsia="Times New Roman" w:hAnsi="Times New Roman"/>
          <w:sz w:val="20"/>
          <w:szCs w:val="20"/>
          <w:color w:val="auto"/>
        </w:rPr>
      </w:pPr>
    </w:p>
    <w:p>
      <w:pPr>
        <w:ind w:right="160" w:firstLine="517"/>
        <w:spacing w:after="0" w:line="255" w:lineRule="auto"/>
        <w:tabs>
          <w:tab w:leader="none" w:pos="707"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xml:space="preserve"> Any notice required or permitted hereunder shall be given in accordance with the provisions set forth in Section 4.2 of the Option Agreement.</w:t>
      </w:r>
    </w:p>
    <w:p>
      <w:pPr>
        <w:spacing w:after="0" w:line="172" w:lineRule="exact"/>
        <w:rPr>
          <w:rFonts w:ascii="Times New Roman" w:cs="Times New Roman" w:eastAsia="Times New Roman" w:hAnsi="Times New Roman"/>
          <w:sz w:val="20"/>
          <w:szCs w:val="20"/>
          <w:color w:val="auto"/>
        </w:rPr>
      </w:pPr>
    </w:p>
    <w:p>
      <w:pPr>
        <w:ind w:right="20" w:firstLine="517"/>
        <w:spacing w:after="0" w:line="246" w:lineRule="auto"/>
        <w:tabs>
          <w:tab w:leader="none" w:pos="707"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Further Instruments</w:t>
      </w:r>
      <w:r>
        <w:rPr>
          <w:rFonts w:ascii="Times New Roman" w:cs="Times New Roman" w:eastAsia="Times New Roman" w:hAnsi="Times New Roman"/>
          <w:sz w:val="20"/>
          <w:szCs w:val="20"/>
          <w:color w:val="auto"/>
        </w:rPr>
        <w:t>. Participant hereby agrees to execute such further instruments and to take such further action as the Company requests to carry out the purposes and intent of this Agreement and the Plan, including, without limitation, restrictions on the transferability of shares of Common Stock, the right of the Company to repurchase shares of Common Stock, the right of the Company to require that shares of Common Stock be transferred in the event of certain transactions, tag-along rights, bring-along rights, redemption and co-sale rights and voting requirements in accordance with Section 10.15 of the Plan.</w:t>
      </w:r>
    </w:p>
    <w:p>
      <w:pPr>
        <w:spacing w:after="0" w:line="171" w:lineRule="exact"/>
        <w:rPr>
          <w:rFonts w:ascii="Times New Roman" w:cs="Times New Roman" w:eastAsia="Times New Roman" w:hAnsi="Times New Roman"/>
          <w:sz w:val="20"/>
          <w:szCs w:val="20"/>
          <w:color w:val="auto"/>
        </w:rPr>
      </w:pPr>
    </w:p>
    <w:p>
      <w:pPr>
        <w:ind w:right="180" w:firstLine="517"/>
        <w:spacing w:after="0" w:line="254" w:lineRule="auto"/>
        <w:tabs>
          <w:tab w:leader="none" w:pos="707"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The Plan and Option Agreement are incorporated herein by reference. This Agreement, the Plan and the Option Agreement constitute the entire agreement of the parties and supersede in their entirety all prior undertakings and agreements of the Company and Participant with respect to the subject matter hereof.</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60" w:type="dxa"/>
            <w:vAlign w:val="bottom"/>
            <w:gridSpan w:val="4"/>
          </w:tcPr>
          <w:p>
            <w:pPr>
              <w:ind w:left="20"/>
              <w:spacing w:after="0"/>
              <w:rPr>
                <w:sz w:val="20"/>
                <w:szCs w:val="20"/>
                <w:color w:val="auto"/>
              </w:rPr>
            </w:pPr>
            <w:r>
              <w:rPr>
                <w:rFonts w:ascii="Times New Roman" w:cs="Times New Roman" w:eastAsia="Times New Roman" w:hAnsi="Times New Roman"/>
                <w:sz w:val="20"/>
                <w:szCs w:val="20"/>
                <w:b w:val="1"/>
                <w:bCs w:val="1"/>
                <w:color w:val="auto"/>
              </w:rPr>
              <w:t>ACCEPTED BY:</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60" w:type="dxa"/>
            <w:vAlign w:val="bottom"/>
            <w:gridSpan w:val="2"/>
          </w:tcPr>
          <w:p>
            <w:pPr>
              <w:ind w:left="200"/>
              <w:spacing w:after="0"/>
              <w:rPr>
                <w:sz w:val="20"/>
                <w:szCs w:val="20"/>
                <w:color w:val="auto"/>
              </w:rPr>
            </w:pPr>
            <w:r>
              <w:rPr>
                <w:rFonts w:ascii="Times New Roman" w:cs="Times New Roman" w:eastAsia="Times New Roman" w:hAnsi="Times New Roman"/>
                <w:sz w:val="20"/>
                <w:szCs w:val="20"/>
                <w:b w:val="1"/>
                <w:bCs w:val="1"/>
                <w:color w:val="auto"/>
              </w:rPr>
              <w:t>SUBMITTED BY:</w:t>
            </w:r>
          </w:p>
        </w:tc>
      </w:tr>
      <w:tr>
        <w:trPr>
          <w:trHeight w:val="262"/>
        </w:trPr>
        <w:tc>
          <w:tcPr>
            <w:tcW w:w="5460" w:type="dxa"/>
            <w:vAlign w:val="bottom"/>
            <w:gridSpan w:val="4"/>
          </w:tcPr>
          <w:p>
            <w:pPr>
              <w:ind w:left="20"/>
              <w:spacing w:after="0"/>
              <w:rPr>
                <w:sz w:val="20"/>
                <w:szCs w:val="20"/>
                <w:color w:val="auto"/>
              </w:rPr>
            </w:pPr>
            <w:r>
              <w:rPr>
                <w:rFonts w:ascii="Times New Roman" w:cs="Times New Roman" w:eastAsia="Times New Roman" w:hAnsi="Times New Roman"/>
                <w:sz w:val="20"/>
                <w:szCs w:val="20"/>
                <w:b w:val="1"/>
                <w:bCs w:val="1"/>
                <w:color w:val="auto"/>
              </w:rPr>
              <w:t>INVIVYD, INC.</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60" w:type="dxa"/>
            <w:vAlign w:val="bottom"/>
            <w:gridSpan w:val="2"/>
          </w:tcPr>
          <w:p>
            <w:pPr>
              <w:ind w:left="200"/>
              <w:spacing w:after="0"/>
              <w:rPr>
                <w:sz w:val="20"/>
                <w:szCs w:val="20"/>
                <w:color w:val="auto"/>
              </w:rPr>
            </w:pPr>
            <w:r>
              <w:rPr>
                <w:rFonts w:ascii="Times New Roman" w:cs="Times New Roman" w:eastAsia="Times New Roman" w:hAnsi="Times New Roman"/>
                <w:sz w:val="20"/>
                <w:szCs w:val="20"/>
                <w:b w:val="1"/>
                <w:bCs w:val="1"/>
                <w:color w:val="auto"/>
              </w:rPr>
              <w:t>PARTICIPANT</w:t>
            </w:r>
          </w:p>
        </w:tc>
      </w:tr>
      <w:tr>
        <w:trPr>
          <w:trHeight w:val="891"/>
        </w:trPr>
        <w:tc>
          <w:tcPr>
            <w:tcW w:w="546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rPr>
              <w:t>By:</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210"/>
        </w:trPr>
        <w:tc>
          <w:tcPr>
            <w:tcW w:w="4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4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140" w:type="dxa"/>
            <w:vAlign w:val="bottom"/>
            <w:tcBorders>
              <w:bottom w:val="single" w:sz="8" w:color="auto"/>
            </w:tcBorders>
          </w:tcPr>
          <w:p>
            <w:pPr>
              <w:spacing w:after="0"/>
              <w:rPr>
                <w:sz w:val="18"/>
                <w:szCs w:val="18"/>
                <w:color w:val="auto"/>
              </w:rPr>
            </w:pPr>
          </w:p>
        </w:tc>
      </w:tr>
      <w:tr>
        <w:trPr>
          <w:trHeight w:val="890"/>
        </w:trPr>
        <w:tc>
          <w:tcPr>
            <w:tcW w:w="546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rPr>
              <w:t>Name:</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1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[Participant Name]</w:t>
            </w:r>
          </w:p>
        </w:tc>
      </w:tr>
      <w:tr>
        <w:trPr>
          <w:trHeight w:val="210"/>
        </w:trPr>
        <w:tc>
          <w:tcPr>
            <w:tcW w:w="58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44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140" w:type="dxa"/>
            <w:vAlign w:val="bottom"/>
          </w:tcPr>
          <w:p>
            <w:pPr>
              <w:spacing w:after="0"/>
              <w:rPr>
                <w:sz w:val="18"/>
                <w:szCs w:val="18"/>
                <w:color w:val="auto"/>
              </w:rPr>
            </w:pPr>
          </w:p>
        </w:tc>
      </w:tr>
      <w:tr>
        <w:trPr>
          <w:trHeight w:val="904"/>
        </w:trPr>
        <w:tc>
          <w:tcPr>
            <w:tcW w:w="546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rPr>
              <w:t>Title:</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210"/>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4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140" w:type="dxa"/>
            <w:vAlign w:val="bottom"/>
          </w:tcPr>
          <w:p>
            <w:pPr>
              <w:spacing w:after="0"/>
              <w:rPr>
                <w:sz w:val="18"/>
                <w:szCs w:val="18"/>
                <w:color w:val="auto"/>
              </w:rPr>
            </w:pPr>
          </w:p>
        </w:tc>
      </w:tr>
      <w:tr>
        <w:trPr>
          <w:trHeight w:val="905"/>
        </w:trPr>
        <w:tc>
          <w:tcPr>
            <w:tcW w:w="4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4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7"/>
          <w:szCs w:val="17"/>
          <w:b w:val="1"/>
          <w:bCs w:val="1"/>
          <w:color w:val="auto"/>
        </w:rPr>
        <w:t>NVIVYD,</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7"/>
          <w:szCs w:val="17"/>
          <w:b w:val="1"/>
          <w:bCs w:val="1"/>
          <w:color w:val="auto"/>
        </w:rPr>
        <w:t>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2021 E</w:t>
      </w:r>
      <w:r>
        <w:rPr>
          <w:rFonts w:ascii="Times New Roman" w:cs="Times New Roman" w:eastAsia="Times New Roman" w:hAnsi="Times New Roman"/>
          <w:sz w:val="13"/>
          <w:szCs w:val="13"/>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3"/>
          <w:szCs w:val="13"/>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3"/>
          <w:szCs w:val="13"/>
          <w:b w:val="1"/>
          <w:bCs w:val="1"/>
          <w:color w:val="auto"/>
        </w:rPr>
        <w:t>LAN</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3"/>
          <w:szCs w:val="13"/>
          <w:b w:val="1"/>
          <w:bCs w:val="1"/>
          <w:color w:val="auto"/>
        </w:rPr>
        <w:t>DOPTED BY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3"/>
          <w:szCs w:val="13"/>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3"/>
          <w:szCs w:val="13"/>
          <w:b w:val="1"/>
          <w:bCs w:val="1"/>
          <w:color w:val="auto"/>
        </w:rPr>
        <w:t>IRECTORS</w:t>
      </w:r>
      <w:r>
        <w:rPr>
          <w:rFonts w:ascii="Times New Roman" w:cs="Times New Roman" w:eastAsia="Times New Roman" w:hAnsi="Times New Roman"/>
          <w:sz w:val="18"/>
          <w:szCs w:val="18"/>
          <w:b w:val="1"/>
          <w:bCs w:val="1"/>
          <w:color w:val="auto"/>
        </w:rPr>
        <w:t>: J</w:t>
      </w:r>
      <w:r>
        <w:rPr>
          <w:rFonts w:ascii="Times New Roman" w:cs="Times New Roman" w:eastAsia="Times New Roman" w:hAnsi="Times New Roman"/>
          <w:sz w:val="13"/>
          <w:szCs w:val="13"/>
          <w:b w:val="1"/>
          <w:bCs w:val="1"/>
          <w:color w:val="auto"/>
        </w:rPr>
        <w:t>ULY</w:t>
      </w:r>
      <w:r>
        <w:rPr>
          <w:rFonts w:ascii="Times New Roman" w:cs="Times New Roman" w:eastAsia="Times New Roman" w:hAnsi="Times New Roman"/>
          <w:sz w:val="18"/>
          <w:szCs w:val="18"/>
          <w:b w:val="1"/>
          <w:bCs w:val="1"/>
          <w:color w:val="auto"/>
        </w:rPr>
        <w:t xml:space="preserve"> 27, 2021</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3"/>
          <w:szCs w:val="13"/>
          <w:b w:val="1"/>
          <w:bCs w:val="1"/>
          <w:color w:val="auto"/>
        </w:rPr>
        <w:t>PPROVED BY 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3"/>
          <w:szCs w:val="13"/>
          <w:b w:val="1"/>
          <w:bCs w:val="1"/>
          <w:color w:val="auto"/>
        </w:rPr>
        <w:t>TOCKHOLDERS</w:t>
      </w:r>
      <w:r>
        <w:rPr>
          <w:rFonts w:ascii="Times New Roman" w:cs="Times New Roman" w:eastAsia="Times New Roman" w:hAnsi="Times New Roman"/>
          <w:sz w:val="18"/>
          <w:szCs w:val="18"/>
          <w:b w:val="1"/>
          <w:bCs w:val="1"/>
          <w:color w:val="auto"/>
        </w:rPr>
        <w:t>: J</w:t>
      </w:r>
      <w:r>
        <w:rPr>
          <w:rFonts w:ascii="Times New Roman" w:cs="Times New Roman" w:eastAsia="Times New Roman" w:hAnsi="Times New Roman"/>
          <w:sz w:val="13"/>
          <w:szCs w:val="13"/>
          <w:b w:val="1"/>
          <w:bCs w:val="1"/>
          <w:color w:val="auto"/>
        </w:rPr>
        <w:t>ULY</w:t>
      </w:r>
      <w:r>
        <w:rPr>
          <w:rFonts w:ascii="Times New Roman" w:cs="Times New Roman" w:eastAsia="Times New Roman" w:hAnsi="Times New Roman"/>
          <w:sz w:val="18"/>
          <w:szCs w:val="18"/>
          <w:b w:val="1"/>
          <w:bCs w:val="1"/>
          <w:color w:val="auto"/>
        </w:rPr>
        <w:t xml:space="preserve"> 29, 2021</w:t>
      </w:r>
    </w:p>
    <w:p>
      <w:pPr>
        <w:spacing w:after="0" w:line="228" w:lineRule="exact"/>
        <w:rPr>
          <w:sz w:val="20"/>
          <w:szCs w:val="20"/>
          <w:color w:val="auto"/>
        </w:rPr>
      </w:pPr>
    </w:p>
    <w:p>
      <w:pPr>
        <w:ind w:left="480" w:hanging="459"/>
        <w:spacing w:after="0"/>
        <w:tabs>
          <w:tab w:leader="none" w:pos="48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3"/>
          <w:szCs w:val="13"/>
          <w:b w:val="1"/>
          <w:bCs w:val="1"/>
          <w:color w:val="auto"/>
        </w:rPr>
        <w:t>ENERAL</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right="20" w:firstLine="517"/>
        <w:spacing w:after="0" w:line="247" w:lineRule="auto"/>
        <w:tabs>
          <w:tab w:leader="none" w:pos="764" w:val="left"/>
        </w:tabs>
        <w:numPr>
          <w:ilvl w:val="1"/>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Successor to and Continuation of Prior Plan</w:t>
      </w:r>
      <w:r>
        <w:rPr>
          <w:rFonts w:ascii="Times New Roman" w:cs="Times New Roman" w:eastAsia="Times New Roman" w:hAnsi="Times New Roman"/>
          <w:sz w:val="18"/>
          <w:szCs w:val="18"/>
          <w:color w:val="auto"/>
        </w:rPr>
        <w:t>. The Plan is the successor to and continuation of the Prior Plan. As of the Effective Date, (i)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additional awards may be granted under the Prior Plan; (ii) the Prior Plan’s Available Reserve plus any Returning Shares will become available for issuance pursuant to Awards granted under this Plan; and (iii) all outstanding awards granted under the Prior Plan will remain subject to the terms of the Prior Plan (except to the extent such outstanding awards result in Returning Shares that become available for issuance pursuant to Awards granted under this Plan). All Awards granted under this Plan will be subject to the terms of this Plan.</w:t>
      </w:r>
    </w:p>
    <w:p>
      <w:pPr>
        <w:spacing w:after="0" w:line="82" w:lineRule="exact"/>
        <w:rPr>
          <w:rFonts w:ascii="Times New Roman" w:cs="Times New Roman" w:eastAsia="Times New Roman" w:hAnsi="Times New Roman"/>
          <w:sz w:val="18"/>
          <w:szCs w:val="18"/>
          <w:b w:val="1"/>
          <w:bCs w:val="1"/>
          <w:color w:val="auto"/>
        </w:rPr>
      </w:pPr>
    </w:p>
    <w:p>
      <w:pPr>
        <w:jc w:val="both"/>
        <w:ind w:right="80" w:firstLine="517"/>
        <w:spacing w:after="0" w:line="252" w:lineRule="auto"/>
        <w:tabs>
          <w:tab w:leader="none" w:pos="774" w:val="left"/>
        </w:tabs>
        <w:numPr>
          <w:ilvl w:val="1"/>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Plan Purpose. </w:t>
      </w:r>
      <w:r>
        <w:rPr>
          <w:rFonts w:ascii="Times New Roman" w:cs="Times New Roman" w:eastAsia="Times New Roman" w:hAnsi="Times New Roman"/>
          <w:sz w:val="18"/>
          <w:szCs w:val="18"/>
          <w:color w:val="auto"/>
        </w:rPr>
        <w:t>The Company, by means of the Plan, seeks to secure and retain the services of Employees, Directors and Consultants, to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incentives for such persons to exert maximum efforts for the success of the Company and any Affiliate and to provide a means by which such persons may be given an opportunity to benefit from increases in value of the Common Stock through the granting of Awards.</w:t>
      </w:r>
    </w:p>
    <w:p>
      <w:pPr>
        <w:spacing w:after="0" w:line="77" w:lineRule="exact"/>
        <w:rPr>
          <w:rFonts w:ascii="Times New Roman" w:cs="Times New Roman" w:eastAsia="Times New Roman" w:hAnsi="Times New Roman"/>
          <w:sz w:val="18"/>
          <w:szCs w:val="18"/>
          <w:b w:val="1"/>
          <w:bCs w:val="1"/>
          <w:color w:val="auto"/>
        </w:rPr>
      </w:pPr>
    </w:p>
    <w:p>
      <w:pPr>
        <w:ind w:right="220" w:firstLine="517"/>
        <w:spacing w:after="0" w:line="271" w:lineRule="auto"/>
        <w:tabs>
          <w:tab w:leader="none" w:pos="753" w:val="left"/>
        </w:tabs>
        <w:numPr>
          <w:ilvl w:val="1"/>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Available Awards. </w:t>
      </w:r>
      <w:r>
        <w:rPr>
          <w:rFonts w:ascii="Times New Roman" w:cs="Times New Roman" w:eastAsia="Times New Roman" w:hAnsi="Times New Roman"/>
          <w:sz w:val="18"/>
          <w:szCs w:val="18"/>
          <w:color w:val="auto"/>
        </w:rPr>
        <w:t>The Plan provides for the grant of the following Awards: (i) Incentive Stock Options; (ii) Nonstatutory Stock Options; (iii)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SARs; (iv) Restricted Stock Awards; (v) RSU Awards; (vi) Performance Awards; and (vii) Other Awards.</w:t>
      </w:r>
    </w:p>
    <w:p>
      <w:pPr>
        <w:spacing w:after="0" w:line="45" w:lineRule="exact"/>
        <w:rPr>
          <w:rFonts w:ascii="Times New Roman" w:cs="Times New Roman" w:eastAsia="Times New Roman" w:hAnsi="Times New Roman"/>
          <w:sz w:val="18"/>
          <w:szCs w:val="18"/>
          <w:b w:val="1"/>
          <w:bCs w:val="1"/>
          <w:color w:val="auto"/>
        </w:rPr>
      </w:pPr>
    </w:p>
    <w:p>
      <w:pPr>
        <w:ind w:left="780" w:hanging="263"/>
        <w:spacing w:after="0"/>
        <w:tabs>
          <w:tab w:leader="none" w:pos="780" w:val="left"/>
        </w:tabs>
        <w:numPr>
          <w:ilvl w:val="1"/>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Adoption Date; Effective Date. </w:t>
      </w:r>
      <w:r>
        <w:rPr>
          <w:rFonts w:ascii="Times New Roman" w:cs="Times New Roman" w:eastAsia="Times New Roman" w:hAnsi="Times New Roman"/>
          <w:sz w:val="18"/>
          <w:szCs w:val="18"/>
          <w:color w:val="auto"/>
        </w:rPr>
        <w:t>The Plan will come into existence on the Adoption Date, but no Award may be granted prior to the Effective</w:t>
      </w:r>
    </w:p>
    <w:p>
      <w:pPr>
        <w:spacing w:after="0" w:line="1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Date.</w:t>
      </w:r>
    </w:p>
    <w:p>
      <w:pPr>
        <w:spacing w:after="0" w:line="228" w:lineRule="exact"/>
        <w:rPr>
          <w:rFonts w:ascii="Times New Roman" w:cs="Times New Roman" w:eastAsia="Times New Roman" w:hAnsi="Times New Roman"/>
          <w:sz w:val="18"/>
          <w:szCs w:val="18"/>
          <w:b w:val="1"/>
          <w:bCs w:val="1"/>
          <w:color w:val="auto"/>
        </w:rPr>
      </w:pPr>
    </w:p>
    <w:p>
      <w:pPr>
        <w:ind w:left="480" w:hanging="459"/>
        <w:spacing w:after="0"/>
        <w:tabs>
          <w:tab w:leader="none" w:pos="48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3"/>
          <w:szCs w:val="13"/>
          <w:b w:val="1"/>
          <w:bCs w:val="1"/>
          <w:color w:val="auto"/>
        </w:rPr>
        <w:t>HARES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3"/>
          <w:szCs w:val="13"/>
          <w:b w:val="1"/>
          <w:bCs w:val="1"/>
          <w:color w:val="auto"/>
        </w:rPr>
        <w:t>UBJECT TO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3"/>
          <w:szCs w:val="13"/>
          <w:b w:val="1"/>
          <w:bCs w:val="1"/>
          <w:color w:val="auto"/>
        </w:rPr>
        <w:t>LAN</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right="20" w:firstLine="517"/>
        <w:spacing w:after="0" w:line="241" w:lineRule="auto"/>
        <w:tabs>
          <w:tab w:leader="none" w:pos="764" w:val="left"/>
        </w:tabs>
        <w:numPr>
          <w:ilvl w:val="1"/>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 Reserve. </w:t>
      </w:r>
      <w:r>
        <w:rPr>
          <w:rFonts w:ascii="Times New Roman" w:cs="Times New Roman" w:eastAsia="Times New Roman" w:hAnsi="Times New Roman"/>
          <w:sz w:val="18"/>
          <w:szCs w:val="18"/>
          <w:color w:val="auto"/>
        </w:rPr>
        <w:t>Subject to adjustment in accordance with Section 2(c) and any adjustments as necessary to implement any Capitalization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Adjustments, the aggregate number of shares of Common Stock that may be issued pursuant to Awards will not exceed 35,075,122 shares (the “</w:t>
      </w:r>
      <w:r>
        <w:rPr>
          <w:rFonts w:ascii="Times New Roman" w:cs="Times New Roman" w:eastAsia="Times New Roman" w:hAnsi="Times New Roman"/>
          <w:sz w:val="18"/>
          <w:szCs w:val="18"/>
          <w:b w:val="1"/>
          <w:bCs w:val="1"/>
          <w:i w:val="1"/>
          <w:iCs w:val="1"/>
          <w:color w:val="auto"/>
        </w:rPr>
        <w:t>Initial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Reserve</w:t>
      </w:r>
      <w:r>
        <w:rPr>
          <w:rFonts w:ascii="Times New Roman" w:cs="Times New Roman" w:eastAsia="Times New Roman" w:hAnsi="Times New Roman"/>
          <w:sz w:val="18"/>
          <w:szCs w:val="18"/>
          <w:color w:val="auto"/>
        </w:rPr>
        <w:t>”), which is the sum of: (i) 11,413,572 new shares, plus (ii) the number of shares of Common Stock (not to exceed 23,661,550 shares of Common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which represents (A) the Prior Plan’s Available Reserve plus (B) the number of Returning Shares, if any, as such shares become available from time to time. In addition, subject to any adjustments as necessary to implement any Capitalization Adjustments, such aggregate number of shares of Common Stock will automatically increase on January 1 of each year for a period of ten years commencing on January 1, 2022 and ending on (and including) January 1, 2031, in an amount equal to five percent (5%) of the total number of shares of Common Stock outstanding on December 31 of the preceding year; provided, however, that the Board may act prior to January 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8"/>
          <w:szCs w:val="18"/>
          <w:color w:val="auto"/>
        </w:rPr>
        <w:t xml:space="preserve"> of a given year to provide that the increase for such year will be a lesser number of shares of Common Stock (such increase, the “</w:t>
      </w:r>
      <w:r>
        <w:rPr>
          <w:rFonts w:ascii="Times New Roman" w:cs="Times New Roman" w:eastAsia="Times New Roman" w:hAnsi="Times New Roman"/>
          <w:sz w:val="18"/>
          <w:szCs w:val="18"/>
          <w:b w:val="1"/>
          <w:bCs w:val="1"/>
          <w:i w:val="1"/>
          <w:iCs w:val="1"/>
          <w:color w:val="auto"/>
        </w:rPr>
        <w:t>Annual Increase</w:t>
      </w:r>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b w:val="1"/>
          <w:bCs w:val="1"/>
          <w:color w:val="auto"/>
        </w:rPr>
      </w:pPr>
    </w:p>
    <w:p>
      <w:pPr>
        <w:ind w:right="20" w:firstLine="517"/>
        <w:spacing w:after="0" w:line="243" w:lineRule="auto"/>
        <w:tabs>
          <w:tab w:leader="none" w:pos="774" w:val="left"/>
        </w:tabs>
        <w:numPr>
          <w:ilvl w:val="1"/>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Incentive Stock Option Limit. </w:t>
      </w:r>
      <w:r>
        <w:rPr>
          <w:rFonts w:ascii="Times New Roman" w:cs="Times New Roman" w:eastAsia="Times New Roman" w:hAnsi="Times New Roman"/>
          <w:sz w:val="18"/>
          <w:szCs w:val="18"/>
          <w:color w:val="auto"/>
        </w:rPr>
        <w:t>Notwithstanding anything to the contrary in Section 2(a) and subject to any adjustments as necessary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implement any Capitalization Adjustments, the aggregate maximum number of shares of Common Stock that may be issued pursuant to the exercise of Incentive Stock Options shall not exceed the Initial Reserve cumulatively increased on January 1, 2022 and each January 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8"/>
          <w:szCs w:val="18"/>
          <w:color w:val="auto"/>
        </w:rPr>
        <w:t xml:space="preserve"> thereafter by the lesser of (i) the Annual Increase for such year or (ii) 23,827,144 shares of Common Stock.</w:t>
      </w:r>
    </w:p>
    <w:p>
      <w:pPr>
        <w:spacing w:after="0" w:line="83" w:lineRule="exact"/>
        <w:rPr>
          <w:rFonts w:ascii="Times New Roman" w:cs="Times New Roman" w:eastAsia="Times New Roman" w:hAnsi="Times New Roman"/>
          <w:sz w:val="18"/>
          <w:szCs w:val="18"/>
          <w:b w:val="1"/>
          <w:bCs w:val="1"/>
          <w:color w:val="auto"/>
        </w:rPr>
      </w:pPr>
    </w:p>
    <w:p>
      <w:pPr>
        <w:ind w:left="760" w:hanging="243"/>
        <w:spacing w:after="0"/>
        <w:tabs>
          <w:tab w:leader="none" w:pos="760" w:val="left"/>
        </w:tabs>
        <w:numPr>
          <w:ilvl w:val="1"/>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Reserve Operation.</w:t>
      </w:r>
    </w:p>
    <w:p>
      <w:pPr>
        <w:spacing w:after="0" w:line="103" w:lineRule="exact"/>
        <w:rPr>
          <w:rFonts w:ascii="Times New Roman" w:cs="Times New Roman" w:eastAsia="Times New Roman" w:hAnsi="Times New Roman"/>
          <w:sz w:val="18"/>
          <w:szCs w:val="18"/>
          <w:b w:val="1"/>
          <w:bCs w:val="1"/>
          <w:color w:val="auto"/>
        </w:rPr>
      </w:pPr>
    </w:p>
    <w:p>
      <w:pPr>
        <w:ind w:right="140" w:firstLine="1154"/>
        <w:spacing w:after="0" w:line="252" w:lineRule="auto"/>
        <w:tabs>
          <w:tab w:leader="none" w:pos="1360" w:val="left"/>
        </w:tabs>
        <w:numPr>
          <w:ilvl w:val="2"/>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 Applies to Common Stock Issued Pursuant to Awards. </w:t>
      </w:r>
      <w:r>
        <w:rPr>
          <w:rFonts w:ascii="Times New Roman" w:cs="Times New Roman" w:eastAsia="Times New Roman" w:hAnsi="Times New Roman"/>
          <w:sz w:val="18"/>
          <w:szCs w:val="18"/>
          <w:color w:val="auto"/>
        </w:rPr>
        <w:t>For clarity, the Share Reserve is a limit on the number of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that may be issued pursuant to Awards and does not limit the granting of Awards, except that the Company will keep available at all times the number of shares of Common Stock reasonably required to satisfy its obligations to issue shares pursuant to such Awards. Shares may be issued in connection with a merger or acquisition as permitted by, as applicable, Nasdaq Listing Rule 5635(c), NYSE Listed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169545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8" w:name="page149"/>
    <w:bookmarkEnd w:id="148"/>
    <w:p>
      <w:pPr>
        <w:ind w:right="140"/>
        <w:spacing w:after="0" w:line="282" w:lineRule="auto"/>
        <w:rPr>
          <w:sz w:val="20"/>
          <w:szCs w:val="20"/>
          <w:color w:val="auto"/>
        </w:rPr>
      </w:pPr>
      <w:r>
        <w:rPr>
          <w:rFonts w:ascii="Times New Roman" w:cs="Times New Roman" w:eastAsia="Times New Roman" w:hAnsi="Times New Roman"/>
          <w:sz w:val="18"/>
          <w:szCs w:val="18"/>
          <w:color w:val="auto"/>
        </w:rPr>
        <w:t>Company Manual Section 303A.08, NYSE American Company Guide Section 711 or other applicable rule, and such issuance will not reduce the number of shares available for issuance under the Plan.</w:t>
      </w:r>
    </w:p>
    <w:p>
      <w:pPr>
        <w:spacing w:after="0" w:line="36" w:lineRule="exact"/>
        <w:rPr>
          <w:sz w:val="20"/>
          <w:szCs w:val="20"/>
          <w:color w:val="auto"/>
        </w:rPr>
      </w:pPr>
    </w:p>
    <w:p>
      <w:pPr>
        <w:ind w:firstLine="1154"/>
        <w:spacing w:after="0" w:line="248" w:lineRule="auto"/>
        <w:tabs>
          <w:tab w:leader="none" w:pos="1410" w:val="left"/>
        </w:tabs>
        <w:numPr>
          <w:ilvl w:val="2"/>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Actions that Do Not Constitute Issuance of Common Stock and Do Not Reduce Share Reserve. </w:t>
      </w:r>
      <w:r>
        <w:rPr>
          <w:rFonts w:ascii="Times New Roman" w:cs="Times New Roman" w:eastAsia="Times New Roman" w:hAnsi="Times New Roman"/>
          <w:sz w:val="18"/>
          <w:szCs w:val="18"/>
          <w:color w:val="auto"/>
        </w:rPr>
        <w:t>The following actions do not result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an issuance of shares under the Plan and accordingly do not reduce the number of shares subject to the Share Reserve and available for issuance under the Plan: (1) the expiration or termination of any portion of an Award without the shares covered by such portion of the Award having been issued; (2) the settlement of any portion of an Award in cash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Participant receives cash rather than Common Stock); (3) the withholding of shares that would otherwise be issued by the Company to satisfy the exercise, strike or purchase price of an Award; or (4) the withholding of shares that would otherwise be issued by the Company to satisfy a tax withholding obligation in connection with an Award.</w:t>
      </w:r>
    </w:p>
    <w:p>
      <w:pPr>
        <w:spacing w:after="0" w:line="66" w:lineRule="exact"/>
        <w:rPr>
          <w:rFonts w:ascii="Times New Roman" w:cs="Times New Roman" w:eastAsia="Times New Roman" w:hAnsi="Times New Roman"/>
          <w:sz w:val="18"/>
          <w:szCs w:val="18"/>
          <w:b w:val="1"/>
          <w:bCs w:val="1"/>
          <w:color w:val="auto"/>
        </w:rPr>
      </w:pPr>
    </w:p>
    <w:p>
      <w:pPr>
        <w:ind w:right="40" w:firstLine="1154"/>
        <w:spacing w:after="0" w:line="247" w:lineRule="auto"/>
        <w:tabs>
          <w:tab w:leader="none" w:pos="1460" w:val="left"/>
        </w:tabs>
        <w:numPr>
          <w:ilvl w:val="2"/>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Reversion of Previously Issued Shares of Common Stock to Share Reserve. </w:t>
      </w:r>
      <w:r>
        <w:rPr>
          <w:rFonts w:ascii="Times New Roman" w:cs="Times New Roman" w:eastAsia="Times New Roman" w:hAnsi="Times New Roman"/>
          <w:sz w:val="18"/>
          <w:szCs w:val="18"/>
          <w:color w:val="auto"/>
        </w:rPr>
        <w:t>The following shares of Common Stock previously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issued pursuant to an Award and accordingly initially deducted from the Share Reserve will be added back to the Share Reserve and again become available for issuance under the Plan: (1) any shares that are forfeited back to or repurchased by the Company because of a failure to meet a contingency or condition required for the vesting of such shares; (2) any shares that are reacquired by the Company to satisfy the exercise, strike or purchase price of an Award; and (3) any shares that are reacquired by the Company to satisfy a tax withholding obligation in connection with an Award.</w:t>
      </w:r>
    </w:p>
    <w:p>
      <w:pPr>
        <w:spacing w:after="0" w:line="217" w:lineRule="exact"/>
        <w:rPr>
          <w:rFonts w:ascii="Times New Roman" w:cs="Times New Roman" w:eastAsia="Times New Roman" w:hAnsi="Times New Roman"/>
          <w:sz w:val="18"/>
          <w:szCs w:val="18"/>
          <w:b w:val="1"/>
          <w:bCs w:val="1"/>
          <w:color w:val="auto"/>
        </w:rPr>
      </w:pPr>
    </w:p>
    <w:p>
      <w:pPr>
        <w:ind w:left="480" w:hanging="459"/>
        <w:spacing w:after="0"/>
        <w:tabs>
          <w:tab w:leader="none" w:pos="48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3"/>
          <w:szCs w:val="13"/>
          <w:b w:val="1"/>
          <w:bCs w:val="1"/>
          <w:color w:val="auto"/>
        </w:rPr>
        <w:t>LIGIBILITY AND</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3"/>
          <w:szCs w:val="13"/>
          <w:b w:val="1"/>
          <w:bCs w:val="1"/>
          <w:color w:val="auto"/>
        </w:rPr>
        <w:t>IMITATIONS</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780" w:hanging="263"/>
        <w:spacing w:after="0"/>
        <w:tabs>
          <w:tab w:leader="none" w:pos="780" w:val="left"/>
        </w:tabs>
        <w:numPr>
          <w:ilvl w:val="1"/>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Eligible Award Recipients. </w:t>
      </w:r>
      <w:r>
        <w:rPr>
          <w:rFonts w:ascii="Times New Roman" w:cs="Times New Roman" w:eastAsia="Times New Roman" w:hAnsi="Times New Roman"/>
          <w:sz w:val="18"/>
          <w:szCs w:val="18"/>
          <w:color w:val="auto"/>
        </w:rPr>
        <w:t>Subject to the terms of the Plan, Employees, Directors and Consultants are eligible to receive Awards.</w:t>
      </w:r>
    </w:p>
    <w:p>
      <w:pPr>
        <w:spacing w:after="0" w:line="103" w:lineRule="exact"/>
        <w:rPr>
          <w:rFonts w:ascii="Times New Roman" w:cs="Times New Roman" w:eastAsia="Times New Roman" w:hAnsi="Times New Roman"/>
          <w:sz w:val="18"/>
          <w:szCs w:val="18"/>
          <w:b w:val="1"/>
          <w:bCs w:val="1"/>
          <w:color w:val="auto"/>
        </w:rPr>
      </w:pPr>
    </w:p>
    <w:p>
      <w:pPr>
        <w:ind w:left="780" w:hanging="263"/>
        <w:spacing w:after="0"/>
        <w:tabs>
          <w:tab w:leader="none" w:pos="780" w:val="left"/>
        </w:tabs>
        <w:numPr>
          <w:ilvl w:val="1"/>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Specific Award Limitations.</w:t>
      </w:r>
    </w:p>
    <w:p>
      <w:pPr>
        <w:spacing w:after="0" w:line="103" w:lineRule="exact"/>
        <w:rPr>
          <w:rFonts w:ascii="Times New Roman" w:cs="Times New Roman" w:eastAsia="Times New Roman" w:hAnsi="Times New Roman"/>
          <w:sz w:val="18"/>
          <w:szCs w:val="18"/>
          <w:b w:val="1"/>
          <w:bCs w:val="1"/>
          <w:color w:val="auto"/>
        </w:rPr>
      </w:pPr>
    </w:p>
    <w:p>
      <w:pPr>
        <w:ind w:right="160" w:firstLine="1154"/>
        <w:spacing w:after="0" w:line="286" w:lineRule="auto"/>
        <w:tabs>
          <w:tab w:leader="none" w:pos="1360" w:val="left"/>
        </w:tabs>
        <w:numPr>
          <w:ilvl w:val="2"/>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Limitations on Incentive Stock Option Recipients. </w:t>
      </w:r>
      <w:r>
        <w:rPr>
          <w:rFonts w:ascii="Times New Roman" w:cs="Times New Roman" w:eastAsia="Times New Roman" w:hAnsi="Times New Roman"/>
          <w:sz w:val="18"/>
          <w:szCs w:val="18"/>
          <w:color w:val="auto"/>
        </w:rPr>
        <w:t>Incentive Stock Options may be granted only to Employees of the Company 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“parent corporation” or “subsidiary corporation” thereof (as such terms are defined in Sections 424(e) and (f) of the Code).</w:t>
      </w:r>
    </w:p>
    <w:p>
      <w:pPr>
        <w:spacing w:after="0" w:line="127" w:lineRule="exact"/>
        <w:rPr>
          <w:rFonts w:ascii="Times New Roman" w:cs="Times New Roman" w:eastAsia="Times New Roman" w:hAnsi="Times New Roman"/>
          <w:sz w:val="18"/>
          <w:szCs w:val="18"/>
          <w:b w:val="1"/>
          <w:bCs w:val="1"/>
          <w:color w:val="auto"/>
        </w:rPr>
      </w:pPr>
    </w:p>
    <w:p>
      <w:pPr>
        <w:ind w:right="80" w:firstLine="1154"/>
        <w:spacing w:after="0" w:line="248" w:lineRule="auto"/>
        <w:tabs>
          <w:tab w:leader="none" w:pos="1410" w:val="left"/>
        </w:tabs>
        <w:numPr>
          <w:ilvl w:val="2"/>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Incentive Stock Option $100,000 Limitation. </w:t>
      </w:r>
      <w:r>
        <w:rPr>
          <w:rFonts w:ascii="Times New Roman" w:cs="Times New Roman" w:eastAsia="Times New Roman" w:hAnsi="Times New Roman"/>
          <w:sz w:val="18"/>
          <w:szCs w:val="18"/>
          <w:color w:val="auto"/>
        </w:rPr>
        <w:t>To the extent that the aggregate Fair Market Value (determined at the time of grant)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with 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spacing w:after="0" w:line="66" w:lineRule="exact"/>
        <w:rPr>
          <w:rFonts w:ascii="Times New Roman" w:cs="Times New Roman" w:eastAsia="Times New Roman" w:hAnsi="Times New Roman"/>
          <w:sz w:val="18"/>
          <w:szCs w:val="18"/>
          <w:b w:val="1"/>
          <w:bCs w:val="1"/>
          <w:color w:val="auto"/>
        </w:rPr>
      </w:pPr>
    </w:p>
    <w:p>
      <w:pPr>
        <w:ind w:firstLine="1154"/>
        <w:spacing w:after="0" w:line="260" w:lineRule="auto"/>
        <w:tabs>
          <w:tab w:leader="none" w:pos="1460" w:val="left"/>
        </w:tabs>
        <w:numPr>
          <w:ilvl w:val="2"/>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Limitations on Incentive Stock Options Granted to Ten Percent Stockholders. </w:t>
      </w:r>
      <w:r>
        <w:rPr>
          <w:rFonts w:ascii="Times New Roman" w:cs="Times New Roman" w:eastAsia="Times New Roman" w:hAnsi="Times New Roman"/>
          <w:sz w:val="18"/>
          <w:szCs w:val="18"/>
          <w:color w:val="auto"/>
        </w:rPr>
        <w:t>A Ten Percent Stockholder may not be granted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Incentive Stock Option unless (1) the exercise price of such Option is at least 110% of the Fair Market Value on the date of grant of such Option and (2) the Option is not exercisable after the expiration of five years from the date of grant of such Option.</w:t>
      </w:r>
    </w:p>
    <w:p>
      <w:pPr>
        <w:spacing w:after="0" w:line="56" w:lineRule="exact"/>
        <w:rPr>
          <w:rFonts w:ascii="Times New Roman" w:cs="Times New Roman" w:eastAsia="Times New Roman" w:hAnsi="Times New Roman"/>
          <w:sz w:val="18"/>
          <w:szCs w:val="18"/>
          <w:b w:val="1"/>
          <w:bCs w:val="1"/>
          <w:color w:val="auto"/>
        </w:rPr>
      </w:pPr>
    </w:p>
    <w:p>
      <w:pPr>
        <w:ind w:right="260" w:firstLine="1154"/>
        <w:spacing w:after="0" w:line="260" w:lineRule="auto"/>
        <w:tabs>
          <w:tab w:leader="none" w:pos="1450" w:val="left"/>
        </w:tabs>
        <w:numPr>
          <w:ilvl w:val="2"/>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Limitations on Nonstatutory Stock Options and SARs. </w:t>
      </w:r>
      <w:r>
        <w:rPr>
          <w:rFonts w:ascii="Times New Roman" w:cs="Times New Roman" w:eastAsia="Times New Roman" w:hAnsi="Times New Roman"/>
          <w:sz w:val="18"/>
          <w:szCs w:val="18"/>
          <w:color w:val="auto"/>
        </w:rPr>
        <w:t>Nonstatutory Stock Options and SARs may not be granted to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and Consultants unless the stock underlying such Awards is treated as “service recipient stock” under Section 409A or unless such Awards otherwise comply with the requirements of Section 409A.</w:t>
      </w:r>
    </w:p>
    <w:p>
      <w:pPr>
        <w:spacing w:after="0" w:line="56" w:lineRule="exact"/>
        <w:rPr>
          <w:rFonts w:ascii="Times New Roman" w:cs="Times New Roman" w:eastAsia="Times New Roman" w:hAnsi="Times New Roman"/>
          <w:sz w:val="18"/>
          <w:szCs w:val="18"/>
          <w:b w:val="1"/>
          <w:bCs w:val="1"/>
          <w:color w:val="auto"/>
        </w:rPr>
      </w:pPr>
    </w:p>
    <w:p>
      <w:pPr>
        <w:ind w:right="360" w:firstLine="517"/>
        <w:spacing w:after="0" w:line="271" w:lineRule="auto"/>
        <w:tabs>
          <w:tab w:leader="none" w:pos="753" w:val="left"/>
        </w:tabs>
        <w:numPr>
          <w:ilvl w:val="1"/>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Incentive Stock Option Limit. </w:t>
      </w:r>
      <w:r>
        <w:rPr>
          <w:rFonts w:ascii="Times New Roman" w:cs="Times New Roman" w:eastAsia="Times New Roman" w:hAnsi="Times New Roman"/>
          <w:sz w:val="18"/>
          <w:szCs w:val="18"/>
          <w:color w:val="auto"/>
        </w:rPr>
        <w:t>The aggregate maximum number of shares of Common Stock that may be issued pursuant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of Incentive Stock Options is the number of shares specified in Section 2(b).</w:t>
      </w:r>
    </w:p>
    <w:p>
      <w:pPr>
        <w:spacing w:after="0" w:line="59" w:lineRule="exact"/>
        <w:rPr>
          <w:rFonts w:ascii="Times New Roman" w:cs="Times New Roman" w:eastAsia="Times New Roman" w:hAnsi="Times New Roman"/>
          <w:sz w:val="18"/>
          <w:szCs w:val="18"/>
          <w:b w:val="1"/>
          <w:bCs w:val="1"/>
          <w:color w:val="auto"/>
        </w:rPr>
      </w:pPr>
    </w:p>
    <w:p>
      <w:pPr>
        <w:ind w:right="160" w:firstLine="517"/>
        <w:spacing w:after="0" w:line="247" w:lineRule="auto"/>
        <w:tabs>
          <w:tab w:leader="none" w:pos="774" w:val="left"/>
        </w:tabs>
        <w:numPr>
          <w:ilvl w:val="1"/>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Non-Employee Director Compensation Limit. </w:t>
      </w:r>
      <w:r>
        <w:rPr>
          <w:rFonts w:ascii="Times New Roman" w:cs="Times New Roman" w:eastAsia="Times New Roman" w:hAnsi="Times New Roman"/>
          <w:sz w:val="18"/>
          <w:szCs w:val="18"/>
          <w:color w:val="auto"/>
        </w:rPr>
        <w:t>The aggregate value of all compensation granted or paid, as applicable, to any individual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 as a Non-Employee Director with respect to any calendar year, including Awards granted and cash fees paid by the Company to such Non-Employee Director, will not exceed $1,500,000 in total value, calculating the value of any equity awards based on the grant date fair value of such equity awards for financial reporting purposes. The limitations in this Section 3(d) shall apply commencing with the first calendar year that begins following the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149" w:name="page150"/>
    <w:bookmarkEnd w:id="149"/>
    <w:p>
      <w:pPr>
        <w:ind w:left="480" w:hanging="459"/>
        <w:spacing w:after="0"/>
        <w:tabs>
          <w:tab w:leader="none" w:pos="48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3"/>
          <w:szCs w:val="13"/>
          <w:b w:val="1"/>
          <w:bCs w:val="1"/>
          <w:color w:val="auto"/>
        </w:rPr>
        <w:t>PTIONS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3"/>
          <w:szCs w:val="13"/>
          <w:b w:val="1"/>
          <w:bCs w:val="1"/>
          <w:color w:val="auto"/>
        </w:rPr>
        <w:t>PPRECIATION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3"/>
          <w:szCs w:val="13"/>
          <w:b w:val="1"/>
          <w:bCs w:val="1"/>
          <w:color w:val="auto"/>
        </w:rPr>
        <w:t>IGHTS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60" w:firstLine="509"/>
        <w:spacing w:after="0" w:line="247" w:lineRule="auto"/>
        <w:rPr>
          <w:sz w:val="20"/>
          <w:szCs w:val="20"/>
          <w:color w:val="auto"/>
        </w:rPr>
      </w:pPr>
      <w:r>
        <w:rPr>
          <w:rFonts w:ascii="Times New Roman" w:cs="Times New Roman" w:eastAsia="Times New Roman" w:hAnsi="Times New Roman"/>
          <w:sz w:val="18"/>
          <w:szCs w:val="18"/>
          <w:color w:val="auto"/>
        </w:rPr>
        <w:t>Each Option and SAR will have such terms and conditions as determined by the Board. Each Option will be designated in writing as an Incentive Stock Option or Nonstatutory Stock Option at the time of grant; provided, however, that if an Option is not so designated or if an Option designated as an Incentive Stock Option fails to qualify as an Incentive Stock Option, then such Option will be a Nonstatutory Stock Option, and the shares purchased upon exercise of each type of Option will be separately accounted for. Each SAR will be denominated in shares of Common Stock equivalents. The terms and conditions of separate Options and SARs need not be identical; provided, however, that each Option Agreement and SAR Agreement will conform (through incorporation of provisions hereof by reference in the Award Agreement or otherwise) to the substance of each of the following provisions:</w:t>
      </w:r>
    </w:p>
    <w:p>
      <w:pPr>
        <w:spacing w:after="0" w:line="176" w:lineRule="exact"/>
        <w:rPr>
          <w:sz w:val="20"/>
          <w:szCs w:val="20"/>
          <w:color w:val="auto"/>
        </w:rPr>
      </w:pPr>
    </w:p>
    <w:p>
      <w:pPr>
        <w:ind w:right="180" w:firstLine="517"/>
        <w:spacing w:after="0" w:line="271" w:lineRule="auto"/>
        <w:tabs>
          <w:tab w:leader="none" w:pos="764"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 </w:t>
      </w:r>
      <w:r>
        <w:rPr>
          <w:rFonts w:ascii="Times New Roman" w:cs="Times New Roman" w:eastAsia="Times New Roman" w:hAnsi="Times New Roman"/>
          <w:sz w:val="18"/>
          <w:szCs w:val="18"/>
          <w:color w:val="auto"/>
        </w:rPr>
        <w:t>Subject to Section 3(b) regarding Ten Percent Stockholders, no Option or SAR will be exercisable after the expiration of ten years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date of grant of such Award or such shorter period specified in the Award Agreement.</w:t>
      </w:r>
    </w:p>
    <w:p>
      <w:pPr>
        <w:spacing w:after="0" w:line="45" w:lineRule="exact"/>
        <w:rPr>
          <w:rFonts w:ascii="Times New Roman" w:cs="Times New Roman" w:eastAsia="Times New Roman" w:hAnsi="Times New Roman"/>
          <w:sz w:val="18"/>
          <w:szCs w:val="18"/>
          <w:b w:val="1"/>
          <w:bCs w:val="1"/>
          <w:color w:val="auto"/>
        </w:rPr>
      </w:pPr>
    </w:p>
    <w:p>
      <w:pPr>
        <w:ind w:right="20" w:firstLine="517"/>
        <w:spacing w:after="0" w:line="247" w:lineRule="auto"/>
        <w:tabs>
          <w:tab w:leader="none" w:pos="774"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Exercise or Strike Price. </w:t>
      </w:r>
      <w:r>
        <w:rPr>
          <w:rFonts w:ascii="Times New Roman" w:cs="Times New Roman" w:eastAsia="Times New Roman" w:hAnsi="Times New Roman"/>
          <w:sz w:val="18"/>
          <w:szCs w:val="18"/>
          <w:color w:val="auto"/>
        </w:rPr>
        <w:t>Subject to Section 3(b) regarding Ten Percent Stockholders, the exercise or strike price of each Option or SAR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be less than 100% of the Fair Market Value on the date of grant of such Award. Notwithstanding the foregoing, an Option or SAR may be granted with an exercise or strike price lower than 100% of the Fair Market Value on the date of grant of such Award if such Award is granted pursuant to an assumption of or substitution for another option or stock appreciation right pursuant to a Corporate Transaction and in a manner consistent with the provisions of Sections 409A and, if applicable, 424(a) of the Code.</w:t>
      </w:r>
    </w:p>
    <w:p>
      <w:pPr>
        <w:spacing w:after="0" w:line="82" w:lineRule="exact"/>
        <w:rPr>
          <w:rFonts w:ascii="Times New Roman" w:cs="Times New Roman" w:eastAsia="Times New Roman" w:hAnsi="Times New Roman"/>
          <w:sz w:val="18"/>
          <w:szCs w:val="18"/>
          <w:b w:val="1"/>
          <w:bCs w:val="1"/>
          <w:color w:val="auto"/>
        </w:rPr>
      </w:pPr>
    </w:p>
    <w:p>
      <w:pPr>
        <w:ind w:firstLine="517"/>
        <w:spacing w:after="0" w:line="245" w:lineRule="auto"/>
        <w:tabs>
          <w:tab w:leader="none" w:pos="753"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Exercise Procedure and Payment of Exercise Price for Options. </w:t>
      </w:r>
      <w:r>
        <w:rPr>
          <w:rFonts w:ascii="Times New Roman" w:cs="Times New Roman" w:eastAsia="Times New Roman" w:hAnsi="Times New Roman"/>
          <w:sz w:val="18"/>
          <w:szCs w:val="18"/>
          <w:color w:val="auto"/>
        </w:rPr>
        <w:t>In order to exercise an Option, the Participant must provide notice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to the Plan Administrator in accordance with the procedures specified in the Option Agreement or otherwise provided by the Company. The Board has the authority to grant Options 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Law and as determined by the Board, by one or more of the following methods of payment to the extent set forth in the Option Agreement:</w:t>
      </w:r>
    </w:p>
    <w:p>
      <w:pPr>
        <w:spacing w:after="0" w:line="86" w:lineRule="exact"/>
        <w:rPr>
          <w:rFonts w:ascii="Times New Roman" w:cs="Times New Roman" w:eastAsia="Times New Roman" w:hAnsi="Times New Roman"/>
          <w:sz w:val="18"/>
          <w:szCs w:val="18"/>
          <w:b w:val="1"/>
          <w:bCs w:val="1"/>
          <w:color w:val="auto"/>
        </w:rPr>
      </w:pPr>
    </w:p>
    <w:p>
      <w:pPr>
        <w:ind w:left="1360" w:hanging="206"/>
        <w:spacing w:after="0"/>
        <w:tabs>
          <w:tab w:leader="none" w:pos="1360" w:val="left"/>
        </w:tabs>
        <w:numPr>
          <w:ilvl w:val="1"/>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cash or check, bank draft or money order payable to the Company;</w:t>
      </w:r>
    </w:p>
    <w:p>
      <w:pPr>
        <w:spacing w:after="0" w:line="103" w:lineRule="exact"/>
        <w:rPr>
          <w:rFonts w:ascii="Times New Roman" w:cs="Times New Roman" w:eastAsia="Times New Roman" w:hAnsi="Times New Roman"/>
          <w:sz w:val="18"/>
          <w:szCs w:val="18"/>
          <w:b w:val="1"/>
          <w:bCs w:val="1"/>
          <w:color w:val="auto"/>
        </w:rPr>
      </w:pPr>
    </w:p>
    <w:p>
      <w:pPr>
        <w:ind w:right="20" w:firstLine="1154"/>
        <w:spacing w:after="0" w:line="258" w:lineRule="auto"/>
        <w:tabs>
          <w:tab w:leader="none" w:pos="1410" w:val="left"/>
        </w:tabs>
        <w:numPr>
          <w:ilvl w:val="1"/>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a “cashless exercise” program developed under Regulation T as promulgated by the Federal Reserve Board that, prior to the issuance of the Common Stock subject to the Option, results in either the receipt of cash (or check) by the Company or the receipt of irrevocable instructions to pay the exercise price to the Company from the sales proceeds;</w:t>
      </w:r>
    </w:p>
    <w:p>
      <w:pPr>
        <w:spacing w:after="0" w:line="61" w:lineRule="exact"/>
        <w:rPr>
          <w:rFonts w:ascii="Times New Roman" w:cs="Times New Roman" w:eastAsia="Times New Roman" w:hAnsi="Times New Roman"/>
          <w:sz w:val="18"/>
          <w:szCs w:val="18"/>
          <w:b w:val="1"/>
          <w:bCs w:val="1"/>
          <w:color w:val="auto"/>
        </w:rPr>
      </w:pPr>
    </w:p>
    <w:p>
      <w:pPr>
        <w:ind w:right="60" w:firstLine="1154"/>
        <w:spacing w:after="0" w:line="245" w:lineRule="auto"/>
        <w:tabs>
          <w:tab w:leader="none" w:pos="1460" w:val="left"/>
        </w:tabs>
        <w:numPr>
          <w:ilvl w:val="1"/>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delivery to the Company (either by actual delivery or attestation) of shares of Common Stock that are already owned by the Participant free and clear of any liens, claims, encumbrances or security interests, with a Fair Market Value on the date of exercise that does not exceed the exercise price, provided that (1) at the time of exercise the Common Stock is publicly traded, (2) any remaining balance of the exercise price not satisfied by such delivery is paid by the Participant in cash or other permitted form of payment, (3) such delivery would not violate any Applicable Law or agreement restricting the redemption of the Common Stock, (4) any certificated shares are endorsed or accompanied by an executed assignment separate from certificate, and (5) such shares have been held by the Participant for any minimum period necessary to avoid adverse accounting treatment as a result of such delivery;</w:t>
      </w:r>
    </w:p>
    <w:p>
      <w:pPr>
        <w:spacing w:after="0" w:line="73" w:lineRule="exact"/>
        <w:rPr>
          <w:rFonts w:ascii="Times New Roman" w:cs="Times New Roman" w:eastAsia="Times New Roman" w:hAnsi="Times New Roman"/>
          <w:sz w:val="18"/>
          <w:szCs w:val="18"/>
          <w:b w:val="1"/>
          <w:bCs w:val="1"/>
          <w:color w:val="auto"/>
        </w:rPr>
      </w:pPr>
    </w:p>
    <w:p>
      <w:pPr>
        <w:ind w:right="120" w:firstLine="1154"/>
        <w:spacing w:after="0" w:line="250" w:lineRule="auto"/>
        <w:tabs>
          <w:tab w:leader="none" w:pos="1450" w:val="left"/>
        </w:tabs>
        <w:numPr>
          <w:ilvl w:val="1"/>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Option is a Nonstatutory Stock Option, by a “net exercise” arrangement pursuant to which the Company will reduce the number of shares of Common Stock issuable upon exercise by the largest whole number of shares with a Fair Market Value on the date of exercise that does not exceed the exercise price, provided that (1) such shares used to pay the exercise price will not be exercisable thereafter and (2) any remaining balance of the exercise price not satisfied by such net exercise is paid by the Participant in cash or other permitted form of payment; or</w:t>
      </w:r>
    </w:p>
    <w:p>
      <w:pPr>
        <w:spacing w:after="0" w:line="177" w:lineRule="exact"/>
        <w:rPr>
          <w:rFonts w:ascii="Times New Roman" w:cs="Times New Roman" w:eastAsia="Times New Roman" w:hAnsi="Times New Roman"/>
          <w:sz w:val="18"/>
          <w:szCs w:val="18"/>
          <w:b w:val="1"/>
          <w:bCs w:val="1"/>
          <w:color w:val="auto"/>
        </w:rPr>
      </w:pPr>
    </w:p>
    <w:p>
      <w:pPr>
        <w:ind w:left="1400" w:hanging="246"/>
        <w:spacing w:after="0"/>
        <w:tabs>
          <w:tab w:leader="none" w:pos="1400" w:val="left"/>
        </w:tabs>
        <w:numPr>
          <w:ilvl w:val="1"/>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any other form of consideration that may be acceptable to the Board and permissible under Applicable Law.</w:t>
      </w:r>
    </w:p>
    <w:p>
      <w:pPr>
        <w:spacing w:after="0" w:line="99" w:lineRule="exact"/>
        <w:rPr>
          <w:rFonts w:ascii="Times New Roman" w:cs="Times New Roman" w:eastAsia="Times New Roman" w:hAnsi="Times New Roman"/>
          <w:sz w:val="18"/>
          <w:szCs w:val="18"/>
          <w:b w:val="1"/>
          <w:bCs w:val="1"/>
          <w:color w:val="auto"/>
        </w:rPr>
      </w:pPr>
    </w:p>
    <w:p>
      <w:pPr>
        <w:ind w:right="120" w:firstLine="517"/>
        <w:spacing w:after="0" w:line="271" w:lineRule="auto"/>
        <w:tabs>
          <w:tab w:leader="none" w:pos="774"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Exercise Procedure and Payment of Appreciation Distribution for SARs. </w:t>
      </w:r>
      <w:r>
        <w:rPr>
          <w:rFonts w:ascii="Times New Roman" w:cs="Times New Roman" w:eastAsia="Times New Roman" w:hAnsi="Times New Roman"/>
          <w:sz w:val="18"/>
          <w:szCs w:val="18"/>
          <w:color w:val="auto"/>
        </w:rPr>
        <w:t>In order to exercise any SAR, the Participant must provide 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exercise to the Plan Administrator in accordance with the SAR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150" w:name="page151"/>
    <w:bookmarkEnd w:id="150"/>
    <w:p>
      <w:pPr>
        <w:ind w:right="100"/>
        <w:spacing w:after="0" w:line="250" w:lineRule="auto"/>
        <w:rPr>
          <w:sz w:val="20"/>
          <w:szCs w:val="20"/>
          <w:color w:val="auto"/>
        </w:rPr>
      </w:pPr>
      <w:r>
        <w:rPr>
          <w:rFonts w:ascii="Times New Roman" w:cs="Times New Roman" w:eastAsia="Times New Roman" w:hAnsi="Times New Roman"/>
          <w:sz w:val="18"/>
          <w:szCs w:val="18"/>
          <w:color w:val="auto"/>
        </w:rPr>
        <w:t>Agreement. The appreciation distribution payable to a Participant upon the exercise of a SAR will not be greater than an amount equal to the excess of (i) the aggregate Fair Market Value on the date of exercise of a number of shares of Common Stock equal to the number of Common Stock equivalents that are vested and being exercised under such SAR, over (ii) the strike price of such SAR. Such appreciation distribution may be paid to the Participant in the form of Common Stock or cash (or any combination of Common Stock and cash) or in any other form of payment, as determined by the Board and specified in the SAR Agreement.</w:t>
      </w:r>
    </w:p>
    <w:p>
      <w:pPr>
        <w:spacing w:after="0" w:line="65" w:lineRule="exact"/>
        <w:rPr>
          <w:sz w:val="20"/>
          <w:szCs w:val="20"/>
          <w:color w:val="auto"/>
        </w:rPr>
      </w:pPr>
    </w:p>
    <w:p>
      <w:pPr>
        <w:ind w:right="20" w:firstLine="517"/>
        <w:spacing w:after="0" w:line="247" w:lineRule="auto"/>
        <w:tabs>
          <w:tab w:leader="none" w:pos="753"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Transferability. </w:t>
      </w:r>
      <w:r>
        <w:rPr>
          <w:rFonts w:ascii="Times New Roman" w:cs="Times New Roman" w:eastAsia="Times New Roman" w:hAnsi="Times New Roman"/>
          <w:sz w:val="18"/>
          <w:szCs w:val="18"/>
          <w:color w:val="auto"/>
        </w:rPr>
        <w:t>Options and SARs may not be transferred to third party financial institutions for value. The Board may impose such additional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limitations on the transferability of an Option or SAR as it determines. In the absence of any such determination by the Board, the following restrictions on the transferability of Options and SARs will apply, provided that except as explicitly provided herein, neither an Option nor a SAR may be transferred for consideration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if an Option is an Incentive Stock Option, such Option may be deemed to be a Nonstatutory Stock Option as a result of such transfer:</w:t>
      </w:r>
    </w:p>
    <w:p>
      <w:pPr>
        <w:spacing w:after="0" w:line="68" w:lineRule="exact"/>
        <w:rPr>
          <w:rFonts w:ascii="Times New Roman" w:cs="Times New Roman" w:eastAsia="Times New Roman" w:hAnsi="Times New Roman"/>
          <w:sz w:val="18"/>
          <w:szCs w:val="18"/>
          <w:b w:val="1"/>
          <w:bCs w:val="1"/>
          <w:color w:val="auto"/>
        </w:rPr>
      </w:pPr>
    </w:p>
    <w:p>
      <w:pPr>
        <w:ind w:right="20" w:firstLine="1154"/>
        <w:spacing w:after="0" w:line="251" w:lineRule="auto"/>
        <w:tabs>
          <w:tab w:leader="none" w:pos="1360" w:val="left"/>
        </w:tabs>
        <w:numPr>
          <w:ilvl w:val="1"/>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Restrictions on Transfer. </w:t>
      </w:r>
      <w:r>
        <w:rPr>
          <w:rFonts w:ascii="Times New Roman" w:cs="Times New Roman" w:eastAsia="Times New Roman" w:hAnsi="Times New Roman"/>
          <w:sz w:val="18"/>
          <w:szCs w:val="18"/>
          <w:color w:val="auto"/>
        </w:rPr>
        <w:t>An Option or SAR will not be transferable, except by will or by the laws of descent and distribution, and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exercisable during the lifetime of the Participant only by the Participant; provided, however, that the Board may permit transfer of an Option or SAR in a manner that is not prohibited by applicable tax and securities laws upon the Participant’s request, including to a trust if the Participant is considered to be the sole beneficial owner of such trust (as determined under Section 671 of the Code and applicable state law) while such Option or SAR is held in such trust, provided that the Participant and the trustee enter into a transfer and other agreements required by the Company.</w:t>
      </w:r>
    </w:p>
    <w:p>
      <w:pPr>
        <w:spacing w:after="0" w:line="65" w:lineRule="exact"/>
        <w:rPr>
          <w:rFonts w:ascii="Times New Roman" w:cs="Times New Roman" w:eastAsia="Times New Roman" w:hAnsi="Times New Roman"/>
          <w:sz w:val="18"/>
          <w:szCs w:val="18"/>
          <w:b w:val="1"/>
          <w:bCs w:val="1"/>
          <w:color w:val="auto"/>
        </w:rPr>
      </w:pPr>
    </w:p>
    <w:p>
      <w:pPr>
        <w:ind w:right="80" w:firstLine="1154"/>
        <w:spacing w:after="0" w:line="260" w:lineRule="auto"/>
        <w:tabs>
          <w:tab w:leader="none" w:pos="1410" w:val="left"/>
        </w:tabs>
        <w:numPr>
          <w:ilvl w:val="1"/>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Domestic Relations Orders. </w:t>
      </w:r>
      <w:r>
        <w:rPr>
          <w:rFonts w:ascii="Times New Roman" w:cs="Times New Roman" w:eastAsia="Times New Roman" w:hAnsi="Times New Roman"/>
          <w:sz w:val="18"/>
          <w:szCs w:val="18"/>
          <w:color w:val="auto"/>
        </w:rPr>
        <w:t>Notwithstanding the foregoing, subject to the execution of transfer documentation in a format acceptable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Company and subject to the approval of the Board or a duly authorized Officer, an Option or SAR may be transferred pursuant to a domestic relations order.</w:t>
      </w:r>
    </w:p>
    <w:p>
      <w:pPr>
        <w:spacing w:after="0" w:line="56" w:lineRule="exact"/>
        <w:rPr>
          <w:rFonts w:ascii="Times New Roman" w:cs="Times New Roman" w:eastAsia="Times New Roman" w:hAnsi="Times New Roman"/>
          <w:sz w:val="18"/>
          <w:szCs w:val="18"/>
          <w:b w:val="1"/>
          <w:bCs w:val="1"/>
          <w:color w:val="auto"/>
        </w:rPr>
      </w:pPr>
    </w:p>
    <w:p>
      <w:pPr>
        <w:ind w:firstLine="517"/>
        <w:spacing w:after="0" w:line="260" w:lineRule="auto"/>
        <w:tabs>
          <w:tab w:leader="none" w:pos="734"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The Board may impose such restrictions on or conditions to the vesting and/or exercisability of an Option or SAR as determined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Except as otherwise provided in the Award Agreement or other written agreement between a Participant and the Company or an Affiliate, vesting of Options and SARs will cease upon termination of the Participant’s Continuous Service.</w:t>
      </w:r>
    </w:p>
    <w:p>
      <w:pPr>
        <w:spacing w:after="0" w:line="150" w:lineRule="exact"/>
        <w:rPr>
          <w:rFonts w:ascii="Times New Roman" w:cs="Times New Roman" w:eastAsia="Times New Roman" w:hAnsi="Times New Roman"/>
          <w:sz w:val="18"/>
          <w:szCs w:val="18"/>
          <w:b w:val="1"/>
          <w:bCs w:val="1"/>
          <w:color w:val="auto"/>
        </w:rPr>
      </w:pPr>
    </w:p>
    <w:p>
      <w:pPr>
        <w:ind w:right="180" w:firstLine="517"/>
        <w:spacing w:after="0" w:line="248" w:lineRule="auto"/>
        <w:tabs>
          <w:tab w:leader="none" w:pos="764"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of Continuous Service for Cause. </w:t>
      </w:r>
      <w:r>
        <w:rPr>
          <w:rFonts w:ascii="Times New Roman" w:cs="Times New Roman" w:eastAsia="Times New Roman" w:hAnsi="Times New Roman"/>
          <w:sz w:val="18"/>
          <w:szCs w:val="18"/>
          <w:color w:val="auto"/>
        </w:rPr>
        <w:t>Except as explicitly otherwise provided in the Award Agreement or other written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a Participant and the Company or an Affiliate, if a Participant’s Continuous Service is terminated for Cause, the Participant’s Options and SARs will terminate and be forfeited immediately upon such termination of Continuous Service, and the Participant will be prohibited from exercising any portion (including any vested portion) of such Awards on and after the date of such termination of Continuous Service and the Participant will have no further right, title or interest in such forfeited Award, the shares of Common Stock subject to the forfeited Award, or any consideration in respect of the forfeited Award.</w:t>
      </w:r>
    </w:p>
    <w:p>
      <w:pPr>
        <w:spacing w:after="0" w:line="66" w:lineRule="exact"/>
        <w:rPr>
          <w:rFonts w:ascii="Times New Roman" w:cs="Times New Roman" w:eastAsia="Times New Roman" w:hAnsi="Times New Roman"/>
          <w:sz w:val="18"/>
          <w:szCs w:val="18"/>
          <w:b w:val="1"/>
          <w:bCs w:val="1"/>
          <w:color w:val="auto"/>
        </w:rPr>
      </w:pPr>
    </w:p>
    <w:p>
      <w:pPr>
        <w:ind w:right="20" w:firstLine="517"/>
        <w:spacing w:after="0" w:line="247" w:lineRule="auto"/>
        <w:tabs>
          <w:tab w:leader="none" w:pos="774"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Post-Termination Exercise Period Following Termination of Continuous Service for Reasons Other than Cause. </w:t>
      </w:r>
      <w:r>
        <w:rPr>
          <w:rFonts w:ascii="Times New Roman" w:cs="Times New Roman" w:eastAsia="Times New Roman" w:hAnsi="Times New Roman"/>
          <w:sz w:val="18"/>
          <w:szCs w:val="18"/>
          <w:color w:val="auto"/>
        </w:rPr>
        <w:t>Subject to Section 4(i),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Participant’s Continuous Service terminates for any reason other than for Cause, the Participant may exercise his or her Option or SAR to the extent vested, but only within the following period of time or, if applicable, such other period of time provided in the Award Agreement or other written agreement between a Participant and the Company or an Affiliate; provided, however, that in no event may such Award be exercised after the expiration of its maximum term (as set forth in Section 4(a)):</w:t>
      </w:r>
    </w:p>
    <w:p>
      <w:pPr>
        <w:spacing w:after="0" w:line="86" w:lineRule="exact"/>
        <w:rPr>
          <w:rFonts w:ascii="Times New Roman" w:cs="Times New Roman" w:eastAsia="Times New Roman" w:hAnsi="Times New Roman"/>
          <w:sz w:val="18"/>
          <w:szCs w:val="18"/>
          <w:b w:val="1"/>
          <w:bCs w:val="1"/>
          <w:color w:val="auto"/>
        </w:rPr>
      </w:pPr>
    </w:p>
    <w:p>
      <w:pPr>
        <w:ind w:right="140" w:firstLine="1154"/>
        <w:spacing w:after="0" w:line="266" w:lineRule="auto"/>
        <w:tabs>
          <w:tab w:leader="none" w:pos="1360" w:val="left"/>
        </w:tabs>
        <w:numPr>
          <w:ilvl w:val="1"/>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three months following the date of such termination if such termination is a termination without Cause (other than any termination due to the Participant’s Disability or death);</w:t>
      </w:r>
    </w:p>
    <w:p>
      <w:pPr>
        <w:spacing w:after="0" w:line="54" w:lineRule="exact"/>
        <w:rPr>
          <w:rFonts w:ascii="Times New Roman" w:cs="Times New Roman" w:eastAsia="Times New Roman" w:hAnsi="Times New Roman"/>
          <w:sz w:val="18"/>
          <w:szCs w:val="18"/>
          <w:b w:val="1"/>
          <w:bCs w:val="1"/>
          <w:color w:val="auto"/>
        </w:rPr>
      </w:pPr>
    </w:p>
    <w:p>
      <w:pPr>
        <w:ind w:left="1420" w:hanging="266"/>
        <w:spacing w:after="0"/>
        <w:tabs>
          <w:tab w:leader="none" w:pos="1420" w:val="left"/>
        </w:tabs>
        <w:numPr>
          <w:ilvl w:val="1"/>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 months following the date of such termination if such termination is due to the Participant’s Disability;</w:t>
      </w:r>
    </w:p>
    <w:p>
      <w:pPr>
        <w:spacing w:after="0" w:line="117" w:lineRule="exact"/>
        <w:rPr>
          <w:rFonts w:ascii="Times New Roman" w:cs="Times New Roman" w:eastAsia="Times New Roman" w:hAnsi="Times New Roman"/>
          <w:sz w:val="18"/>
          <w:szCs w:val="18"/>
          <w:b w:val="1"/>
          <w:bCs w:val="1"/>
          <w:color w:val="auto"/>
        </w:rPr>
      </w:pPr>
    </w:p>
    <w:p>
      <w:pPr>
        <w:ind w:left="1460" w:hanging="306"/>
        <w:spacing w:after="0"/>
        <w:tabs>
          <w:tab w:leader="none" w:pos="1460" w:val="left"/>
        </w:tabs>
        <w:numPr>
          <w:ilvl w:val="1"/>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18 months following the date of such termination if such termination is due to the Participant’s death; or</w:t>
      </w:r>
    </w:p>
    <w:p>
      <w:pPr>
        <w:spacing w:after="0" w:line="103" w:lineRule="exact"/>
        <w:rPr>
          <w:rFonts w:ascii="Times New Roman" w:cs="Times New Roman" w:eastAsia="Times New Roman" w:hAnsi="Times New Roman"/>
          <w:sz w:val="18"/>
          <w:szCs w:val="18"/>
          <w:b w:val="1"/>
          <w:bCs w:val="1"/>
          <w:color w:val="auto"/>
        </w:rPr>
      </w:pPr>
    </w:p>
    <w:p>
      <w:pPr>
        <w:ind w:right="460" w:firstLine="1154"/>
        <w:spacing w:after="0" w:line="266" w:lineRule="auto"/>
        <w:tabs>
          <w:tab w:leader="none" w:pos="1450" w:val="left"/>
        </w:tabs>
        <w:numPr>
          <w:ilvl w:val="1"/>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18 months following the date of the Participant’s death if such death occurs following the date of such termination but during the period such Award is otherwise exercisable (as provided in (i) or (ii) above).</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Following the date of such termination, to the extent the Participant does not exercise such Award within the applicable Post-Termination Exercise Period (or, if earlier, prior to the expiration of the maximum term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161925</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2" w:right="379" w:bottom="1440" w:gutter="0" w:footer="0" w:header="0"/>
        </w:sectPr>
      </w:pPr>
    </w:p>
    <w:bookmarkStart w:id="151" w:name="page152"/>
    <w:bookmarkEnd w:id="151"/>
    <w:p>
      <w:pPr>
        <w:ind w:right="260"/>
        <w:spacing w:after="0" w:line="282" w:lineRule="auto"/>
        <w:rPr>
          <w:sz w:val="20"/>
          <w:szCs w:val="20"/>
          <w:color w:val="auto"/>
        </w:rPr>
      </w:pPr>
      <w:r>
        <w:rPr>
          <w:rFonts w:ascii="Times New Roman" w:cs="Times New Roman" w:eastAsia="Times New Roman" w:hAnsi="Times New Roman"/>
          <w:sz w:val="18"/>
          <w:szCs w:val="18"/>
          <w:color w:val="auto"/>
        </w:rPr>
        <w:t>Award), such unexercised portion of the Award will terminate, and the Participant will have no further right, title or interest in the terminated Award, the shares of Common Stock subject to the terminated Award, or any consideration in respect of the terminated Award.</w:t>
      </w:r>
    </w:p>
    <w:p>
      <w:pPr>
        <w:spacing w:after="0" w:line="36" w:lineRule="exact"/>
        <w:rPr>
          <w:sz w:val="20"/>
          <w:szCs w:val="20"/>
          <w:color w:val="auto"/>
        </w:rPr>
      </w:pPr>
    </w:p>
    <w:p>
      <w:pPr>
        <w:ind w:firstLine="517"/>
        <w:spacing w:after="0" w:line="244" w:lineRule="auto"/>
        <w:tabs>
          <w:tab w:leader="none" w:pos="724" w:val="left"/>
        </w:tabs>
        <w:numPr>
          <w:ilvl w:val="1"/>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Restrictions on Exercise; Extension of Exercisability. </w:t>
      </w:r>
      <w:r>
        <w:rPr>
          <w:rFonts w:ascii="Times New Roman" w:cs="Times New Roman" w:eastAsia="Times New Roman" w:hAnsi="Times New Roman"/>
          <w:sz w:val="18"/>
          <w:szCs w:val="18"/>
          <w:color w:val="auto"/>
        </w:rPr>
        <w:t>A Participant may not exercise an Option or SAR at any time that the issuance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Common Stock upon such exercise would violate Applicable Law. Except as otherwise provided in the Award Agreement or other written agreement between a Participant and the Company or an Affiliate, if a Participant’s Continuous Service terminates for any reason other than for Cause and, at any time during the last thirty days of the applicable Post-Termination Exercise Period: (i) the exercise of the Participant’s Option or SAR would be prohibited solely because the issuance of shares of Common Stock upon such exercise would violate Applicable Law, or (ii) the immediate sale of any shares of Common Stock issued upon such exercise would violate the Company’s Trading Policy, then the applicable Post-Termination Exercise Period will be extended to the last day of the calendar month that commences following the date the Award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provided, however, that in no event may such Award be exercised after the expiration of its maximum term (as set forth in Section 4(a)).</w:t>
      </w:r>
    </w:p>
    <w:p>
      <w:pPr>
        <w:spacing w:after="0" w:line="69" w:lineRule="exact"/>
        <w:rPr>
          <w:rFonts w:ascii="Times New Roman" w:cs="Times New Roman" w:eastAsia="Times New Roman" w:hAnsi="Times New Roman"/>
          <w:sz w:val="18"/>
          <w:szCs w:val="18"/>
          <w:b w:val="1"/>
          <w:bCs w:val="1"/>
          <w:color w:val="auto"/>
        </w:rPr>
      </w:pPr>
    </w:p>
    <w:p>
      <w:pPr>
        <w:ind w:right="60" w:firstLine="517"/>
        <w:spacing w:after="0" w:line="244" w:lineRule="auto"/>
        <w:tabs>
          <w:tab w:leader="none" w:pos="734" w:val="left"/>
        </w:tabs>
        <w:numPr>
          <w:ilvl w:val="1"/>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Non-Exempt Employees. </w:t>
      </w:r>
      <w:r>
        <w:rPr>
          <w:rFonts w:ascii="Times New Roman" w:cs="Times New Roman" w:eastAsia="Times New Roman" w:hAnsi="Times New Roman"/>
          <w:sz w:val="18"/>
          <w:szCs w:val="18"/>
          <w:color w:val="auto"/>
        </w:rPr>
        <w:t>No Option or SAR, whether or not vested, granted to an Employee who is a non-exempt employee for purposes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Fair Labor Standards Act of 1938, as amended, will be first exercisable for any shares of Common Stock until at least six months following the date of grant of such Award. Notwithstanding the foregoing, in accordance with the provisions of the Worker Economic Opportunity Act, any vested portion of such Award may be exercised earlier than six months following the date of grant of such Award in the event of (i) such Participant’s death or Disability, (ii) a Corporate Transaction in which such Award is not assumed, continued or substituted, (iii) a Change in Control, or (iv) such Participant’s retirement (as such term may be defined in the Award Agreement or another applicable agreement or, in the absence of any such definition, in accordance with the Company’s then current employment policies and guidelines). This Section 4(j) is intended to operate so that any income derived by a non-exempt employee in connection with the exercise or vesting of an Option or SAR will be exempt from his or her regular rate of pay.</w:t>
      </w:r>
    </w:p>
    <w:p>
      <w:pPr>
        <w:spacing w:after="0" w:line="85" w:lineRule="exact"/>
        <w:rPr>
          <w:rFonts w:ascii="Times New Roman" w:cs="Times New Roman" w:eastAsia="Times New Roman" w:hAnsi="Times New Roman"/>
          <w:sz w:val="18"/>
          <w:szCs w:val="18"/>
          <w:b w:val="1"/>
          <w:bCs w:val="1"/>
          <w:color w:val="auto"/>
        </w:rPr>
      </w:pPr>
    </w:p>
    <w:p>
      <w:pPr>
        <w:ind w:left="780" w:hanging="263"/>
        <w:spacing w:after="0"/>
        <w:tabs>
          <w:tab w:leader="none" w:pos="780" w:val="left"/>
        </w:tabs>
        <w:numPr>
          <w:ilvl w:val="1"/>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Whole Shares. </w:t>
      </w:r>
      <w:r>
        <w:rPr>
          <w:rFonts w:ascii="Times New Roman" w:cs="Times New Roman" w:eastAsia="Times New Roman" w:hAnsi="Times New Roman"/>
          <w:sz w:val="18"/>
          <w:szCs w:val="18"/>
          <w:color w:val="auto"/>
        </w:rPr>
        <w:t>Options and SARs may be exercised only with respect to whole shares of Common Stock or their equivalents.</w:t>
      </w:r>
    </w:p>
    <w:p>
      <w:pPr>
        <w:spacing w:after="0" w:line="238" w:lineRule="exact"/>
        <w:rPr>
          <w:rFonts w:ascii="Times New Roman" w:cs="Times New Roman" w:eastAsia="Times New Roman" w:hAnsi="Times New Roman"/>
          <w:sz w:val="18"/>
          <w:szCs w:val="18"/>
          <w:b w:val="1"/>
          <w:bCs w:val="1"/>
          <w:color w:val="auto"/>
        </w:rPr>
      </w:pPr>
    </w:p>
    <w:p>
      <w:pPr>
        <w:ind w:left="480" w:hanging="459"/>
        <w:spacing w:after="0"/>
        <w:tabs>
          <w:tab w:leader="none" w:pos="48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3"/>
          <w:szCs w:val="13"/>
          <w:b w:val="1"/>
          <w:bCs w:val="1"/>
          <w:color w:val="auto"/>
        </w:rPr>
        <w:t>WARDS</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3"/>
          <w:szCs w:val="13"/>
          <w:b w:val="1"/>
          <w:bCs w:val="1"/>
          <w:color w:val="auto"/>
        </w:rPr>
        <w:t>THER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3"/>
          <w:szCs w:val="13"/>
          <w:b w:val="1"/>
          <w:bCs w:val="1"/>
          <w:color w:val="auto"/>
        </w:rPr>
        <w:t>HAN</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3"/>
          <w:szCs w:val="13"/>
          <w:b w:val="1"/>
          <w:bCs w:val="1"/>
          <w:color w:val="auto"/>
        </w:rPr>
        <w:t>PTIONS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3"/>
          <w:szCs w:val="13"/>
          <w:b w:val="1"/>
          <w:bCs w:val="1"/>
          <w:color w:val="auto"/>
        </w:rPr>
        <w:t>PPRECIATION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3"/>
          <w:szCs w:val="13"/>
          <w:b w:val="1"/>
          <w:bCs w:val="1"/>
          <w:color w:val="auto"/>
        </w:rPr>
        <w:t>IGHTS</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right="100" w:firstLine="517"/>
        <w:spacing w:after="0" w:line="260" w:lineRule="auto"/>
        <w:tabs>
          <w:tab w:leader="none" w:pos="764" w:val="left"/>
        </w:tabs>
        <w:numPr>
          <w:ilvl w:val="1"/>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Restricted Stock Awards and RSU Awards. </w:t>
      </w:r>
      <w:r>
        <w:rPr>
          <w:rFonts w:ascii="Times New Roman" w:cs="Times New Roman" w:eastAsia="Times New Roman" w:hAnsi="Times New Roman"/>
          <w:sz w:val="18"/>
          <w:szCs w:val="18"/>
          <w:color w:val="auto"/>
        </w:rPr>
        <w:t>Each Restricted Stock Award and RSU Award will have such terms and conditions as determined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Board; provided, however, that each Restricted Stock Award Agreement and RSU Award Agreement will conform (through incorporation of the provisions hereof by reference in the Award Agreement or otherwise) to the substance of each of the following provisions:</w:t>
      </w:r>
    </w:p>
    <w:p>
      <w:pPr>
        <w:spacing w:after="0" w:line="56" w:lineRule="exact"/>
        <w:rPr>
          <w:rFonts w:ascii="Times New Roman" w:cs="Times New Roman" w:eastAsia="Times New Roman" w:hAnsi="Times New Roman"/>
          <w:sz w:val="18"/>
          <w:szCs w:val="18"/>
          <w:b w:val="1"/>
          <w:bCs w:val="1"/>
          <w:color w:val="auto"/>
        </w:rPr>
      </w:pPr>
    </w:p>
    <w:p>
      <w:pPr>
        <w:ind w:left="1360" w:hanging="206"/>
        <w:spacing w:after="0"/>
        <w:tabs>
          <w:tab w:leader="none" w:pos="1360" w:val="left"/>
        </w:tabs>
        <w:numPr>
          <w:ilvl w:val="2"/>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Form of Award.</w:t>
      </w:r>
    </w:p>
    <w:p>
      <w:pPr>
        <w:spacing w:after="0" w:line="121" w:lineRule="exact"/>
        <w:rPr>
          <w:rFonts w:ascii="Times New Roman" w:cs="Times New Roman" w:eastAsia="Times New Roman" w:hAnsi="Times New Roman"/>
          <w:sz w:val="18"/>
          <w:szCs w:val="18"/>
          <w:b w:val="1"/>
          <w:bCs w:val="1"/>
          <w:color w:val="auto"/>
        </w:rPr>
      </w:pPr>
    </w:p>
    <w:p>
      <w:pPr>
        <w:ind w:right="20" w:firstLine="1663"/>
        <w:spacing w:after="0" w:line="246" w:lineRule="auto"/>
        <w:tabs>
          <w:tab w:leader="none" w:pos="1909" w:val="left"/>
        </w:tabs>
        <w:numPr>
          <w:ilvl w:val="3"/>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Restricted Stock Awards: To the extent consistent with the Company’s Bylaws, at the Board’s election, shares of Common Stock subject to a Restricted Stock Award may be (A) held in book entry form subject to the Company’s instructions until such shares become vested or any other restrictions lapse, or (B) evidenced by a certificate, which certificate will be held in such form and manner as determined by the Board. Unless otherwise determined by the Board, a Participant will have voting and other rights as a stockholder of the Company with respect to any shares subject to a Restricted Stock Award.</w:t>
      </w:r>
    </w:p>
    <w:p>
      <w:pPr>
        <w:spacing w:after="0" w:line="73" w:lineRule="exact"/>
        <w:rPr>
          <w:rFonts w:ascii="Times New Roman" w:cs="Times New Roman" w:eastAsia="Times New Roman" w:hAnsi="Times New Roman"/>
          <w:sz w:val="18"/>
          <w:szCs w:val="18"/>
          <w:b w:val="1"/>
          <w:bCs w:val="1"/>
          <w:color w:val="auto"/>
        </w:rPr>
      </w:pPr>
    </w:p>
    <w:p>
      <w:pPr>
        <w:ind w:right="20" w:firstLine="1663"/>
        <w:spacing w:after="0" w:line="247" w:lineRule="auto"/>
        <w:tabs>
          <w:tab w:leader="none" w:pos="1909" w:val="left"/>
        </w:tabs>
        <w:numPr>
          <w:ilvl w:val="3"/>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RSU Awards: An RSU Award represents a Participant’s right to be issued on a future date the number of shares of Common Stock that is equal to the number of restricted stock units subject to the RSU Award. As a holder of an RSU Award, a Participant is an unsecured creditor of the Company with respect to the Company’s unfunded obligation, if any, to issue shares of Common Stock in settlement of such Award and nothing contained in the Plan or any RSU Agreement, and no action taken pursuant to its provisions, will create or be construed to create a trust of any kind or a fiduciary relationship between a Participant and the Company or an Affiliate or any other person. A Participant will not have voting or any other rights as a stockholder of the Company with respect to any RSU Award (unless and until shares are actually issued in settlement of a vested RSU Award).</w:t>
      </w:r>
    </w:p>
    <w:p>
      <w:pPr>
        <w:spacing w:after="0" w:line="67" w:lineRule="exact"/>
        <w:rPr>
          <w:rFonts w:ascii="Times New Roman" w:cs="Times New Roman" w:eastAsia="Times New Roman" w:hAnsi="Times New Roman"/>
          <w:sz w:val="18"/>
          <w:szCs w:val="18"/>
          <w:b w:val="1"/>
          <w:bCs w:val="1"/>
          <w:color w:val="auto"/>
        </w:rPr>
      </w:pPr>
    </w:p>
    <w:p>
      <w:pPr>
        <w:ind w:left="1420" w:hanging="266"/>
        <w:spacing w:after="0"/>
        <w:tabs>
          <w:tab w:leader="none" w:pos="1420" w:val="left"/>
        </w:tabs>
        <w:numPr>
          <w:ilvl w:val="2"/>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204470</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52" w:name="page153"/>
    <w:bookmarkEnd w:id="152"/>
    <w:p>
      <w:pPr>
        <w:ind w:left="-21" w:right="100" w:firstLine="1663"/>
        <w:spacing w:after="0" w:line="258" w:lineRule="auto"/>
        <w:tabs>
          <w:tab w:leader="none" w:pos="1888" w:val="left"/>
        </w:tabs>
        <w:numPr>
          <w:ilvl w:val="2"/>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Restricted Stock Awards: A Restricted Stock Award may be granted in consideration for (A) cash or check, bank draft or money order payable to the Company, (B) services to the Company or an Affiliate, or (C) any other form of consideration as the Board may determine and permissible under Applicable Law.</w:t>
      </w:r>
    </w:p>
    <w:p>
      <w:pPr>
        <w:spacing w:after="0" w:line="61" w:lineRule="exact"/>
        <w:rPr>
          <w:rFonts w:ascii="Times New Roman" w:cs="Times New Roman" w:eastAsia="Times New Roman" w:hAnsi="Times New Roman"/>
          <w:sz w:val="18"/>
          <w:szCs w:val="18"/>
          <w:b w:val="1"/>
          <w:bCs w:val="1"/>
          <w:color w:val="auto"/>
        </w:rPr>
      </w:pPr>
    </w:p>
    <w:p>
      <w:pPr>
        <w:ind w:left="-21" w:firstLine="1663"/>
        <w:spacing w:after="0" w:line="247" w:lineRule="auto"/>
        <w:tabs>
          <w:tab w:leader="none" w:pos="1888" w:val="left"/>
        </w:tabs>
        <w:numPr>
          <w:ilvl w:val="2"/>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RSU Awards: Unless otherwise determined by the Board at the time of grant, an RSU Award will be granted in consideration for the Participant’s services to the Company or an Affiliate, such that the Participant will not be required to make any payment to the Company (other than such services) with respect to the grant or vesting of the RSU Award, or the issuance of any shares of Common Stock pursuant to the RSU Award. If, at the time of grant, the Board determines that any consideration must be paid by the Participant (in a form other than the Participant’s services to the Company or an Affiliate) upon the issuance of any shares of Common Stock in settlement of the RSU Award, such consideration may be paid in any form of consideration as the Board may determine and permissible under Applicable Law.</w:t>
      </w:r>
    </w:p>
    <w:p>
      <w:pPr>
        <w:spacing w:after="0" w:line="67" w:lineRule="exact"/>
        <w:rPr>
          <w:rFonts w:ascii="Times New Roman" w:cs="Times New Roman" w:eastAsia="Times New Roman" w:hAnsi="Times New Roman"/>
          <w:sz w:val="18"/>
          <w:szCs w:val="18"/>
          <w:b w:val="1"/>
          <w:bCs w:val="1"/>
          <w:color w:val="auto"/>
        </w:rPr>
      </w:pPr>
    </w:p>
    <w:p>
      <w:pPr>
        <w:ind w:left="-21" w:right="180" w:firstLine="517"/>
        <w:spacing w:after="0" w:line="260" w:lineRule="auto"/>
        <w:tabs>
          <w:tab w:leader="none" w:pos="802"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The Board may impose such restrictions on or conditions to the vesting of a Restricted Stock Award or RSU Award as determined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Except as otherwise provided in the Award Agreement or other written agreement between a Participant and the Company or an Affiliate, vesting of Restricted Stock Awards and RSU Awards will cease upon termination of the Participant’s Continuous Service.</w:t>
      </w:r>
    </w:p>
    <w:p>
      <w:pPr>
        <w:spacing w:after="0" w:line="56" w:lineRule="exact"/>
        <w:rPr>
          <w:rFonts w:ascii="Times New Roman" w:cs="Times New Roman" w:eastAsia="Times New Roman" w:hAnsi="Times New Roman"/>
          <w:sz w:val="18"/>
          <w:szCs w:val="18"/>
          <w:b w:val="1"/>
          <w:bCs w:val="1"/>
          <w:color w:val="auto"/>
        </w:rPr>
      </w:pPr>
    </w:p>
    <w:p>
      <w:pPr>
        <w:ind w:left="-21" w:right="60" w:firstLine="517"/>
        <w:spacing w:after="0" w:line="244" w:lineRule="auto"/>
        <w:tabs>
          <w:tab w:leader="none" w:pos="792"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of Continuous Service. </w:t>
      </w:r>
      <w:r>
        <w:rPr>
          <w:rFonts w:ascii="Times New Roman" w:cs="Times New Roman" w:eastAsia="Times New Roman" w:hAnsi="Times New Roman"/>
          <w:sz w:val="18"/>
          <w:szCs w:val="18"/>
          <w:color w:val="auto"/>
        </w:rPr>
        <w:t>Except as otherwise provided in the Award Agreement or other written agreement between a Participant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Company or an Affiliate, if a Participant’s Continuous Service terminates for any reason, (1) the Company may receive through a forfeiture condition or a repurchase right any or all of the shares of Common Stock held by the Participant under his or her Restricted Stock Award that have not vested as of the date of such termination as set forth in the Restricted Stock Award Agreement and the Participant will have no further right, title or interest in the Restricted Stock Award, the shares of Common Stock subject to the Restricted Stock Award, or any consideration in respect of the Restricted Stock Award and (2) any portion of his or her RSU Award that has not vested will be forfeited upon such termination and the Participant will have no further right, title or interest in the RSU Award, the shares of Common Stock issuable pursuant to the RSU Award, or any consideration in respect of the RSU Award.</w:t>
      </w:r>
    </w:p>
    <w:p>
      <w:pPr>
        <w:spacing w:after="0" w:line="85" w:lineRule="exact"/>
        <w:rPr>
          <w:rFonts w:ascii="Times New Roman" w:cs="Times New Roman" w:eastAsia="Times New Roman" w:hAnsi="Times New Roman"/>
          <w:sz w:val="18"/>
          <w:szCs w:val="18"/>
          <w:b w:val="1"/>
          <w:bCs w:val="1"/>
          <w:color w:val="auto"/>
        </w:rPr>
      </w:pPr>
    </w:p>
    <w:p>
      <w:pPr>
        <w:ind w:left="-21" w:right="180" w:firstLine="517"/>
        <w:spacing w:after="0" w:line="271" w:lineRule="auto"/>
        <w:tabs>
          <w:tab w:leader="none" w:pos="742"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Dividends and Dividend Equivalents. </w:t>
      </w:r>
      <w:r>
        <w:rPr>
          <w:rFonts w:ascii="Times New Roman" w:cs="Times New Roman" w:eastAsia="Times New Roman" w:hAnsi="Times New Roman"/>
          <w:sz w:val="18"/>
          <w:szCs w:val="18"/>
          <w:color w:val="auto"/>
        </w:rPr>
        <w:t>Dividends or dividend equivalents may be paid or credited, as applicable, with respect to any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subject to a Restricted Stock Award or RSU Award, as determined by the Board and specified in the Award Agreement.</w:t>
      </w:r>
    </w:p>
    <w:p>
      <w:pPr>
        <w:spacing w:after="0" w:line="153" w:lineRule="exact"/>
        <w:rPr>
          <w:rFonts w:ascii="Times New Roman" w:cs="Times New Roman" w:eastAsia="Times New Roman" w:hAnsi="Times New Roman"/>
          <w:sz w:val="18"/>
          <w:szCs w:val="18"/>
          <w:b w:val="1"/>
          <w:bCs w:val="1"/>
          <w:color w:val="auto"/>
        </w:rPr>
      </w:pPr>
    </w:p>
    <w:p>
      <w:pPr>
        <w:ind w:left="-21" w:right="380" w:firstLine="757"/>
        <w:spacing w:after="0" w:line="252" w:lineRule="auto"/>
        <w:tabs>
          <w:tab w:leader="none" w:pos="1032" w:val="left"/>
        </w:tabs>
        <w:numPr>
          <w:ilvl w:val="1"/>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Settlement of RSU Awards</w:t>
      </w:r>
      <w:r>
        <w:rPr>
          <w:rFonts w:ascii="Times New Roman" w:cs="Times New Roman" w:eastAsia="Times New Roman" w:hAnsi="Times New Roman"/>
          <w:sz w:val="18"/>
          <w:szCs w:val="18"/>
          <w:color w:val="auto"/>
        </w:rPr>
        <w:t>. An RSU Award may be settled by the issuance of shares of Common Stock or cash (or any combination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thereof) or in any other form of payment, as determined by the Board and specified in the RSU Award Agreement. At the time of grant, the Board may determine to impose such restrictions or conditions that delay such delivery to a date following the vesting of the RSU Award.</w:t>
      </w:r>
    </w:p>
    <w:p>
      <w:pPr>
        <w:spacing w:after="0" w:line="64" w:lineRule="exact"/>
        <w:rPr>
          <w:sz w:val="20"/>
          <w:szCs w:val="20"/>
          <w:color w:val="auto"/>
        </w:rPr>
      </w:pPr>
    </w:p>
    <w:p>
      <w:pPr>
        <w:ind w:left="-21" w:right="260" w:firstLine="517"/>
        <w:spacing w:after="0" w:line="260" w:lineRule="auto"/>
        <w:tabs>
          <w:tab w:leader="none" w:pos="752" w:val="left"/>
        </w:tabs>
        <w:numPr>
          <w:ilvl w:val="1"/>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Performance Awards</w:t>
      </w:r>
      <w:r>
        <w:rPr>
          <w:rFonts w:ascii="Times New Roman" w:cs="Times New Roman" w:eastAsia="Times New Roman" w:hAnsi="Times New Roman"/>
          <w:sz w:val="18"/>
          <w:szCs w:val="18"/>
          <w:color w:val="auto"/>
        </w:rPr>
        <w:t>. With respect to any Performance Award, the length of any Performance Period, the Performance Goals to be achieved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Performance Period, the other terms and conditions of such Award, and the measure of whether and to what degree such Performance Goals have been attained will be determined by the Board.</w:t>
      </w:r>
    </w:p>
    <w:p>
      <w:pPr>
        <w:spacing w:after="0" w:line="56" w:lineRule="exact"/>
        <w:rPr>
          <w:rFonts w:ascii="Times New Roman" w:cs="Times New Roman" w:eastAsia="Times New Roman" w:hAnsi="Times New Roman"/>
          <w:sz w:val="18"/>
          <w:szCs w:val="18"/>
          <w:b w:val="1"/>
          <w:bCs w:val="1"/>
          <w:color w:val="auto"/>
        </w:rPr>
      </w:pPr>
    </w:p>
    <w:p>
      <w:pPr>
        <w:ind w:left="-21" w:right="20" w:firstLine="517"/>
        <w:spacing w:after="0" w:line="251" w:lineRule="auto"/>
        <w:tabs>
          <w:tab w:leader="none" w:pos="732" w:val="left"/>
        </w:tabs>
        <w:numPr>
          <w:ilvl w:val="1"/>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Awards</w:t>
      </w:r>
      <w:r>
        <w:rPr>
          <w:rFonts w:ascii="Times New Roman" w:cs="Times New Roman" w:eastAsia="Times New Roman" w:hAnsi="Times New Roman"/>
          <w:sz w:val="18"/>
          <w:szCs w:val="18"/>
          <w:color w:val="auto"/>
        </w:rPr>
        <w:t>. Other forms of Awards valued in whole or in part by reference to, or otherwise based on, Common Stock, including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appreciation in value thereof, may be granted either alone or in addition to Awards provided for under Section 4 and the preceding provisions of this Section 5. Subject to the provisions of the Plan, the Board will have sole and complete discretion to determine the persons to whom and the time or times at which such Other Awards will be granted, the number of shares of Common Stock (or the cash equivalent thereof) to be granted pursuant to such Other Awards and all other terms and conditions of such Other Awards.</w:t>
      </w:r>
    </w:p>
    <w:p>
      <w:pPr>
        <w:spacing w:after="0" w:line="200" w:lineRule="exact"/>
        <w:rPr>
          <w:rFonts w:ascii="Times New Roman" w:cs="Times New Roman" w:eastAsia="Times New Roman" w:hAnsi="Times New Roman"/>
          <w:sz w:val="18"/>
          <w:szCs w:val="18"/>
          <w:b w:val="1"/>
          <w:bCs w:val="1"/>
          <w:color w:val="auto"/>
        </w:rPr>
      </w:pPr>
    </w:p>
    <w:p>
      <w:pPr>
        <w:ind w:left="459" w:hanging="459"/>
        <w:spacing w:after="0"/>
        <w:tabs>
          <w:tab w:leader="none" w:pos="459"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3"/>
          <w:szCs w:val="13"/>
          <w:b w:val="1"/>
          <w:bCs w:val="1"/>
          <w:color w:val="auto"/>
        </w:rPr>
        <w:t>DJUSTMENTS</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3"/>
          <w:szCs w:val="13"/>
          <w:b w:val="1"/>
          <w:bCs w:val="1"/>
          <w:color w:val="auto"/>
        </w:rPr>
        <w:t>PON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3"/>
          <w:szCs w:val="13"/>
          <w:b w:val="1"/>
          <w:bCs w:val="1"/>
          <w:color w:val="auto"/>
        </w:rPr>
        <w:t>HANGES IN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3"/>
          <w:szCs w:val="13"/>
          <w:b w:val="1"/>
          <w:bCs w:val="1"/>
          <w:color w:val="auto"/>
        </w:rPr>
        <w:t>OMMON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18"/>
          <w:szCs w:val="18"/>
          <w:b w:val="1"/>
          <w:bCs w:val="1"/>
          <w:color w:val="auto"/>
        </w:rPr>
        <w:t>; O</w:t>
      </w:r>
      <w:r>
        <w:rPr>
          <w:rFonts w:ascii="Times New Roman" w:cs="Times New Roman" w:eastAsia="Times New Roman" w:hAnsi="Times New Roman"/>
          <w:sz w:val="13"/>
          <w:szCs w:val="13"/>
          <w:b w:val="1"/>
          <w:bCs w:val="1"/>
          <w:color w:val="auto"/>
        </w:rPr>
        <w:t>THER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3"/>
          <w:szCs w:val="13"/>
          <w:b w:val="1"/>
          <w:bCs w:val="1"/>
          <w:color w:val="auto"/>
        </w:rPr>
        <w:t>ORPORATE</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3"/>
          <w:szCs w:val="13"/>
          <w:b w:val="1"/>
          <w:bCs w:val="1"/>
          <w:color w:val="auto"/>
        </w:rPr>
        <w:t>VENTS</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21" w:right="20" w:firstLine="517"/>
        <w:spacing w:after="0" w:line="248" w:lineRule="auto"/>
        <w:tabs>
          <w:tab w:leader="none" w:pos="742" w:val="left"/>
        </w:tabs>
        <w:numPr>
          <w:ilvl w:val="1"/>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Capitalization Adjustments</w:t>
      </w:r>
      <w:r>
        <w:rPr>
          <w:rFonts w:ascii="Times New Roman" w:cs="Times New Roman" w:eastAsia="Times New Roman" w:hAnsi="Times New Roman"/>
          <w:sz w:val="18"/>
          <w:szCs w:val="18"/>
          <w:color w:val="auto"/>
        </w:rPr>
        <w:t>. In the event of a Capitalization Adjustment, the Board shall appropriately and proportionately adjust: (i)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class(es) and maximum number of shares of Common Stock subject to the Plan and the maximum number of shares by which the Share Reserve may annually increase pursuant to Section 2(a); (ii) the class(es) and maximum number of shares that may be issued pursuant to the exercise of Incentive Stock Options pursuant to Section 2(b); and (iii) the class(es) and number of securities and exercise price, strike price or purchase price of Common Stock subject to outstanding Awards. The Board shall make such adjustments, and its determination shall be final, binding and conclusive. Notwithstanding the foregoing, no fractional shares or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180975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9"/>
          </w:cols>
          <w:pgMar w:left="341" w:top="432" w:right="339" w:bottom="1440" w:gutter="0" w:footer="0" w:header="0"/>
        </w:sectPr>
      </w:pPr>
    </w:p>
    <w:bookmarkStart w:id="153" w:name="page154"/>
    <w:bookmarkEnd w:id="153"/>
    <w:p>
      <w:pPr>
        <w:ind w:right="320"/>
        <w:spacing w:after="0" w:line="258" w:lineRule="auto"/>
        <w:rPr>
          <w:sz w:val="20"/>
          <w:szCs w:val="20"/>
          <w:color w:val="auto"/>
        </w:rPr>
      </w:pPr>
      <w:r>
        <w:rPr>
          <w:rFonts w:ascii="Times New Roman" w:cs="Times New Roman" w:eastAsia="Times New Roman" w:hAnsi="Times New Roman"/>
          <w:sz w:val="18"/>
          <w:szCs w:val="18"/>
          <w:color w:val="auto"/>
        </w:rPr>
        <w:t>for fractional shares of Common Stock shall be created in order to implement any Capitalization Adjustment. The Board shall determine an appropriate equivalent benefit, if any, for any fractional shares or rights to fractional shares that might be created by the adjustments referred to in the preceding provisions of this Section.</w:t>
      </w:r>
    </w:p>
    <w:p>
      <w:pPr>
        <w:spacing w:after="0" w:line="57" w:lineRule="exact"/>
        <w:rPr>
          <w:sz w:val="20"/>
          <w:szCs w:val="20"/>
          <w:color w:val="auto"/>
        </w:rPr>
      </w:pPr>
    </w:p>
    <w:p>
      <w:pPr>
        <w:ind w:right="60" w:firstLine="517"/>
        <w:spacing w:after="0" w:line="246" w:lineRule="auto"/>
        <w:tabs>
          <w:tab w:leader="none" w:pos="774"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Dissolution or Liquidation. </w:t>
      </w:r>
      <w:r>
        <w:rPr>
          <w:rFonts w:ascii="Times New Roman" w:cs="Times New Roman" w:eastAsia="Times New Roman" w:hAnsi="Times New Roman"/>
          <w:sz w:val="18"/>
          <w:szCs w:val="18"/>
          <w:color w:val="auto"/>
        </w:rPr>
        <w:t>Except as otherwise provided in the Award Agreement, in the event of a dissolution or liquidation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outstanding Awards (other than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Award is providing Continuous Service, provided, however, that the Board may determine to cause some or all Awards to become fully vested, exercisable and/or no longer subject to repurchase or forfeiture (to the extent such Awards have not previously expired or terminated) before the dissolution or liquidation is completed but contingent on its completion.</w:t>
      </w:r>
    </w:p>
    <w:p>
      <w:pPr>
        <w:spacing w:after="0" w:line="175" w:lineRule="exact"/>
        <w:rPr>
          <w:rFonts w:ascii="Times New Roman" w:cs="Times New Roman" w:eastAsia="Times New Roman" w:hAnsi="Times New Roman"/>
          <w:sz w:val="18"/>
          <w:szCs w:val="18"/>
          <w:b w:val="1"/>
          <w:bCs w:val="1"/>
          <w:color w:val="auto"/>
        </w:rPr>
      </w:pPr>
    </w:p>
    <w:p>
      <w:pPr>
        <w:ind w:right="240" w:firstLine="517"/>
        <w:spacing w:after="0" w:line="252" w:lineRule="auto"/>
        <w:tabs>
          <w:tab w:leader="none" w:pos="753"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Corporate Transaction. </w:t>
      </w:r>
      <w:r>
        <w:rPr>
          <w:rFonts w:ascii="Times New Roman" w:cs="Times New Roman" w:eastAsia="Times New Roman" w:hAnsi="Times New Roman"/>
          <w:sz w:val="18"/>
          <w:szCs w:val="18"/>
          <w:color w:val="auto"/>
        </w:rPr>
        <w:t>The following provisions will apply to Awards in the event of a Corporate Transaction, except as set forth in Section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11, unless otherwise provided in the instrument evidencing the Award or any other written agreement between the Company or any Affiliate and the Participant or unless otherwise expressly provided by the Board at the time of grant of an Award.</w:t>
      </w:r>
    </w:p>
    <w:p>
      <w:pPr>
        <w:spacing w:after="0" w:line="76" w:lineRule="exact"/>
        <w:rPr>
          <w:rFonts w:ascii="Times New Roman" w:cs="Times New Roman" w:eastAsia="Times New Roman" w:hAnsi="Times New Roman"/>
          <w:sz w:val="18"/>
          <w:szCs w:val="18"/>
          <w:b w:val="1"/>
          <w:bCs w:val="1"/>
          <w:color w:val="auto"/>
        </w:rPr>
      </w:pPr>
    </w:p>
    <w:p>
      <w:pPr>
        <w:ind w:firstLine="1154"/>
        <w:spacing w:after="0" w:line="244" w:lineRule="auto"/>
        <w:tabs>
          <w:tab w:leader="none" w:pos="1360" w:val="left"/>
        </w:tabs>
        <w:numPr>
          <w:ilvl w:val="1"/>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Awards May Be Assumed. </w:t>
      </w:r>
      <w:r>
        <w:rPr>
          <w:rFonts w:ascii="Times New Roman" w:cs="Times New Roman" w:eastAsia="Times New Roman" w:hAnsi="Times New Roman"/>
          <w:sz w:val="18"/>
          <w:szCs w:val="18"/>
          <w:color w:val="auto"/>
        </w:rPr>
        <w:t>In the event of a Corporate Transaction, any surviving corporation or acquiring corporation (or the surviving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acquiring corporation’s parent company) may assume or continue any or all Awards outstanding under the Plan or may substitute similar awards for Awards outstanding under the Plan (including but not limited to, awards to acquire the same consideration paid to the stockholders of the Company pursuant to the Corporate Transaction), and any reacquisition or repurchase rights held by the Company in respect of Common Stock issued pursuant to Awards may be assigned by the Company to the successor of the Company (or the successor’s parent company, if any), in connection with such Corporate Transaction. A surviving corporation or acquiring corporation (or its parent) may choose to assume or continue only a portion of an Award or substitute a similar award for only a portion of an Award, or may choose to assume or continue the Awards held by some, but not all Participants. The terms of any assumption, continuation or substitution will be set by the Board.</w:t>
      </w:r>
    </w:p>
    <w:p>
      <w:pPr>
        <w:spacing w:after="0" w:line="71" w:lineRule="exact"/>
        <w:rPr>
          <w:rFonts w:ascii="Times New Roman" w:cs="Times New Roman" w:eastAsia="Times New Roman" w:hAnsi="Times New Roman"/>
          <w:sz w:val="18"/>
          <w:szCs w:val="18"/>
          <w:b w:val="1"/>
          <w:bCs w:val="1"/>
          <w:color w:val="auto"/>
        </w:rPr>
      </w:pPr>
    </w:p>
    <w:p>
      <w:pPr>
        <w:ind w:firstLine="1154"/>
        <w:spacing w:after="0" w:line="242" w:lineRule="auto"/>
        <w:tabs>
          <w:tab w:leader="none" w:pos="1410" w:val="left"/>
        </w:tabs>
        <w:numPr>
          <w:ilvl w:val="1"/>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Awards Held by Current Participants. </w:t>
      </w:r>
      <w:r>
        <w:rPr>
          <w:rFonts w:ascii="Times New Roman" w:cs="Times New Roman" w:eastAsia="Times New Roman" w:hAnsi="Times New Roman"/>
          <w:sz w:val="18"/>
          <w:szCs w:val="18"/>
          <w:color w:val="auto"/>
        </w:rPr>
        <w:t>In the event of a Corporate Transaction in which the surviving corporation or acquiring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(or its parent company) does not assume or continue such outstanding Awards or substitute similar awards for such outstanding Awards, then with respect to Awards that have not been assumed, continued or substituted and that are held by Participants whose Continuous Service has not terminated prior to the effective time of the Corporate Transaction (referred to as the “</w:t>
      </w:r>
      <w:r>
        <w:rPr>
          <w:rFonts w:ascii="Times New Roman" w:cs="Times New Roman" w:eastAsia="Times New Roman" w:hAnsi="Times New Roman"/>
          <w:sz w:val="18"/>
          <w:szCs w:val="18"/>
          <w:b w:val="1"/>
          <w:bCs w:val="1"/>
          <w:i w:val="1"/>
          <w:iCs w:val="1"/>
          <w:color w:val="auto"/>
        </w:rPr>
        <w:t>Current Participants</w:t>
      </w:r>
      <w:r>
        <w:rPr>
          <w:rFonts w:ascii="Times New Roman" w:cs="Times New Roman" w:eastAsia="Times New Roman" w:hAnsi="Times New Roman"/>
          <w:sz w:val="18"/>
          <w:szCs w:val="18"/>
          <w:color w:val="auto"/>
        </w:rPr>
        <w:t>”), the vesting of such Awards (and, with respect to Options and Stock Appreciation Rights, the time when such Awards may be exercised) will be accelerated in full to a date prior to the effective time of such Corporate Transaction (contingent upon the effectiveness of the Corporate Transaction) as the Board determines (or, if the Board does not determine such a date, to the date that is five days prior to the effective time of the Corporate Transaction), and such Awards will terminate if not exercised (if applicable) at or prior to the effective time of the Corporate Transaction, and any reacquisition or repurchase rights held by the Company with respect to such Awards will lapse (contingent upon the effectiveness of the Corporate Transaction). With respect to the vesting of Performance Awards that will accelerate upon the occurrence of a Corporate Transaction pursuant to this subsection (ii) and that have multiple vesting levels depending on the level of performance, unless otherwise provided in the Award Agreement, the vesting of such Performance Awards will accelerate at 100% of the target level upon the occurrence of the Corporate Transaction in which the Awards are not assumed, continued or substituted in accordance with Section 6(c)(i). With respect to the vesting of Awards that will accelerate upon the occurrence of a Corporate Transaction pursuant to this subsection (ii) and are settled in the form of a cash payment, such cash payment will be made no later than 30 days following the occurrence of the Corporate Transaction or such later date as required to comply with Section 409A of the Code.</w:t>
      </w:r>
    </w:p>
    <w:p>
      <w:pPr>
        <w:spacing w:after="0" w:line="176" w:lineRule="exact"/>
        <w:rPr>
          <w:rFonts w:ascii="Times New Roman" w:cs="Times New Roman" w:eastAsia="Times New Roman" w:hAnsi="Times New Roman"/>
          <w:sz w:val="18"/>
          <w:szCs w:val="18"/>
          <w:b w:val="1"/>
          <w:bCs w:val="1"/>
          <w:color w:val="auto"/>
        </w:rPr>
      </w:pPr>
    </w:p>
    <w:p>
      <w:pPr>
        <w:ind w:right="200" w:firstLine="1154"/>
        <w:spacing w:after="0" w:line="248" w:lineRule="auto"/>
        <w:tabs>
          <w:tab w:leader="none" w:pos="1460" w:val="left"/>
        </w:tabs>
        <w:numPr>
          <w:ilvl w:val="1"/>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Awards Held by Persons other than Current Participants. </w:t>
      </w:r>
      <w:r>
        <w:rPr>
          <w:rFonts w:ascii="Times New Roman" w:cs="Times New Roman" w:eastAsia="Times New Roman" w:hAnsi="Times New Roman"/>
          <w:sz w:val="18"/>
          <w:szCs w:val="18"/>
          <w:color w:val="auto"/>
        </w:rPr>
        <w:t>In the event of a Corporate Transaction in which the surviving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or acquiring corporation (or its parent company) does not assume or continue such outstanding Awards or substitute similar awards for such outstanding Awards, then with respect to Awards that have not been assumed, continued or substituted and that are held by persons other than Current Participants, such Awards will terminate if not exercised (if applicable) prior to the occurrence of the Corporate Transaction; provided, however, that any reacquisition or repurchase rights held by the Company with respect to such Awards will not terminate and may continue to be exercised notwithstanding the Corporate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54" w:name="page155"/>
    <w:bookmarkEnd w:id="154"/>
    <w:p>
      <w:pPr>
        <w:ind w:left="-21" w:right="160" w:firstLine="1154"/>
        <w:spacing w:after="0" w:line="251" w:lineRule="auto"/>
        <w:tabs>
          <w:tab w:leader="none" w:pos="1429" w:val="left"/>
        </w:tabs>
        <w:numPr>
          <w:ilvl w:val="2"/>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Payment for Awards in Lieu of Exercise. </w:t>
      </w:r>
      <w:r>
        <w:rPr>
          <w:rFonts w:ascii="Times New Roman" w:cs="Times New Roman" w:eastAsia="Times New Roman" w:hAnsi="Times New Roman"/>
          <w:sz w:val="18"/>
          <w:szCs w:val="18"/>
          <w:color w:val="auto"/>
        </w:rPr>
        <w:t>Notwithstanding the foregoing, in the event an Award will terminate if not exercised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effective time of a Corporate Transaction, the Board may provide, in its sole discretion, that the holder of such Award may not exercise such Award but will receive a payment, in such form as may be determined by the Board, equal in value, at the effective time, to the excess, if any, of (1) the value of the property the Participant would have received upon the exercise of the Award (including, at the discretion of the Board, any unvested portion of such Award), over (2) any exercise price payable by such holder in connection with such exercise.</w:t>
      </w:r>
    </w:p>
    <w:p>
      <w:pPr>
        <w:spacing w:after="0" w:line="65" w:lineRule="exact"/>
        <w:rPr>
          <w:rFonts w:ascii="Times New Roman" w:cs="Times New Roman" w:eastAsia="Times New Roman" w:hAnsi="Times New Roman"/>
          <w:sz w:val="18"/>
          <w:szCs w:val="18"/>
          <w:b w:val="1"/>
          <w:bCs w:val="1"/>
          <w:color w:val="auto"/>
        </w:rPr>
      </w:pPr>
    </w:p>
    <w:p>
      <w:pPr>
        <w:ind w:left="-21" w:right="200" w:firstLine="517"/>
        <w:spacing w:after="0" w:line="252" w:lineRule="auto"/>
        <w:tabs>
          <w:tab w:leader="none" w:pos="752" w:val="left"/>
        </w:tabs>
        <w:numPr>
          <w:ilvl w:val="1"/>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Appointment of Stockholder Representative. </w:t>
      </w:r>
      <w:r>
        <w:rPr>
          <w:rFonts w:ascii="Times New Roman" w:cs="Times New Roman" w:eastAsia="Times New Roman" w:hAnsi="Times New Roman"/>
          <w:sz w:val="18"/>
          <w:szCs w:val="18"/>
          <w:color w:val="auto"/>
        </w:rPr>
        <w:t>As a condition to the receipt of an Award under this Plan, a Participant will be deemed to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agreed that the Award will be subject to the terms of any agreement governing a Corporate Transaction involving the Company, including, without limitation, a provision for the appointment of a stockholder representative that is authorized to act on the Participant’s behalf with respect to any escrow, indemnities and any contingent consideration.</w:t>
      </w:r>
    </w:p>
    <w:p>
      <w:pPr>
        <w:spacing w:after="0" w:line="62" w:lineRule="exact"/>
        <w:rPr>
          <w:rFonts w:ascii="Times New Roman" w:cs="Times New Roman" w:eastAsia="Times New Roman" w:hAnsi="Times New Roman"/>
          <w:sz w:val="18"/>
          <w:szCs w:val="18"/>
          <w:b w:val="1"/>
          <w:bCs w:val="1"/>
          <w:color w:val="auto"/>
        </w:rPr>
      </w:pPr>
    </w:p>
    <w:p>
      <w:pPr>
        <w:ind w:left="-21" w:firstLine="517"/>
        <w:spacing w:after="0" w:line="248" w:lineRule="auto"/>
        <w:tabs>
          <w:tab w:leader="none" w:pos="732" w:val="left"/>
        </w:tabs>
        <w:numPr>
          <w:ilvl w:val="1"/>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Restriction on Right to Undertake Transactions. </w:t>
      </w:r>
      <w:r>
        <w:rPr>
          <w:rFonts w:ascii="Times New Roman" w:cs="Times New Roman" w:eastAsia="Times New Roman" w:hAnsi="Times New Roman"/>
          <w:sz w:val="18"/>
          <w:szCs w:val="18"/>
          <w:color w:val="auto"/>
        </w:rPr>
        <w:t>The grant of any Award under the Plan and the issuance of shares pursuant to any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does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rights or options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201" w:lineRule="exact"/>
        <w:rPr>
          <w:rFonts w:ascii="Times New Roman" w:cs="Times New Roman" w:eastAsia="Times New Roman" w:hAnsi="Times New Roman"/>
          <w:sz w:val="18"/>
          <w:szCs w:val="18"/>
          <w:b w:val="1"/>
          <w:bCs w:val="1"/>
          <w:color w:val="auto"/>
        </w:rPr>
      </w:pPr>
    </w:p>
    <w:p>
      <w:pPr>
        <w:ind w:left="459" w:hanging="459"/>
        <w:spacing w:after="0"/>
        <w:tabs>
          <w:tab w:leader="none" w:pos="459"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3"/>
          <w:szCs w:val="13"/>
          <w:b w:val="1"/>
          <w:bCs w:val="1"/>
          <w:color w:val="auto"/>
        </w:rPr>
        <w:t>DMINISTRATION</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21" w:right="20" w:firstLine="517"/>
        <w:spacing w:after="0" w:line="286" w:lineRule="auto"/>
        <w:tabs>
          <w:tab w:leader="none" w:pos="742" w:val="left"/>
        </w:tabs>
        <w:numPr>
          <w:ilvl w:val="1"/>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Administration by Board. </w:t>
      </w:r>
      <w:r>
        <w:rPr>
          <w:rFonts w:ascii="Times New Roman" w:cs="Times New Roman" w:eastAsia="Times New Roman" w:hAnsi="Times New Roman"/>
          <w:sz w:val="18"/>
          <w:szCs w:val="18"/>
          <w:color w:val="auto"/>
        </w:rPr>
        <w:t>The Board will administer the Plan unless and until the Board delegates administration of the Plan to a Committee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Committees, as provided in subsection (c) below.</w:t>
      </w:r>
    </w:p>
    <w:p>
      <w:pPr>
        <w:spacing w:after="0" w:line="33" w:lineRule="exact"/>
        <w:rPr>
          <w:rFonts w:ascii="Times New Roman" w:cs="Times New Roman" w:eastAsia="Times New Roman" w:hAnsi="Times New Roman"/>
          <w:sz w:val="18"/>
          <w:szCs w:val="18"/>
          <w:b w:val="1"/>
          <w:bCs w:val="1"/>
          <w:color w:val="auto"/>
        </w:rPr>
      </w:pPr>
    </w:p>
    <w:p>
      <w:pPr>
        <w:ind w:left="759" w:hanging="263"/>
        <w:spacing w:after="0"/>
        <w:tabs>
          <w:tab w:leader="none" w:pos="759" w:val="left"/>
        </w:tabs>
        <w:numPr>
          <w:ilvl w:val="1"/>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Powers of Board. </w:t>
      </w:r>
      <w:r>
        <w:rPr>
          <w:rFonts w:ascii="Times New Roman" w:cs="Times New Roman" w:eastAsia="Times New Roman" w:hAnsi="Times New Roman"/>
          <w:sz w:val="18"/>
          <w:szCs w:val="18"/>
          <w:color w:val="auto"/>
        </w:rPr>
        <w:t>The Board will have the power, subject to, and within the limitations of, the express provisions of the Plan:</w:t>
      </w:r>
    </w:p>
    <w:p>
      <w:pPr>
        <w:spacing w:after="0" w:line="107" w:lineRule="exact"/>
        <w:rPr>
          <w:rFonts w:ascii="Times New Roman" w:cs="Times New Roman" w:eastAsia="Times New Roman" w:hAnsi="Times New Roman"/>
          <w:sz w:val="18"/>
          <w:szCs w:val="18"/>
          <w:b w:val="1"/>
          <w:bCs w:val="1"/>
          <w:color w:val="auto"/>
        </w:rPr>
      </w:pPr>
    </w:p>
    <w:p>
      <w:pPr>
        <w:ind w:left="-21" w:right="140" w:firstLine="1154"/>
        <w:spacing w:after="0" w:line="247" w:lineRule="auto"/>
        <w:tabs>
          <w:tab w:leader="none" w:pos="1339" w:val="left"/>
        </w:tabs>
        <w:numPr>
          <w:ilvl w:val="2"/>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determine from time to time (1) which of the persons eligible under the Plan will be granted Awards; (2) when and how each Award will be granted; (3) what type or combination of types of Award will be granted; (4) the provisions of each Award granted (which need not be identical), including the time or times when a person will be permitted to receive an issuance of Common Stock or other payment pursuant to an Award; (5) the number of shares of Common Stock or cash equivalent with respect to which an Award will be granted to each such person; (6) the Fair Market Value applicable to an Award; and (7) the terms of any Performance Award that is not valued in whole or in part by reference to, or otherwise based on, the Common Stock, including the amount of cash payment or other property that may be earned and the timing of payment.</w:t>
      </w:r>
    </w:p>
    <w:p>
      <w:pPr>
        <w:spacing w:after="0" w:line="71" w:lineRule="exact"/>
        <w:rPr>
          <w:rFonts w:ascii="Times New Roman" w:cs="Times New Roman" w:eastAsia="Times New Roman" w:hAnsi="Times New Roman"/>
          <w:sz w:val="18"/>
          <w:szCs w:val="18"/>
          <w:b w:val="1"/>
          <w:bCs w:val="1"/>
          <w:color w:val="auto"/>
        </w:rPr>
      </w:pPr>
    </w:p>
    <w:p>
      <w:pPr>
        <w:ind w:left="-21" w:right="320" w:firstLine="1154"/>
        <w:spacing w:after="0" w:line="258" w:lineRule="auto"/>
        <w:tabs>
          <w:tab w:leader="none" w:pos="1389" w:val="left"/>
        </w:tabs>
        <w:numPr>
          <w:ilvl w:val="2"/>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construe and interpret the Plan and Awards granted under it, and to establish, amend and revoke rules and regulations for its administration. The Board, in the exercise of this power, may correct any defect, omission or inconsistency in the Plan or in any Award Agreement, in a manner and to the extent it deems necessary or expedient to make the Plan or Award fully effective.</w:t>
      </w:r>
    </w:p>
    <w:p>
      <w:pPr>
        <w:spacing w:after="0" w:line="61" w:lineRule="exact"/>
        <w:rPr>
          <w:rFonts w:ascii="Times New Roman" w:cs="Times New Roman" w:eastAsia="Times New Roman" w:hAnsi="Times New Roman"/>
          <w:sz w:val="18"/>
          <w:szCs w:val="18"/>
          <w:b w:val="1"/>
          <w:bCs w:val="1"/>
          <w:color w:val="auto"/>
        </w:rPr>
      </w:pPr>
    </w:p>
    <w:p>
      <w:pPr>
        <w:ind w:left="1439" w:hanging="306"/>
        <w:spacing w:after="0"/>
        <w:tabs>
          <w:tab w:leader="none" w:pos="1439" w:val="left"/>
        </w:tabs>
        <w:numPr>
          <w:ilvl w:val="2"/>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settle all controversies regarding the Plan and Awards granted under it.</w:t>
      </w:r>
    </w:p>
    <w:p>
      <w:pPr>
        <w:spacing w:after="0" w:line="103" w:lineRule="exact"/>
        <w:rPr>
          <w:rFonts w:ascii="Times New Roman" w:cs="Times New Roman" w:eastAsia="Times New Roman" w:hAnsi="Times New Roman"/>
          <w:sz w:val="18"/>
          <w:szCs w:val="18"/>
          <w:b w:val="1"/>
          <w:bCs w:val="1"/>
          <w:color w:val="auto"/>
        </w:rPr>
      </w:pPr>
    </w:p>
    <w:p>
      <w:pPr>
        <w:ind w:left="-21" w:right="540" w:firstLine="1154"/>
        <w:spacing w:after="0" w:line="282" w:lineRule="auto"/>
        <w:tabs>
          <w:tab w:leader="none" w:pos="1429" w:val="left"/>
        </w:tabs>
        <w:numPr>
          <w:ilvl w:val="2"/>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accelerate the time at which an Award may first be exercised or the time during which an Award or any part thereof will vest, notwithstanding the provisions in the Award Agreement stating the time at which it may first be exercised or the time during which it will vest.</w:t>
      </w:r>
    </w:p>
    <w:p>
      <w:pPr>
        <w:spacing w:after="0" w:line="40" w:lineRule="exact"/>
        <w:rPr>
          <w:rFonts w:ascii="Times New Roman" w:cs="Times New Roman" w:eastAsia="Times New Roman" w:hAnsi="Times New Roman"/>
          <w:sz w:val="18"/>
          <w:szCs w:val="18"/>
          <w:b w:val="1"/>
          <w:bCs w:val="1"/>
          <w:color w:val="auto"/>
        </w:rPr>
      </w:pPr>
    </w:p>
    <w:p>
      <w:pPr>
        <w:jc w:val="both"/>
        <w:ind w:left="-21" w:right="140" w:firstLine="1154"/>
        <w:spacing w:after="0" w:line="250" w:lineRule="auto"/>
        <w:tabs>
          <w:tab w:leader="none" w:pos="1379" w:val="left"/>
        </w:tabs>
        <w:numPr>
          <w:ilvl w:val="2"/>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any Corporate Transaction, for reasons of administrative convenience.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179705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9"/>
          </w:cols>
          <w:pgMar w:left="341" w:top="428" w:right="339" w:bottom="1440" w:gutter="0" w:footer="0" w:header="0"/>
        </w:sectPr>
      </w:pPr>
    </w:p>
    <w:bookmarkStart w:id="155" w:name="page156"/>
    <w:bookmarkEnd w:id="155"/>
    <w:p>
      <w:pPr>
        <w:ind w:left="-517" w:right="240" w:firstLine="1154"/>
        <w:spacing w:after="0" w:line="282" w:lineRule="auto"/>
        <w:tabs>
          <w:tab w:leader="none" w:pos="933" w:val="left"/>
        </w:tabs>
        <w:numPr>
          <w:ilvl w:val="1"/>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suspend or terminate the Plan at any time. Suspension or termination of the Plan will not Materially Impair rights and obligations under any Award granted while the Plan is in effect except with the written consent of the affected Participant.</w:t>
      </w:r>
    </w:p>
    <w:p>
      <w:pPr>
        <w:spacing w:after="0" w:line="38" w:lineRule="exact"/>
        <w:rPr>
          <w:rFonts w:ascii="Times New Roman" w:cs="Times New Roman" w:eastAsia="Times New Roman" w:hAnsi="Times New Roman"/>
          <w:sz w:val="18"/>
          <w:szCs w:val="18"/>
          <w:b w:val="1"/>
          <w:bCs w:val="1"/>
          <w:color w:val="auto"/>
        </w:rPr>
      </w:pPr>
    </w:p>
    <w:p>
      <w:pPr>
        <w:ind w:left="-517" w:right="40" w:firstLine="1154"/>
        <w:spacing w:after="0" w:line="251" w:lineRule="auto"/>
        <w:tabs>
          <w:tab w:leader="none" w:pos="983" w:val="left"/>
        </w:tabs>
        <w:numPr>
          <w:ilvl w:val="1"/>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amend the Plan in any respect the Board deems necessary or advisable; provided, 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stockholder approval will be required for any amendment to the extent required by Applicable Law. Except as provided above, rights under any Award granted before amendment of the Plan will not be Materially Impaired by any amendment of the Plan unless (1) the Company requests the consent of the affected Participant, and (2) such Participant consents in writing.</w:t>
      </w:r>
    </w:p>
    <w:p>
      <w:pPr>
        <w:spacing w:after="0" w:line="67" w:lineRule="exact"/>
        <w:rPr>
          <w:rFonts w:ascii="Times New Roman" w:cs="Times New Roman" w:eastAsia="Times New Roman" w:hAnsi="Times New Roman"/>
          <w:sz w:val="18"/>
          <w:szCs w:val="18"/>
          <w:b w:val="1"/>
          <w:bCs w:val="1"/>
          <w:color w:val="auto"/>
        </w:rPr>
      </w:pPr>
    </w:p>
    <w:p>
      <w:pPr>
        <w:ind w:left="1043" w:hanging="406"/>
        <w:spacing w:after="0"/>
        <w:tabs>
          <w:tab w:leader="none" w:pos="1043" w:val="left"/>
        </w:tabs>
        <w:numPr>
          <w:ilvl w:val="1"/>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submit any amendment to the Plan for stockholder approval.</w:t>
      </w:r>
    </w:p>
    <w:p>
      <w:pPr>
        <w:spacing w:after="0" w:line="117" w:lineRule="exact"/>
        <w:rPr>
          <w:rFonts w:ascii="Times New Roman" w:cs="Times New Roman" w:eastAsia="Times New Roman" w:hAnsi="Times New Roman"/>
          <w:sz w:val="18"/>
          <w:szCs w:val="18"/>
          <w:b w:val="1"/>
          <w:bCs w:val="1"/>
          <w:color w:val="auto"/>
        </w:rPr>
      </w:pPr>
    </w:p>
    <w:p>
      <w:pPr>
        <w:ind w:left="-517" w:firstLine="1154"/>
        <w:spacing w:after="0" w:line="245" w:lineRule="auto"/>
        <w:tabs>
          <w:tab w:leader="none" w:pos="933" w:val="left"/>
        </w:tabs>
        <w:numPr>
          <w:ilvl w:val="1"/>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Participant’s rights under any Award will not be Materially Impaired by any such amendment unless (1) the Company requests the consent of the affected Participant, and (2) such Participant consents in writing.</w:t>
      </w:r>
    </w:p>
    <w:p>
      <w:pPr>
        <w:spacing w:after="0" w:line="180" w:lineRule="exact"/>
        <w:rPr>
          <w:rFonts w:ascii="Times New Roman" w:cs="Times New Roman" w:eastAsia="Times New Roman" w:hAnsi="Times New Roman"/>
          <w:sz w:val="18"/>
          <w:szCs w:val="18"/>
          <w:b w:val="1"/>
          <w:bCs w:val="1"/>
          <w:color w:val="auto"/>
        </w:rPr>
      </w:pPr>
    </w:p>
    <w:p>
      <w:pPr>
        <w:ind w:left="-517" w:right="120" w:firstLine="1154"/>
        <w:spacing w:after="0" w:line="266" w:lineRule="auto"/>
        <w:tabs>
          <w:tab w:leader="none" w:pos="883" w:val="left"/>
        </w:tabs>
        <w:numPr>
          <w:ilvl w:val="1"/>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Generally, to exercise such powers and to perform such acts as the Board deems necessary or expedient to promote the best interests of the Company and that are not in conflict with the provisions of the Plan or Awards.</w:t>
      </w:r>
    </w:p>
    <w:p>
      <w:pPr>
        <w:spacing w:after="0" w:line="67" w:lineRule="exact"/>
        <w:rPr>
          <w:rFonts w:ascii="Times New Roman" w:cs="Times New Roman" w:eastAsia="Times New Roman" w:hAnsi="Times New Roman"/>
          <w:sz w:val="18"/>
          <w:szCs w:val="18"/>
          <w:b w:val="1"/>
          <w:bCs w:val="1"/>
          <w:color w:val="auto"/>
        </w:rPr>
      </w:pPr>
    </w:p>
    <w:p>
      <w:pPr>
        <w:ind w:left="-517" w:right="180" w:firstLine="1154"/>
        <w:spacing w:after="0" w:line="250" w:lineRule="auto"/>
        <w:tabs>
          <w:tab w:leader="none" w:pos="933" w:val="left"/>
        </w:tabs>
        <w:numPr>
          <w:ilvl w:val="1"/>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adopt such procedures and sub-plans as are necessary or appropriate to permit and facilitate participation in the Plan by, or take advantage of specific tax treatment for Awards granted to, Employees, Directors or Consultants who are foreign nationals or employed outside the United States (provided that Board approval will not be necessary for immaterial modifications to the Plan or any Award Agreement to ensure or facilitate compliance with the laws of the relevant foreign jurisdiction).</w:t>
      </w:r>
    </w:p>
    <w:p>
      <w:pPr>
        <w:spacing w:after="0" w:line="69" w:lineRule="exact"/>
        <w:rPr>
          <w:rFonts w:ascii="Times New Roman" w:cs="Times New Roman" w:eastAsia="Times New Roman" w:hAnsi="Times New Roman"/>
          <w:sz w:val="18"/>
          <w:szCs w:val="18"/>
          <w:b w:val="1"/>
          <w:bCs w:val="1"/>
          <w:color w:val="auto"/>
        </w:rPr>
      </w:pPr>
    </w:p>
    <w:p>
      <w:pPr>
        <w:ind w:left="-517" w:right="20" w:firstLine="1154"/>
        <w:spacing w:after="0" w:line="246" w:lineRule="auto"/>
        <w:tabs>
          <w:tab w:leader="none" w:pos="983" w:val="left"/>
        </w:tabs>
        <w:numPr>
          <w:ilvl w:val="1"/>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effect, at any time and from time to time, subject to the consent of any Participant whose Award is Materially Impaired by such action, (1) the reduction of the exercise price (or strike price) of any outstanding Option or SAR; (2) the cancellation of any outstanding Option or SAR and the grant in substitution therefor of (A) a new Option, SAR, Restricted Stock Award, RSU Award or Other Award, under the Plan or another equity plan of the Company, covering the same or a different number of shares of Common Stock, (B) cash and/or (C) other valuable consideration (as determined by the Board); or (3) any other action that is treated as a repricing under generally accepted accounting principles.</w:t>
      </w:r>
    </w:p>
    <w:p>
      <w:pPr>
        <w:spacing w:after="0" w:line="82" w:lineRule="exact"/>
        <w:rPr>
          <w:rFonts w:ascii="Times New Roman" w:cs="Times New Roman" w:eastAsia="Times New Roman" w:hAnsi="Times New Roman"/>
          <w:sz w:val="18"/>
          <w:szCs w:val="18"/>
          <w:b w:val="1"/>
          <w:bCs w:val="1"/>
          <w:color w:val="auto"/>
        </w:rPr>
      </w:pPr>
    </w:p>
    <w:p>
      <w:pPr>
        <w:ind w:left="243" w:hanging="243"/>
        <w:spacing w:after="0"/>
        <w:tabs>
          <w:tab w:leader="none" w:pos="243"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Delegation to Committee.</w:t>
      </w:r>
    </w:p>
    <w:p>
      <w:pPr>
        <w:spacing w:after="0" w:line="103" w:lineRule="exact"/>
        <w:rPr>
          <w:rFonts w:ascii="Times New Roman" w:cs="Times New Roman" w:eastAsia="Times New Roman" w:hAnsi="Times New Roman"/>
          <w:sz w:val="18"/>
          <w:szCs w:val="18"/>
          <w:b w:val="1"/>
          <w:bCs w:val="1"/>
          <w:color w:val="auto"/>
        </w:rPr>
      </w:pPr>
    </w:p>
    <w:p>
      <w:pPr>
        <w:ind w:left="-517" w:right="160" w:firstLine="1154"/>
        <w:spacing w:after="0" w:line="244" w:lineRule="auto"/>
        <w:tabs>
          <w:tab w:leader="none" w:pos="843" w:val="left"/>
        </w:tabs>
        <w:numPr>
          <w:ilvl w:val="1"/>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General. </w:t>
      </w:r>
      <w:r>
        <w:rPr>
          <w:rFonts w:ascii="Times New Roman" w:cs="Times New Roman" w:eastAsia="Times New Roman" w:hAnsi="Times New Roman"/>
          <w:sz w:val="18"/>
          <w:szCs w:val="18"/>
          <w:color w:val="auto"/>
        </w:rPr>
        <w:t>The Board may delegate some or all of the administration of the Plan to a Committee or Committees. If administration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is delegated to a Committee, the Committee will have, in connection with the administration of the Plan, the powers theretofore possessed by the Board that have been delegated to the Committee, including the power to delegate to another Committee or a subcommittee of the 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Each Committee may retain the authority to concurrently administer the Plan with Committee or subcommittee to which it has delegated its authority hereunder and may, at any time, revest in such Committee some or all of the powers previously delegated. The Board may retain the authority to concurrently administer the Plan with any Committee and may, at any time, revest in the Board some or all of the powers previously delegated.</w:t>
      </w:r>
    </w:p>
    <w:p>
      <w:pPr>
        <w:spacing w:after="0" w:line="71" w:lineRule="exact"/>
        <w:rPr>
          <w:rFonts w:ascii="Times New Roman" w:cs="Times New Roman" w:eastAsia="Times New Roman" w:hAnsi="Times New Roman"/>
          <w:sz w:val="18"/>
          <w:szCs w:val="18"/>
          <w:b w:val="1"/>
          <w:bCs w:val="1"/>
          <w:color w:val="auto"/>
        </w:rPr>
      </w:pPr>
    </w:p>
    <w:p>
      <w:pPr>
        <w:ind w:left="-517" w:right="40" w:firstLine="1154"/>
        <w:spacing w:after="0" w:line="252" w:lineRule="auto"/>
        <w:tabs>
          <w:tab w:leader="none" w:pos="893" w:val="left"/>
        </w:tabs>
        <w:numPr>
          <w:ilvl w:val="1"/>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Rule 16b-3 Compliance. </w:t>
      </w:r>
      <w:r>
        <w:rPr>
          <w:rFonts w:ascii="Times New Roman" w:cs="Times New Roman" w:eastAsia="Times New Roman" w:hAnsi="Times New Roman"/>
          <w:sz w:val="18"/>
          <w:szCs w:val="18"/>
          <w:color w:val="auto"/>
        </w:rPr>
        <w:t>To the extent an Award is intended to qualify for the exemption from Section 16(b) of the Exchange Act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available under Rule 16b-3 of the Exchange Act, the Award will be granted by the Board or a Committee that consists solely of two or more Non-Employee Directors, as determined under Rule 16b-3(b)(3) of the Exchange Act and thereafter any action establishing or modifying the terms of the Award will be approved by the Board or a Committee meeting such requirements to the extent necessary for such exemption to remain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178435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432" w:right="339" w:bottom="1440" w:gutter="0" w:footer="0" w:header="0"/>
        </w:sectPr>
      </w:pPr>
    </w:p>
    <w:bookmarkStart w:id="156" w:name="page157"/>
    <w:bookmarkEnd w:id="156"/>
    <w:p>
      <w:pPr>
        <w:ind w:left="-21" w:right="60" w:firstLine="517"/>
        <w:spacing w:after="0" w:line="286" w:lineRule="auto"/>
        <w:tabs>
          <w:tab w:leader="none" w:pos="752" w:val="left"/>
        </w:tabs>
        <w:numPr>
          <w:ilvl w:val="1"/>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Effect of Board’s Decision. </w:t>
      </w:r>
      <w:r>
        <w:rPr>
          <w:rFonts w:ascii="Times New Roman" w:cs="Times New Roman" w:eastAsia="Times New Roman" w:hAnsi="Times New Roman"/>
          <w:sz w:val="18"/>
          <w:szCs w:val="18"/>
          <w:color w:val="auto"/>
        </w:rPr>
        <w:t>All determinations, interpretations and constructions made by the Board or any Committee in good faith will not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review by any person and will be final, binding and conclusive on all persons.</w:t>
      </w:r>
    </w:p>
    <w:p>
      <w:pPr>
        <w:spacing w:after="0" w:line="127" w:lineRule="exact"/>
        <w:rPr>
          <w:rFonts w:ascii="Times New Roman" w:cs="Times New Roman" w:eastAsia="Times New Roman" w:hAnsi="Times New Roman"/>
          <w:sz w:val="18"/>
          <w:szCs w:val="18"/>
          <w:b w:val="1"/>
          <w:bCs w:val="1"/>
          <w:color w:val="auto"/>
        </w:rPr>
      </w:pPr>
    </w:p>
    <w:p>
      <w:pPr>
        <w:ind w:left="-21" w:right="80" w:firstLine="517"/>
        <w:spacing w:after="0" w:line="245" w:lineRule="auto"/>
        <w:tabs>
          <w:tab w:leader="none" w:pos="732" w:val="left"/>
        </w:tabs>
        <w:numPr>
          <w:ilvl w:val="1"/>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Delegation to an Officer. </w:t>
      </w:r>
      <w:r>
        <w:rPr>
          <w:rFonts w:ascii="Times New Roman" w:cs="Times New Roman" w:eastAsia="Times New Roman" w:hAnsi="Times New Roman"/>
          <w:sz w:val="18"/>
          <w:szCs w:val="18"/>
          <w:color w:val="auto"/>
        </w:rPr>
        <w:t>The Board or any Committee may delegate to one or more Officers the authority to do one or both of the following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designate Employees who are not Officers to be recipients of Options and SARs (and, to the extent permitted by Applicable Law, other types of Awards) and, to the extent permitted by Applicable Law, the terms thereof, and (ii) determine the number of shares of Common Stock to be subject to such Awards granted to such Employees; provided, however, that the resolutions or charter adopted by the Board or any Committee evidencing such delegation will specify the total number of shares of Common Stock that may be subject to the Awards granted by such Officer and that such Officer may not grant an Award to himself or herself. Any such Awards will be granted on the applicable form of Award Agreement most recently approved for use by the Board or the Committee, unless otherwise provided in the resolutions approving the delegation authority. Notwithstanding anything to the contrary herein, neither the Board nor any Committee may delegate to an Officer who is acting solely in the capacity of an Officer (and not also as a Director) the authority to determine the Fair Market Value.</w:t>
      </w:r>
    </w:p>
    <w:p>
      <w:pPr>
        <w:spacing w:after="0" w:line="204" w:lineRule="exact"/>
        <w:rPr>
          <w:rFonts w:ascii="Times New Roman" w:cs="Times New Roman" w:eastAsia="Times New Roman" w:hAnsi="Times New Roman"/>
          <w:sz w:val="18"/>
          <w:szCs w:val="18"/>
          <w:b w:val="1"/>
          <w:bCs w:val="1"/>
          <w:color w:val="auto"/>
        </w:rPr>
      </w:pPr>
    </w:p>
    <w:p>
      <w:pPr>
        <w:ind w:left="459" w:hanging="459"/>
        <w:spacing w:after="0"/>
        <w:tabs>
          <w:tab w:leader="none" w:pos="459"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3"/>
          <w:szCs w:val="13"/>
          <w:b w:val="1"/>
          <w:bCs w:val="1"/>
          <w:color w:val="auto"/>
        </w:rPr>
        <w:t>AX</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3"/>
          <w:szCs w:val="13"/>
          <w:b w:val="1"/>
          <w:bCs w:val="1"/>
          <w:color w:val="auto"/>
        </w:rPr>
        <w:t>ITHHOLDING</w:t>
      </w:r>
    </w:p>
    <w:p>
      <w:pPr>
        <w:spacing w:after="0" w:line="117" w:lineRule="exact"/>
        <w:rPr>
          <w:rFonts w:ascii="Times New Roman" w:cs="Times New Roman" w:eastAsia="Times New Roman" w:hAnsi="Times New Roman"/>
          <w:sz w:val="18"/>
          <w:szCs w:val="18"/>
          <w:b w:val="1"/>
          <w:bCs w:val="1"/>
          <w:color w:val="auto"/>
        </w:rPr>
      </w:pPr>
    </w:p>
    <w:p>
      <w:pPr>
        <w:ind w:left="-21" w:right="160" w:firstLine="517"/>
        <w:spacing w:after="0" w:line="248" w:lineRule="auto"/>
        <w:tabs>
          <w:tab w:leader="none" w:pos="742" w:val="left"/>
        </w:tabs>
        <w:numPr>
          <w:ilvl w:val="1"/>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Withholding Authorization. </w:t>
      </w:r>
      <w:r>
        <w:rPr>
          <w:rFonts w:ascii="Times New Roman" w:cs="Times New Roman" w:eastAsia="Times New Roman" w:hAnsi="Times New Roman"/>
          <w:sz w:val="18"/>
          <w:szCs w:val="18"/>
          <w:color w:val="auto"/>
        </w:rPr>
        <w:t>As a condition to acceptance of any Award under the Plan, a Participant authorizes withholding from payroll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other amounts payable to such Participant, and otherwise agrees to make adequate provision for (including), any sums required to satisfy any U.S. federal, state, local and/or foreign tax or social insurance contribution withholding obligations of the Company or an Affiliate, if any, which arise in connection with the exercise, vesting or settlement of such Award, as applicable. Accordingly, a Participant may not be able to exercise an Award even though the Award is vested, and the Company shall have no obligation to issue shares of Common Stock subject to an Award, unless and until such obligations are satisfied.</w:t>
      </w:r>
    </w:p>
    <w:p>
      <w:pPr>
        <w:spacing w:after="0" w:line="66" w:lineRule="exact"/>
        <w:rPr>
          <w:rFonts w:ascii="Times New Roman" w:cs="Times New Roman" w:eastAsia="Times New Roman" w:hAnsi="Times New Roman"/>
          <w:sz w:val="18"/>
          <w:szCs w:val="18"/>
          <w:b w:val="1"/>
          <w:bCs w:val="1"/>
          <w:color w:val="auto"/>
        </w:rPr>
      </w:pPr>
    </w:p>
    <w:p>
      <w:pPr>
        <w:ind w:left="-21" w:right="40" w:firstLine="517"/>
        <w:spacing w:after="0" w:line="265" w:lineRule="auto"/>
        <w:tabs>
          <w:tab w:leader="none" w:pos="752" w:val="left"/>
        </w:tabs>
        <w:numPr>
          <w:ilvl w:val="1"/>
          <w:numId w:val="1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Satisfaction of Withholding Obligation. </w:t>
      </w:r>
      <w:r>
        <w:rPr>
          <w:rFonts w:ascii="Times New Roman" w:cs="Times New Roman" w:eastAsia="Times New Roman" w:hAnsi="Times New Roman"/>
          <w:sz w:val="17"/>
          <w:szCs w:val="17"/>
          <w:color w:val="auto"/>
        </w:rPr>
        <w:t>To the extent permitted by the terms of an Award Agreement, the Company may, in its sole discretion,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satisfy any U.S. federal, state, local and/or foreign tax or social insurance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(iii) withholding cash from an Award settled in cash; (iv) withholding payment from any amounts otherwise payable to the Participant; (v) by allowing a Participant to effectuate a “cashless exercise” pursuant to a program developed under Regulation T as promulgated by the Federal Reserve Board; or (vi) by such other method as may be set forth in the Award Agreement.</w:t>
      </w:r>
    </w:p>
    <w:p>
      <w:pPr>
        <w:spacing w:after="0" w:line="54" w:lineRule="exact"/>
        <w:rPr>
          <w:rFonts w:ascii="Times New Roman" w:cs="Times New Roman" w:eastAsia="Times New Roman" w:hAnsi="Times New Roman"/>
          <w:sz w:val="17"/>
          <w:szCs w:val="17"/>
          <w:b w:val="1"/>
          <w:bCs w:val="1"/>
          <w:color w:val="auto"/>
        </w:rPr>
      </w:pPr>
    </w:p>
    <w:p>
      <w:pPr>
        <w:ind w:left="-21" w:firstLine="517"/>
        <w:spacing w:after="0" w:line="242" w:lineRule="auto"/>
        <w:tabs>
          <w:tab w:leader="none" w:pos="732" w:val="left"/>
        </w:tabs>
        <w:numPr>
          <w:ilvl w:val="1"/>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Obligation to Notify or Minimize Taxes; No Liability to Claims. </w:t>
      </w:r>
      <w:r>
        <w:rPr>
          <w:rFonts w:ascii="Times New Roman" w:cs="Times New Roman" w:eastAsia="Times New Roman" w:hAnsi="Times New Roman"/>
          <w:sz w:val="18"/>
          <w:szCs w:val="18"/>
          <w:color w:val="auto"/>
        </w:rPr>
        <w:t>Except as required by Applicable Law the Company has no duty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 to any Participant to advise such holder as to the time or manner of exercising such Award. Furthermore, the Company has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 and will not be liable to any holder of an Award for any adverse tax consequences to such holder in connection with an Award. As a condition to accepting an Award under the Plan, each Participant (i) agrees to not make any claim against the Company, or any of its Officers, Directors, Employees or Affiliates related to tax liabilities arising from such Award or other Company compensation and (ii) acknowledges that such Participant was advised to consult with his or her own personal tax, financial and other legal advisors regarding the tax consequences of the Award and has either done so or knowingly and voluntarily declined to do so. Additionally, each Participant acknowledges any Option or SAR granted under the Plan is exempt from Section 409A only if the exercise or strike price is at least equal to the “fair market value” of the Common Stock on the date of grant as determined by the Internal Revenue Service and there is no other impermissible deferral of compensation associated with the Award. Additionally, as a condition to accepting an Option or SAR granted under the Plan, each Participant agrees not make any claim against the Company, or any of its Officers, Directors, Employees or Affiliates in the event that the Internal Revenue Service asserts that such exercise price or strike price is less than the “fair market value” of the Common Stock on the date of grant as subsequently determined by the Internal Revenue Service.</w:t>
      </w:r>
    </w:p>
    <w:p>
      <w:pPr>
        <w:spacing w:after="0" w:line="88" w:lineRule="exact"/>
        <w:rPr>
          <w:rFonts w:ascii="Times New Roman" w:cs="Times New Roman" w:eastAsia="Times New Roman" w:hAnsi="Times New Roman"/>
          <w:sz w:val="18"/>
          <w:szCs w:val="18"/>
          <w:b w:val="1"/>
          <w:bCs w:val="1"/>
          <w:color w:val="auto"/>
        </w:rPr>
      </w:pPr>
    </w:p>
    <w:p>
      <w:pPr>
        <w:ind w:left="-21" w:right="80" w:firstLine="517"/>
        <w:spacing w:after="0" w:line="252" w:lineRule="auto"/>
        <w:tabs>
          <w:tab w:leader="none" w:pos="752" w:val="left"/>
        </w:tabs>
        <w:numPr>
          <w:ilvl w:val="1"/>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Withholding Indemnification. </w:t>
      </w:r>
      <w:r>
        <w:rPr>
          <w:rFonts w:ascii="Times New Roman" w:cs="Times New Roman" w:eastAsia="Times New Roman" w:hAnsi="Times New Roman"/>
          <w:sz w:val="18"/>
          <w:szCs w:val="18"/>
          <w:color w:val="auto"/>
        </w:rPr>
        <w:t>As a condition to accepting an Award under the Plan, in the event that the amount of the Company’s and/or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Affiliate’s withholding obligation in connection with such Award was greater than the amount actually withheld by the Company and/or its Affiliates, each Participant agrees to indemnify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179070</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9"/>
          </w:cols>
          <w:pgMar w:left="341" w:top="428"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color w:val="auto"/>
        </w:rPr>
        <w:t>hold the Company and/or its Affiliates harmless from any failure by the Company and/or its Affiliates to withhold the proper amount.</w:t>
      </w:r>
    </w:p>
    <w:p>
      <w:pPr>
        <w:spacing w:after="0" w:line="248" w:lineRule="exact"/>
        <w:rPr>
          <w:sz w:val="20"/>
          <w:szCs w:val="20"/>
          <w:color w:val="auto"/>
        </w:rPr>
      </w:pPr>
    </w:p>
    <w:p>
      <w:pPr>
        <w:ind w:left="480" w:hanging="459"/>
        <w:spacing w:after="0"/>
        <w:tabs>
          <w:tab w:leader="none" w:pos="48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3"/>
          <w:szCs w:val="13"/>
          <w:b w:val="1"/>
          <w:bCs w:val="1"/>
          <w:color w:val="auto"/>
        </w:rPr>
        <w:t>ISCELLANEOUS</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right="240" w:firstLine="517"/>
        <w:spacing w:after="0" w:line="271" w:lineRule="auto"/>
        <w:tabs>
          <w:tab w:leader="none" w:pos="764" w:val="left"/>
        </w:tabs>
        <w:numPr>
          <w:ilvl w:val="1"/>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Shares. </w:t>
      </w:r>
      <w:r>
        <w:rPr>
          <w:rFonts w:ascii="Times New Roman" w:cs="Times New Roman" w:eastAsia="Times New Roman" w:hAnsi="Times New Roman"/>
          <w:sz w:val="18"/>
          <w:szCs w:val="18"/>
          <w:color w:val="auto"/>
        </w:rPr>
        <w:t>The stock issuable under the Plan will be shares of authorized but unissued or reacquired Common Stock, including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repurchased by the Company on the open market or otherwise.</w:t>
      </w:r>
    </w:p>
    <w:p>
      <w:pPr>
        <w:spacing w:after="0" w:line="59" w:lineRule="exact"/>
        <w:rPr>
          <w:rFonts w:ascii="Times New Roman" w:cs="Times New Roman" w:eastAsia="Times New Roman" w:hAnsi="Times New Roman"/>
          <w:sz w:val="18"/>
          <w:szCs w:val="18"/>
          <w:b w:val="1"/>
          <w:bCs w:val="1"/>
          <w:color w:val="auto"/>
        </w:rPr>
      </w:pPr>
    </w:p>
    <w:p>
      <w:pPr>
        <w:ind w:right="100" w:firstLine="517"/>
        <w:spacing w:after="0" w:line="271" w:lineRule="auto"/>
        <w:tabs>
          <w:tab w:leader="none" w:pos="774" w:val="left"/>
        </w:tabs>
        <w:numPr>
          <w:ilvl w:val="1"/>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Use of Proceeds from Sales of Common Stock. </w:t>
      </w:r>
      <w:r>
        <w:rPr>
          <w:rFonts w:ascii="Times New Roman" w:cs="Times New Roman" w:eastAsia="Times New Roman" w:hAnsi="Times New Roman"/>
          <w:sz w:val="18"/>
          <w:szCs w:val="18"/>
          <w:color w:val="auto"/>
        </w:rPr>
        <w:t>Proceeds from the sale of shares of Common Stock pursuant to Awards will constitute 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funds of the Company.</w:t>
      </w:r>
    </w:p>
    <w:p>
      <w:pPr>
        <w:spacing w:after="0" w:line="45" w:lineRule="exact"/>
        <w:rPr>
          <w:rFonts w:ascii="Times New Roman" w:cs="Times New Roman" w:eastAsia="Times New Roman" w:hAnsi="Times New Roman"/>
          <w:sz w:val="18"/>
          <w:szCs w:val="18"/>
          <w:b w:val="1"/>
          <w:bCs w:val="1"/>
          <w:color w:val="auto"/>
        </w:rPr>
      </w:pPr>
    </w:p>
    <w:p>
      <w:pPr>
        <w:ind w:right="20" w:firstLine="517"/>
        <w:spacing w:after="0" w:line="246" w:lineRule="auto"/>
        <w:tabs>
          <w:tab w:leader="none" w:pos="753" w:val="left"/>
        </w:tabs>
        <w:numPr>
          <w:ilvl w:val="1"/>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Corporate Action Constituting Grant of Awards. </w:t>
      </w:r>
      <w:r>
        <w:rPr>
          <w:rFonts w:ascii="Times New Roman" w:cs="Times New Roman" w:eastAsia="Times New Roman" w:hAnsi="Times New Roman"/>
          <w:sz w:val="18"/>
          <w:szCs w:val="18"/>
          <w:color w:val="auto"/>
        </w:rPr>
        <w:t>Corporate action constituting a grant by the Company of an Award to any Participant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w:t>
      </w:r>
    </w:p>
    <w:p>
      <w:pPr>
        <w:spacing w:after="0" w:line="67" w:lineRule="exact"/>
        <w:rPr>
          <w:rFonts w:ascii="Times New Roman" w:cs="Times New Roman" w:eastAsia="Times New Roman" w:hAnsi="Times New Roman"/>
          <w:sz w:val="18"/>
          <w:szCs w:val="18"/>
          <w:b w:val="1"/>
          <w:bCs w:val="1"/>
          <w:color w:val="auto"/>
        </w:rPr>
      </w:pPr>
    </w:p>
    <w:p>
      <w:pPr>
        <w:ind w:right="160" w:firstLine="517"/>
        <w:spacing w:after="0" w:line="260" w:lineRule="auto"/>
        <w:tabs>
          <w:tab w:leader="none" w:pos="774" w:val="left"/>
        </w:tabs>
        <w:numPr>
          <w:ilvl w:val="1"/>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Stockholder Rights. </w:t>
      </w:r>
      <w:r>
        <w:rPr>
          <w:rFonts w:ascii="Times New Roman" w:cs="Times New Roman" w:eastAsia="Times New Roman" w:hAnsi="Times New Roman"/>
          <w:sz w:val="18"/>
          <w:szCs w:val="18"/>
          <w:color w:val="auto"/>
        </w:rPr>
        <w:t>No Participant will be deemed to be the holder of, or to have any of the rights of a holder with respect to, any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subject to such Award unless and until (i) such Participant has satisfied all requirements for exercise of the Award pursuant to its terms, if applicable, and (ii) the issuance of the Common Stock subject to such Award is reflected in the records of the Company.</w:t>
      </w:r>
    </w:p>
    <w:p>
      <w:pPr>
        <w:spacing w:after="0" w:line="164" w:lineRule="exact"/>
        <w:rPr>
          <w:rFonts w:ascii="Times New Roman" w:cs="Times New Roman" w:eastAsia="Times New Roman" w:hAnsi="Times New Roman"/>
          <w:sz w:val="18"/>
          <w:szCs w:val="18"/>
          <w:b w:val="1"/>
          <w:bCs w:val="1"/>
          <w:color w:val="auto"/>
        </w:rPr>
      </w:pPr>
    </w:p>
    <w:p>
      <w:pPr>
        <w:ind w:right="140" w:firstLine="517"/>
        <w:spacing w:after="0" w:line="244" w:lineRule="auto"/>
        <w:tabs>
          <w:tab w:leader="none" w:pos="753" w:val="left"/>
        </w:tabs>
        <w:numPr>
          <w:ilvl w:val="1"/>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Employment or Other Service Rights. </w:t>
      </w:r>
      <w:r>
        <w:rPr>
          <w:rFonts w:ascii="Times New Roman" w:cs="Times New Roman" w:eastAsia="Times New Roman" w:hAnsi="Times New Roman"/>
          <w:sz w:val="18"/>
          <w:szCs w:val="18"/>
          <w:color w:val="auto"/>
        </w:rPr>
        <w:t>Nothing in the Plan, any Award Agreement or any other instrument executed thereunder 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any Award granted pursuant thereto will confer upon any Participant any right to continue to serve the Company or an Affiliate in the capacity in effect at the time the Award was granted or affect the right of the Company or an Affiliate to terminate at will and without regard to any future vesting opportunity that a Participant may have with respect to any Award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or foreign jurisdiction in which the Company or the Affiliate is incorporated, as the case may be.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w:t>
      </w:r>
    </w:p>
    <w:p>
      <w:pPr>
        <w:spacing w:after="0" w:line="69" w:lineRule="exact"/>
        <w:rPr>
          <w:rFonts w:ascii="Times New Roman" w:cs="Times New Roman" w:eastAsia="Times New Roman" w:hAnsi="Times New Roman"/>
          <w:sz w:val="18"/>
          <w:szCs w:val="18"/>
          <w:b w:val="1"/>
          <w:bCs w:val="1"/>
          <w:color w:val="auto"/>
        </w:rPr>
      </w:pPr>
    </w:p>
    <w:p>
      <w:pPr>
        <w:ind w:right="80" w:firstLine="517"/>
        <w:spacing w:after="0" w:line="246" w:lineRule="auto"/>
        <w:tabs>
          <w:tab w:leader="none" w:pos="734" w:val="left"/>
        </w:tabs>
        <w:numPr>
          <w:ilvl w:val="1"/>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Change in Time Commitment. </w:t>
      </w:r>
      <w:r>
        <w:rPr>
          <w:rFonts w:ascii="Times New Roman" w:cs="Times New Roman" w:eastAsia="Times New Roman" w:hAnsi="Times New Roman"/>
          <w:sz w:val="18"/>
          <w:szCs w:val="18"/>
          <w:color w:val="auto"/>
        </w:rPr>
        <w:t>In the event a Participant’s regular level of time commitment in the performance of his or her services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67" w:lineRule="exact"/>
        <w:rPr>
          <w:rFonts w:ascii="Times New Roman" w:cs="Times New Roman" w:eastAsia="Times New Roman" w:hAnsi="Times New Roman"/>
          <w:sz w:val="18"/>
          <w:szCs w:val="18"/>
          <w:b w:val="1"/>
          <w:bCs w:val="1"/>
          <w:color w:val="auto"/>
        </w:rPr>
      </w:pPr>
    </w:p>
    <w:p>
      <w:pPr>
        <w:ind w:firstLine="517"/>
        <w:spacing w:after="0" w:line="260" w:lineRule="auto"/>
        <w:tabs>
          <w:tab w:leader="none" w:pos="764" w:val="left"/>
        </w:tabs>
        <w:numPr>
          <w:ilvl w:val="1"/>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Execution of Additional Documents. </w:t>
      </w:r>
      <w:r>
        <w:rPr>
          <w:rFonts w:ascii="Times New Roman" w:cs="Times New Roman" w:eastAsia="Times New Roman" w:hAnsi="Times New Roman"/>
          <w:sz w:val="18"/>
          <w:szCs w:val="18"/>
          <w:color w:val="auto"/>
        </w:rPr>
        <w:t>As a condition to accepting an Award under the Plan, the Participant agrees to execute any additional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or instruments necessary or desirable, as determined in the Plan Administrator’s sole discretion, to carry out the purposes or intent of the Award, or facilitate compliance with securities and/or other regulatory requirements, in each case at the Plan Administrator’s request.</w:t>
      </w:r>
    </w:p>
    <w:p>
      <w:pPr>
        <w:spacing w:after="0" w:line="56" w:lineRule="exact"/>
        <w:rPr>
          <w:rFonts w:ascii="Times New Roman" w:cs="Times New Roman" w:eastAsia="Times New Roman" w:hAnsi="Times New Roman"/>
          <w:sz w:val="18"/>
          <w:szCs w:val="18"/>
          <w:b w:val="1"/>
          <w:bCs w:val="1"/>
          <w:color w:val="auto"/>
        </w:rPr>
      </w:pPr>
    </w:p>
    <w:p>
      <w:pPr>
        <w:ind w:right="40" w:firstLine="517"/>
        <w:spacing w:after="0" w:line="260" w:lineRule="auto"/>
        <w:tabs>
          <w:tab w:leader="none" w:pos="774" w:val="left"/>
        </w:tabs>
        <w:numPr>
          <w:ilvl w:val="1"/>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Electronic Delivery and Participation. </w:t>
      </w:r>
      <w:r>
        <w:rPr>
          <w:rFonts w:ascii="Times New Roman" w:cs="Times New Roman" w:eastAsia="Times New Roman" w:hAnsi="Times New Roman"/>
          <w:sz w:val="18"/>
          <w:szCs w:val="18"/>
          <w:color w:val="auto"/>
        </w:rPr>
        <w:t>Any reference herein or in an Award Agreement to a “written” agreement or document will include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document delivered electronically, filed publicly at www.sec.gov (or any successor website thereto) or posted on the Company’s intranet (or other shared electronic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165735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158" w:name="page159"/>
    <w:bookmarkEnd w:id="158"/>
    <w:p>
      <w:pPr>
        <w:ind w:right="340"/>
        <w:spacing w:after="0" w:line="250" w:lineRule="auto"/>
        <w:rPr>
          <w:sz w:val="20"/>
          <w:szCs w:val="20"/>
          <w:color w:val="auto"/>
        </w:rPr>
      </w:pPr>
      <w:r>
        <w:rPr>
          <w:rFonts w:ascii="Times New Roman" w:cs="Times New Roman" w:eastAsia="Times New Roman" w:hAnsi="Times New Roman"/>
          <w:sz w:val="18"/>
          <w:szCs w:val="18"/>
          <w:color w:val="auto"/>
        </w:rPr>
        <w:t>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Common Stock (e.g., a stock certificate or electronic entry evidencing such shares) shall be determined by the Company.</w:t>
      </w:r>
    </w:p>
    <w:p>
      <w:pPr>
        <w:spacing w:after="0" w:line="173" w:lineRule="exact"/>
        <w:rPr>
          <w:sz w:val="20"/>
          <w:szCs w:val="20"/>
          <w:color w:val="auto"/>
        </w:rPr>
      </w:pPr>
    </w:p>
    <w:p>
      <w:pPr>
        <w:ind w:right="20" w:firstLine="517"/>
        <w:spacing w:after="0" w:line="244" w:lineRule="auto"/>
        <w:tabs>
          <w:tab w:leader="none" w:pos="724"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Clawback/Recovery. </w:t>
      </w:r>
      <w:r>
        <w:rPr>
          <w:rFonts w:ascii="Times New Roman" w:cs="Times New Roman" w:eastAsia="Times New Roman" w:hAnsi="Times New Roman"/>
          <w:sz w:val="18"/>
          <w:szCs w:val="18"/>
          <w:color w:val="auto"/>
        </w:rPr>
        <w:t>All Awards granted under the Plan will be subject to recoupment in accordance with any clawback policy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to the extent applicable and permissible under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Participant’s right to voluntarily terminate employment upon a “resignation for good reason,” or for a “constructive termination” or any similar term under any plan of or agreement with the Company.</w:t>
      </w:r>
    </w:p>
    <w:p>
      <w:pPr>
        <w:spacing w:after="0" w:line="71" w:lineRule="exact"/>
        <w:rPr>
          <w:rFonts w:ascii="Times New Roman" w:cs="Times New Roman" w:eastAsia="Times New Roman" w:hAnsi="Times New Roman"/>
          <w:sz w:val="18"/>
          <w:szCs w:val="18"/>
          <w:b w:val="1"/>
          <w:bCs w:val="1"/>
          <w:color w:val="auto"/>
        </w:rPr>
      </w:pPr>
    </w:p>
    <w:p>
      <w:pPr>
        <w:jc w:val="both"/>
        <w:ind w:right="180" w:firstLine="517"/>
        <w:spacing w:after="0" w:line="252" w:lineRule="auto"/>
        <w:tabs>
          <w:tab w:leader="none" w:pos="734"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Securities Law Compliance. </w:t>
      </w:r>
      <w:r>
        <w:rPr>
          <w:rFonts w:ascii="Times New Roman" w:cs="Times New Roman" w:eastAsia="Times New Roman" w:hAnsi="Times New Roman"/>
          <w:sz w:val="18"/>
          <w:szCs w:val="18"/>
          <w:color w:val="auto"/>
        </w:rPr>
        <w:t>A Participant will not be issued any shares in respect of an Award unless either (i) the shares are registered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Securities Act; or (ii) the Company has determined that such issuance would be exempt from the registration requirements of the Securities Act. Each Award also must comply with other Applicable Law governing the Award, and a Participant will not receive such shares if the Company determines that such receipt would not be in material compliance with Applicable Law.</w:t>
      </w:r>
    </w:p>
    <w:p>
      <w:pPr>
        <w:spacing w:after="0" w:line="75" w:lineRule="exact"/>
        <w:rPr>
          <w:rFonts w:ascii="Times New Roman" w:cs="Times New Roman" w:eastAsia="Times New Roman" w:hAnsi="Times New Roman"/>
          <w:sz w:val="18"/>
          <w:szCs w:val="18"/>
          <w:b w:val="1"/>
          <w:bCs w:val="1"/>
          <w:color w:val="auto"/>
        </w:rPr>
      </w:pPr>
    </w:p>
    <w:p>
      <w:pPr>
        <w:ind w:right="20" w:firstLine="517"/>
        <w:spacing w:after="0" w:line="247" w:lineRule="auto"/>
        <w:tabs>
          <w:tab w:leader="none" w:pos="774"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 or Assignment of Awards; Issued Shares. </w:t>
      </w:r>
      <w:r>
        <w:rPr>
          <w:rFonts w:ascii="Times New Roman" w:cs="Times New Roman" w:eastAsia="Times New Roman" w:hAnsi="Times New Roman"/>
          <w:sz w:val="18"/>
          <w:szCs w:val="18"/>
          <w:color w:val="auto"/>
        </w:rPr>
        <w:t>Except as expressly provided in the Plan or the form of Award Agreement, Awards granted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Plan may not be transferred or assigned by the Participant. After the vested shares subject to an Award have been issued, or in the case of Restricted Stock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Law.</w:t>
      </w:r>
    </w:p>
    <w:p>
      <w:pPr>
        <w:spacing w:after="0" w:line="68" w:lineRule="exact"/>
        <w:rPr>
          <w:rFonts w:ascii="Times New Roman" w:cs="Times New Roman" w:eastAsia="Times New Roman" w:hAnsi="Times New Roman"/>
          <w:sz w:val="18"/>
          <w:szCs w:val="18"/>
          <w:b w:val="1"/>
          <w:bCs w:val="1"/>
          <w:color w:val="auto"/>
        </w:rPr>
      </w:pPr>
    </w:p>
    <w:p>
      <w:pPr>
        <w:jc w:val="both"/>
        <w:ind w:firstLine="517"/>
        <w:spacing w:after="0" w:line="252" w:lineRule="auto"/>
        <w:tabs>
          <w:tab w:leader="none" w:pos="724"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Effect on Other Employee Benefit Plans. </w:t>
      </w:r>
      <w:r>
        <w:rPr>
          <w:rFonts w:ascii="Times New Roman" w:cs="Times New Roman" w:eastAsia="Times New Roman" w:hAnsi="Times New Roman"/>
          <w:sz w:val="18"/>
          <w:szCs w:val="18"/>
          <w:color w:val="auto"/>
        </w:rPr>
        <w:t>The value of any Award granted under the Plan, as determined upon grant, vesting or settlement,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be included as compensation, earnings, salaries, or other similar terms used when calculating any Participant’s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62" w:lineRule="exact"/>
        <w:rPr>
          <w:rFonts w:ascii="Times New Roman" w:cs="Times New Roman" w:eastAsia="Times New Roman" w:hAnsi="Times New Roman"/>
          <w:sz w:val="18"/>
          <w:szCs w:val="18"/>
          <w:b w:val="1"/>
          <w:bCs w:val="1"/>
          <w:color w:val="auto"/>
        </w:rPr>
      </w:pPr>
    </w:p>
    <w:p>
      <w:pPr>
        <w:ind w:right="240" w:firstLine="517"/>
        <w:spacing w:after="0" w:line="260" w:lineRule="auto"/>
        <w:tabs>
          <w:tab w:leader="none" w:pos="823"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Deferrals. </w:t>
      </w:r>
      <w:r>
        <w:rPr>
          <w:rFonts w:ascii="Times New Roman" w:cs="Times New Roman" w:eastAsia="Times New Roman" w:hAnsi="Times New Roman"/>
          <w:sz w:val="18"/>
          <w:szCs w:val="18"/>
          <w:color w:val="auto"/>
        </w:rPr>
        <w:t>To the extent permitted by Applicable Law, the Board, in its sole discretion, may determine that the delivery of Common Stock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payment of cash, upon the exercise, vesting or settlement of all or a portion of any Award may be deferred and may also establish programs and procedures for deferral elections to be made by Participants. Deferrals will be made in accordance with the requirements of Section 409A.</w:t>
      </w:r>
    </w:p>
    <w:p>
      <w:pPr>
        <w:spacing w:after="0" w:line="56" w:lineRule="exact"/>
        <w:rPr>
          <w:rFonts w:ascii="Times New Roman" w:cs="Times New Roman" w:eastAsia="Times New Roman" w:hAnsi="Times New Roman"/>
          <w:sz w:val="18"/>
          <w:szCs w:val="18"/>
          <w:b w:val="1"/>
          <w:bCs w:val="1"/>
          <w:color w:val="auto"/>
        </w:rPr>
      </w:pPr>
    </w:p>
    <w:p>
      <w:pPr>
        <w:ind w:right="100" w:firstLine="517"/>
        <w:spacing w:after="0" w:line="243" w:lineRule="auto"/>
        <w:tabs>
          <w:tab w:leader="none" w:pos="774"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Section 409A. </w:t>
      </w:r>
      <w:r>
        <w:rPr>
          <w:rFonts w:ascii="Times New Roman" w:cs="Times New Roman" w:eastAsia="Times New Roman" w:hAnsi="Times New Roman"/>
          <w:sz w:val="18"/>
          <w:szCs w:val="18"/>
          <w:color w:val="auto"/>
        </w:rPr>
        <w:t>Unless otherwise expressly provided for in an Award Agreement, the Plan and Award Agreements will be interpreted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greatest extent possible in a manner that makes the Plan and the Awards granted hereunder exempt from Section 409A, and, to the extent not so exempt, in compliance with the requirements of Section 409A. If the Board determines that any Award granted hereunder is not exempt from and is therefore subject to Section 409A,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months and one day following the date of such Participant’s “separation from service” or, if earlier, the date of the Participant’s death, unless such distribution or payment can be made in a manner that complies with Section 409A, and any amounts so deferred will be paid in a lump sum on the day after such six month period elapses, with the balance paid thereafter on the original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59" w:name="page160"/>
    <w:bookmarkEnd w:id="159"/>
    <w:p>
      <w:pPr>
        <w:ind w:firstLine="517"/>
        <w:spacing w:after="0" w:line="260" w:lineRule="auto"/>
        <w:tabs>
          <w:tab w:leader="none" w:pos="764" w:val="left"/>
        </w:tabs>
        <w:numPr>
          <w:ilvl w:val="1"/>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3"/>
          <w:szCs w:val="13"/>
          <w:b w:val="1"/>
          <w:bCs w:val="1"/>
          <w:color w:val="auto"/>
        </w:rPr>
        <w:t>HOICE OF</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3"/>
          <w:szCs w:val="13"/>
          <w:b w:val="1"/>
          <w:bCs w:val="1"/>
          <w:color w:val="auto"/>
        </w:rPr>
        <w:t>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Plan and any controversy arising out of or relating to this Plan shall be governed by, and construed in accordance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internal laws of the State of Delaware, without regard to conflict of law principles that would result in any application of any law other than the law of the State of Delaware.</w:t>
      </w:r>
    </w:p>
    <w:p>
      <w:pPr>
        <w:spacing w:after="0" w:line="204" w:lineRule="exact"/>
        <w:rPr>
          <w:rFonts w:ascii="Times New Roman" w:cs="Times New Roman" w:eastAsia="Times New Roman" w:hAnsi="Times New Roman"/>
          <w:sz w:val="18"/>
          <w:szCs w:val="18"/>
          <w:b w:val="1"/>
          <w:bCs w:val="1"/>
          <w:color w:val="auto"/>
        </w:rPr>
      </w:pPr>
    </w:p>
    <w:p>
      <w:pPr>
        <w:ind w:left="480" w:hanging="459"/>
        <w:spacing w:after="0"/>
        <w:tabs>
          <w:tab w:leader="none" w:pos="480"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3"/>
          <w:szCs w:val="13"/>
          <w:b w:val="1"/>
          <w:bCs w:val="1"/>
          <w:color w:val="auto"/>
        </w:rPr>
        <w:t>OVENANTS OF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3"/>
          <w:szCs w:val="13"/>
          <w:b w:val="1"/>
          <w:bCs w:val="1"/>
          <w:color w:val="auto"/>
        </w:rPr>
        <w:t>OMPANY</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100" w:firstLine="509"/>
        <w:spacing w:after="0" w:line="243" w:lineRule="auto"/>
        <w:rPr>
          <w:sz w:val="20"/>
          <w:szCs w:val="20"/>
          <w:color w:val="auto"/>
        </w:rPr>
      </w:pPr>
      <w:r>
        <w:rPr>
          <w:rFonts w:ascii="Times New Roman" w:cs="Times New Roman" w:eastAsia="Times New Roman" w:hAnsi="Times New Roman"/>
          <w:sz w:val="18"/>
          <w:szCs w:val="18"/>
          <w:color w:val="auto"/>
        </w:rPr>
        <w:t>The Company will seek to obtain from each regulatory commission or agency, as may be deemed to be necessary, having jurisdiction over the Plan such authority as may be required to grant Awards and to issue and sell shares of Common Stock upon exercise or vesting of the Awards; provided, however, that this undertaking will not require the Company to register under the Securities Act the Plan, any Award or any Common Stock issued or issuable pursuant to any such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Awards unless and until such authority is obtained. A Participant is not eligible for the grant of an Award or the subsequent issuance of Common Stock pursuant to the Award if such grant or issuance would be in violation of any Applicable Law.</w:t>
      </w:r>
    </w:p>
    <w:p>
      <w:pPr>
        <w:spacing w:after="0" w:line="223" w:lineRule="exact"/>
        <w:rPr>
          <w:sz w:val="20"/>
          <w:szCs w:val="20"/>
          <w:color w:val="auto"/>
        </w:rPr>
      </w:pPr>
    </w:p>
    <w:p>
      <w:pPr>
        <w:ind w:left="480" w:hanging="459"/>
        <w:spacing w:after="0"/>
        <w:tabs>
          <w:tab w:leader="none" w:pos="48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3"/>
          <w:szCs w:val="13"/>
          <w:b w:val="1"/>
          <w:bCs w:val="1"/>
          <w:color w:val="auto"/>
        </w:rPr>
        <w:t>DDITIONAL</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3"/>
          <w:szCs w:val="13"/>
          <w:b w:val="1"/>
          <w:bCs w:val="1"/>
          <w:color w:val="auto"/>
        </w:rPr>
        <w:t>ULES FOR</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3"/>
          <w:szCs w:val="13"/>
          <w:b w:val="1"/>
          <w:bCs w:val="1"/>
          <w:color w:val="auto"/>
        </w:rPr>
        <w:t>WARDS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3"/>
          <w:szCs w:val="13"/>
          <w:b w:val="1"/>
          <w:bCs w:val="1"/>
          <w:color w:val="auto"/>
        </w:rPr>
        <w:t>UBJECT TO</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3"/>
          <w:szCs w:val="13"/>
          <w:b w:val="1"/>
          <w:bCs w:val="1"/>
          <w:color w:val="auto"/>
        </w:rPr>
        <w:t>ECTION</w:t>
      </w:r>
      <w:r>
        <w:rPr>
          <w:rFonts w:ascii="Times New Roman" w:cs="Times New Roman" w:eastAsia="Times New Roman" w:hAnsi="Times New Roman"/>
          <w:sz w:val="18"/>
          <w:szCs w:val="18"/>
          <w:b w:val="1"/>
          <w:bCs w:val="1"/>
          <w:color w:val="auto"/>
        </w:rPr>
        <w:t xml:space="preserve"> 409</w:t>
      </w:r>
      <w:r>
        <w:rPr>
          <w:rFonts w:ascii="Times New Roman" w:cs="Times New Roman" w:eastAsia="Times New Roman" w:hAnsi="Times New Roman"/>
          <w:sz w:val="13"/>
          <w:szCs w:val="13"/>
          <w:b w:val="1"/>
          <w:bCs w:val="1"/>
          <w:color w:val="auto"/>
        </w:rPr>
        <w:t>A</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right="180" w:firstLine="517"/>
        <w:spacing w:after="0" w:line="271" w:lineRule="auto"/>
        <w:tabs>
          <w:tab w:leader="none" w:pos="764" w:val="left"/>
        </w:tabs>
        <w:numPr>
          <w:ilvl w:val="1"/>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Application. </w:t>
      </w:r>
      <w:r>
        <w:rPr>
          <w:rFonts w:ascii="Times New Roman" w:cs="Times New Roman" w:eastAsia="Times New Roman" w:hAnsi="Times New Roman"/>
          <w:sz w:val="18"/>
          <w:szCs w:val="18"/>
          <w:color w:val="auto"/>
        </w:rPr>
        <w:t>Unless the provisions of this Section of the Plan are expressly superseded by the provisions in the form of Award Agreement,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of this Section shall apply and shall supersede anything to the contrary set forth in the Award Agreement for a Non- Exempt Award.</w:t>
      </w:r>
    </w:p>
    <w:p>
      <w:pPr>
        <w:spacing w:after="0" w:line="45" w:lineRule="exact"/>
        <w:rPr>
          <w:rFonts w:ascii="Times New Roman" w:cs="Times New Roman" w:eastAsia="Times New Roman" w:hAnsi="Times New Roman"/>
          <w:sz w:val="18"/>
          <w:szCs w:val="18"/>
          <w:b w:val="1"/>
          <w:bCs w:val="1"/>
          <w:color w:val="auto"/>
        </w:rPr>
      </w:pPr>
    </w:p>
    <w:p>
      <w:pPr>
        <w:ind w:right="120" w:firstLine="517"/>
        <w:spacing w:after="0" w:line="271" w:lineRule="auto"/>
        <w:tabs>
          <w:tab w:leader="none" w:pos="774" w:val="left"/>
        </w:tabs>
        <w:numPr>
          <w:ilvl w:val="1"/>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Non-Exempt Awards Subject to Non-Exempt Severance Arrangements. </w:t>
      </w:r>
      <w:r>
        <w:rPr>
          <w:rFonts w:ascii="Times New Roman" w:cs="Times New Roman" w:eastAsia="Times New Roman" w:hAnsi="Times New Roman"/>
          <w:sz w:val="18"/>
          <w:szCs w:val="18"/>
          <w:color w:val="auto"/>
        </w:rPr>
        <w:t>To the extent a Non-Exempt Award is subject to Section 409A due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application of a Non-Exempt Severance Arrangement, the following provisions of this subsection (b) apply.</w:t>
      </w:r>
    </w:p>
    <w:p>
      <w:pPr>
        <w:spacing w:after="0" w:line="63" w:lineRule="exact"/>
        <w:rPr>
          <w:rFonts w:ascii="Times New Roman" w:cs="Times New Roman" w:eastAsia="Times New Roman" w:hAnsi="Times New Roman"/>
          <w:sz w:val="18"/>
          <w:szCs w:val="18"/>
          <w:b w:val="1"/>
          <w:bCs w:val="1"/>
          <w:color w:val="auto"/>
        </w:rPr>
      </w:pPr>
    </w:p>
    <w:p>
      <w:pPr>
        <w:ind w:right="20" w:firstLine="1154"/>
        <w:spacing w:after="0" w:line="250" w:lineRule="auto"/>
        <w:tabs>
          <w:tab w:leader="none" w:pos="1360" w:val="left"/>
        </w:tabs>
        <w:numPr>
          <w:ilvl w:val="2"/>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Non-Exempt Award vests in the ordinary course during the Participant’s Continuous Service in accordance with the vesting schedule set forth in the Award Agreement, and does not accelerate vesting under the terms of a Non-Exempt Severance Arrangement, in no event will the shares be issued in respect of such Non-Exempt Award any later than the later of: (i) December 31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8"/>
          <w:szCs w:val="18"/>
          <w:color w:val="auto"/>
        </w:rPr>
        <w:t xml:space="preserve"> of the calendar year that includes the applicable vesting date, or (ii) the 60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that follows the applicable vesting date.</w:t>
      </w:r>
    </w:p>
    <w:p>
      <w:pPr>
        <w:spacing w:after="0" w:line="115" w:lineRule="exact"/>
        <w:rPr>
          <w:rFonts w:ascii="Times New Roman" w:cs="Times New Roman" w:eastAsia="Times New Roman" w:hAnsi="Times New Roman"/>
          <w:sz w:val="18"/>
          <w:szCs w:val="18"/>
          <w:b w:val="1"/>
          <w:bCs w:val="1"/>
          <w:color w:val="auto"/>
        </w:rPr>
      </w:pPr>
    </w:p>
    <w:p>
      <w:pPr>
        <w:ind w:right="20" w:firstLine="1154"/>
        <w:spacing w:after="0" w:line="242" w:lineRule="auto"/>
        <w:tabs>
          <w:tab w:leader="none" w:pos="1410" w:val="left"/>
        </w:tabs>
        <w:numPr>
          <w:ilvl w:val="2"/>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vesting of the Non-Exempt Award accelerates under the terms of a Non- Exempt Severance Arrangement in connection with the Participant’s Separation from Service, and such vesting acceleration provisions were in effect as of the date of grant of the Non-Exempt Award and, therefore, are part of the terms of such Non-Exempt Award as of the date of grant, then the shares will be earlier issued in settlement of such Non-Exempt Award upon the Participant’s Separation from Service in accordance with the terms of the Non-Exempt Severance Arrangement, but in no event later than the 60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that follows the date of the Participant’s Separation from Service. However, if at the time the shares would otherwise be issued the Participant is subject to the distribution limitations contained in Section 409A applicable to “specified employees,” as defined in Section 409A(a)(2)(B)(i) of the Code, such shares shall not be issued before the date that is six months following the date of such Participant’s Separation from Service, or, if earlier, the date of the Participant’s death that occurs within such six month period.</w:t>
      </w:r>
    </w:p>
    <w:p>
      <w:pPr>
        <w:spacing w:after="0" w:line="75" w:lineRule="exact"/>
        <w:rPr>
          <w:rFonts w:ascii="Times New Roman" w:cs="Times New Roman" w:eastAsia="Times New Roman" w:hAnsi="Times New Roman"/>
          <w:sz w:val="18"/>
          <w:szCs w:val="18"/>
          <w:b w:val="1"/>
          <w:bCs w:val="1"/>
          <w:color w:val="auto"/>
        </w:rPr>
      </w:pPr>
    </w:p>
    <w:p>
      <w:pPr>
        <w:ind w:firstLine="1154"/>
        <w:spacing w:after="0" w:line="245" w:lineRule="auto"/>
        <w:tabs>
          <w:tab w:leader="none" w:pos="1460" w:val="left"/>
        </w:tabs>
        <w:numPr>
          <w:ilvl w:val="2"/>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vesting of a Non-Exempt Award accelerates under the terms of a Non- Exempt Severance Arrangement in connection with a Participant’s Separation from Service, and such vesting acceleration provisions were not in effect as of the date of grant of the Non-Exempt Award and, therefore, are not a part of the terms of such Non-Exempt Award on the date of grant, then such acceleration of vesting of the Non-Exempt Award shall not accelerate the issuance date of the shares, but the shares shall instead be issued on the same schedule as set forth in the Grant Notice as if they had vested in the ordinary course during the Participant’s Continuous Service, notwithstanding the vesting acceleration of the Non-Exempt Award. Such issuance schedule is intended to satisfy the requirements of payment on a specified date or pursuant to a fixed schedule, as provided under Treasury Regulations Section 1.409A-3(a)(4).</w:t>
      </w:r>
    </w:p>
    <w:p>
      <w:pPr>
        <w:spacing w:after="0" w:line="69" w:lineRule="exact"/>
        <w:rPr>
          <w:rFonts w:ascii="Times New Roman" w:cs="Times New Roman" w:eastAsia="Times New Roman" w:hAnsi="Times New Roman"/>
          <w:sz w:val="18"/>
          <w:szCs w:val="18"/>
          <w:b w:val="1"/>
          <w:bCs w:val="1"/>
          <w:color w:val="auto"/>
        </w:rPr>
      </w:pPr>
    </w:p>
    <w:p>
      <w:pPr>
        <w:ind w:right="240" w:firstLine="517"/>
        <w:spacing w:after="0" w:line="252" w:lineRule="auto"/>
        <w:tabs>
          <w:tab w:leader="none" w:pos="753" w:val="left"/>
        </w:tabs>
        <w:numPr>
          <w:ilvl w:val="1"/>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Treatment of Non-Exempt Awards Upon a Corporate Transaction for Employees and Consultants. </w:t>
      </w:r>
      <w:r>
        <w:rPr>
          <w:rFonts w:ascii="Times New Roman" w:cs="Times New Roman" w:eastAsia="Times New Roman" w:hAnsi="Times New Roman"/>
          <w:sz w:val="18"/>
          <w:szCs w:val="18"/>
          <w:color w:val="auto"/>
        </w:rPr>
        <w:t>The provisions of this subsection (c)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apply and shall supersede anything to the contrary set forth in the Plan with respect to the permitted treatment of any Non- Exempt Award in connection with a Corporate Transaction if the Participant was either an Employee or Consultant upon the applicable date of grant of the Non-Exempt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178435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28" w:right="359" w:bottom="1440" w:gutter="0" w:footer="0" w:header="0"/>
        </w:sectPr>
      </w:pPr>
    </w:p>
    <w:bookmarkStart w:id="160" w:name="page161"/>
    <w:bookmarkEnd w:id="160"/>
    <w:p>
      <w:pPr>
        <w:ind w:left="1360" w:hanging="206"/>
        <w:spacing w:after="0"/>
        <w:tabs>
          <w:tab w:leader="none" w:pos="1360"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Vested Non-Exempt Awards. </w:t>
      </w:r>
      <w:r>
        <w:rPr>
          <w:rFonts w:ascii="Times New Roman" w:cs="Times New Roman" w:eastAsia="Times New Roman" w:hAnsi="Times New Roman"/>
          <w:sz w:val="18"/>
          <w:szCs w:val="18"/>
          <w:color w:val="auto"/>
        </w:rPr>
        <w:t>The following provisions shall apply to any Vested Non-Exempt Award in connection with a Corporate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w:t>
      </w:r>
    </w:p>
    <w:p>
      <w:pPr>
        <w:spacing w:after="0" w:line="85" w:lineRule="exact"/>
        <w:rPr>
          <w:sz w:val="20"/>
          <w:szCs w:val="20"/>
          <w:color w:val="auto"/>
        </w:rPr>
      </w:pPr>
    </w:p>
    <w:p>
      <w:pPr>
        <w:ind w:right="20" w:firstLine="1663"/>
        <w:spacing w:after="0" w:line="246" w:lineRule="auto"/>
        <w:tabs>
          <w:tab w:leader="none" w:pos="1909" w:val="left"/>
        </w:tabs>
        <w:numPr>
          <w:ilvl w:val="2"/>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Corporate Transaction is also a Section 409A Change in Control then the Acquiring Entity may not assume, continue or substitute the Vested Non-Exempt Award. Upon the Section 409A Change in Control the settlement of the Vested Non-Exempt Award will automatically be accelerated and the shares will be immediately issued in respect of the Vested Non-Exempt Award. Alternatively, the Company may instead provide that the Participant will receive a cash settlement equal to the Fair Market Value of the shares that would otherwise be issued to the Participant upon the Section 409A Change in Control.</w:t>
      </w:r>
    </w:p>
    <w:p>
      <w:pPr>
        <w:spacing w:after="0" w:line="181" w:lineRule="exact"/>
        <w:rPr>
          <w:rFonts w:ascii="Times New Roman" w:cs="Times New Roman" w:eastAsia="Times New Roman" w:hAnsi="Times New Roman"/>
          <w:sz w:val="18"/>
          <w:szCs w:val="18"/>
          <w:b w:val="1"/>
          <w:bCs w:val="1"/>
          <w:color w:val="auto"/>
        </w:rPr>
      </w:pPr>
    </w:p>
    <w:p>
      <w:pPr>
        <w:ind w:right="360" w:firstLine="1663"/>
        <w:spacing w:after="0" w:line="244" w:lineRule="auto"/>
        <w:tabs>
          <w:tab w:leader="none" w:pos="1909" w:val="left"/>
        </w:tabs>
        <w:numPr>
          <w:ilvl w:val="2"/>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Corporate Transaction is not also a Section 409A Change in Control, then the Acquiring Entity must either assume, continue or substitute each Vested Non- Exempt Award. The shares to be issued in respect of the 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the Fair Market Value of the shares made on the date of the Corporate Transaction.</w:t>
      </w:r>
    </w:p>
    <w:p>
      <w:pPr>
        <w:spacing w:after="0" w:line="83" w:lineRule="exact"/>
        <w:rPr>
          <w:rFonts w:ascii="Times New Roman" w:cs="Times New Roman" w:eastAsia="Times New Roman" w:hAnsi="Times New Roman"/>
          <w:sz w:val="18"/>
          <w:szCs w:val="18"/>
          <w:b w:val="1"/>
          <w:bCs w:val="1"/>
          <w:color w:val="auto"/>
        </w:rPr>
      </w:pPr>
    </w:p>
    <w:p>
      <w:pPr>
        <w:ind w:right="780" w:firstLine="1154"/>
        <w:spacing w:after="0" w:line="271" w:lineRule="auto"/>
        <w:tabs>
          <w:tab w:leader="none" w:pos="1410" w:val="left"/>
        </w:tabs>
        <w:numPr>
          <w:ilvl w:val="1"/>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Unvested Non-Exempt Awards. </w:t>
      </w:r>
      <w:r>
        <w:rPr>
          <w:rFonts w:ascii="Times New Roman" w:cs="Times New Roman" w:eastAsia="Times New Roman" w:hAnsi="Times New Roman"/>
          <w:sz w:val="18"/>
          <w:szCs w:val="18"/>
          <w:color w:val="auto"/>
        </w:rPr>
        <w:t>The following provisions shall apply to any Unvested Non-Exempt Award unless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by the Board pursuant to subsection (e) of this Section.</w:t>
      </w:r>
    </w:p>
    <w:p>
      <w:pPr>
        <w:spacing w:after="0" w:line="49" w:lineRule="exact"/>
        <w:rPr>
          <w:rFonts w:ascii="Times New Roman" w:cs="Times New Roman" w:eastAsia="Times New Roman" w:hAnsi="Times New Roman"/>
          <w:sz w:val="18"/>
          <w:szCs w:val="18"/>
          <w:b w:val="1"/>
          <w:bCs w:val="1"/>
          <w:color w:val="auto"/>
        </w:rPr>
      </w:pPr>
    </w:p>
    <w:p>
      <w:pPr>
        <w:ind w:firstLine="1663"/>
        <w:spacing w:after="0" w:line="245" w:lineRule="auto"/>
        <w:tabs>
          <w:tab w:leader="none" w:pos="1909" w:val="left"/>
        </w:tabs>
        <w:numPr>
          <w:ilvl w:val="2"/>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of a Corporate Transaction, the Acquiring Entity shall assume, continue or substitute any Unvested Non-Exempt Award. Unless otherwise determined by the Board, any Unvested Non-Exempt Award will remain subject to the same vesting and forfeiture restrictions that were applicable to the Award prior to the Corporate Transaction. The shares to be issued in respect of any Unvested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of the shares made on the date of the Corporate Transaction.</w:t>
      </w:r>
    </w:p>
    <w:p>
      <w:pPr>
        <w:spacing w:after="0" w:line="86" w:lineRule="exact"/>
        <w:rPr>
          <w:rFonts w:ascii="Times New Roman" w:cs="Times New Roman" w:eastAsia="Times New Roman" w:hAnsi="Times New Roman"/>
          <w:sz w:val="18"/>
          <w:szCs w:val="18"/>
          <w:b w:val="1"/>
          <w:bCs w:val="1"/>
          <w:color w:val="auto"/>
        </w:rPr>
      </w:pPr>
    </w:p>
    <w:p>
      <w:pPr>
        <w:ind w:firstLine="1663"/>
        <w:spacing w:after="0" w:line="243" w:lineRule="auto"/>
        <w:tabs>
          <w:tab w:leader="none" w:pos="1909" w:val="left"/>
        </w:tabs>
        <w:numPr>
          <w:ilvl w:val="2"/>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Acquiring Entity will not assume, substitute or continue any Unvested Non-Exempt Award in connection with a Corporate Transaction, then such Award shall automatically terminate and be forfeited upon the Corporate Transaction with no consideration payable to any Participant in respect of such forfeited Unvested Non-Exempt Award. Notwithstanding the foregoing, to the extent permitted and in compliance with the requirements of Section 409A, the Board may in its discretion determine to elect to accelerate the vesting and settlement of the Unvested Non-Exempt Award upon the Corporate Transaction, or instead substitute a cash payment equal to the Fair Market Value of such shares that would otherwise be issued to the Participant, as further provided in subsection (e)(ii) below. In the absence of such discretionary election by the Board, any Unvested Non-Exempt Award shall be forfeited without payment of any consideration to the affected Participants if the Acquiring Entity will not assume, substitute or continue the Unvested Non-Exempt Awards in connection with the Corporate Transaction.</w:t>
      </w:r>
    </w:p>
    <w:p>
      <w:pPr>
        <w:spacing w:after="0" w:line="78" w:lineRule="exact"/>
        <w:rPr>
          <w:rFonts w:ascii="Times New Roman" w:cs="Times New Roman" w:eastAsia="Times New Roman" w:hAnsi="Times New Roman"/>
          <w:sz w:val="18"/>
          <w:szCs w:val="18"/>
          <w:b w:val="1"/>
          <w:bCs w:val="1"/>
          <w:color w:val="auto"/>
        </w:rPr>
      </w:pPr>
    </w:p>
    <w:p>
      <w:pPr>
        <w:ind w:right="420" w:firstLine="1663"/>
        <w:spacing w:after="0" w:line="266" w:lineRule="auto"/>
        <w:tabs>
          <w:tab w:leader="none" w:pos="1909" w:val="left"/>
        </w:tabs>
        <w:numPr>
          <w:ilvl w:val="2"/>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foregoing treatment shall apply with respect to all Unvested Non-Exempt Awards upon any Corporate Transaction, and regardless of whether or not such Corporate Transaction is also a Section 409A Change in Control.</w:t>
      </w:r>
    </w:p>
    <w:p>
      <w:pPr>
        <w:spacing w:after="0" w:line="63" w:lineRule="exact"/>
        <w:rPr>
          <w:rFonts w:ascii="Times New Roman" w:cs="Times New Roman" w:eastAsia="Times New Roman" w:hAnsi="Times New Roman"/>
          <w:sz w:val="18"/>
          <w:szCs w:val="18"/>
          <w:b w:val="1"/>
          <w:bCs w:val="1"/>
          <w:color w:val="auto"/>
        </w:rPr>
      </w:pPr>
    </w:p>
    <w:p>
      <w:pPr>
        <w:ind w:right="280" w:firstLine="517"/>
        <w:spacing w:after="0" w:line="252" w:lineRule="auto"/>
        <w:tabs>
          <w:tab w:leader="none" w:pos="774"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Treatment of Non-Exempt Awards Upon a Corporate Transaction for Non-Employee Directors. </w:t>
      </w:r>
      <w:r>
        <w:rPr>
          <w:rFonts w:ascii="Times New Roman" w:cs="Times New Roman" w:eastAsia="Times New Roman" w:hAnsi="Times New Roman"/>
          <w:sz w:val="18"/>
          <w:szCs w:val="18"/>
          <w:color w:val="auto"/>
        </w:rPr>
        <w:t>The following provisions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subsection (d) shall apply and shall supersede anything to the contrary that may be set forth in the Plan with respect to the permitted treatment of a Non-Exempt Director Award in connection with a Corporate Transaction.</w:t>
      </w:r>
    </w:p>
    <w:p>
      <w:pPr>
        <w:spacing w:after="0" w:line="175" w:lineRule="exact"/>
        <w:rPr>
          <w:rFonts w:ascii="Times New Roman" w:cs="Times New Roman" w:eastAsia="Times New Roman" w:hAnsi="Times New Roman"/>
          <w:sz w:val="18"/>
          <w:szCs w:val="18"/>
          <w:b w:val="1"/>
          <w:bCs w:val="1"/>
          <w:color w:val="auto"/>
        </w:rPr>
      </w:pPr>
    </w:p>
    <w:p>
      <w:pPr>
        <w:ind w:right="80" w:firstLine="1154"/>
        <w:spacing w:after="0" w:line="250" w:lineRule="auto"/>
        <w:tabs>
          <w:tab w:leader="none" w:pos="1360" w:val="left"/>
        </w:tabs>
        <w:numPr>
          <w:ilvl w:val="1"/>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Corporate Transaction is also a Section 409A Change in Control then the Acquiring Entity may not assume, continue or substitute the Non-Exempt Director Award. Upon the Section 409A Change in Control the vesting and settlement of any Non-Exempt Director Award will automatically be accelerated and the shares will be immediately issued to the Participant in respect of the Non-Exempt Director Award. Alternatively, the Company may provide that the Participant will instead receive a cash settlement equal to the Fair Market Value of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171450</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color w:val="auto"/>
        </w:rPr>
        <w:t>that would otherwise be issued to the Participant upon the Section 409A Change in Control pursuant to the preceding provision.</w:t>
      </w:r>
    </w:p>
    <w:p>
      <w:pPr>
        <w:spacing w:after="0" w:line="117" w:lineRule="exact"/>
        <w:rPr>
          <w:sz w:val="20"/>
          <w:szCs w:val="20"/>
          <w:color w:val="auto"/>
        </w:rPr>
      </w:pPr>
    </w:p>
    <w:p>
      <w:pPr>
        <w:ind w:right="180" w:firstLine="1154"/>
        <w:spacing w:after="0" w:line="245" w:lineRule="auto"/>
        <w:tabs>
          <w:tab w:leader="none" w:pos="1410" w:val="left"/>
        </w:tabs>
        <w:numPr>
          <w:ilvl w:val="1"/>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Corporate Transaction is not also a Section 409A Change in Control, then the Acquiring Entity must either assume, continue or substitute the Non-Exempt Director Award. Unless otherwise determined by the Board, the Non-Exempt Director Award will remain subject to the same vesting and forfeiture restrictions that were applicable to the Award prior to the Corporate Transaction. The shares to be issued in respect of the Non-Exempt Director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made on the date of the Corporate Transaction.</w:t>
      </w:r>
    </w:p>
    <w:p>
      <w:pPr>
        <w:spacing w:after="0" w:line="73" w:lineRule="exact"/>
        <w:rPr>
          <w:rFonts w:ascii="Times New Roman" w:cs="Times New Roman" w:eastAsia="Times New Roman" w:hAnsi="Times New Roman"/>
          <w:sz w:val="18"/>
          <w:szCs w:val="18"/>
          <w:b w:val="1"/>
          <w:bCs w:val="1"/>
          <w:color w:val="auto"/>
        </w:rPr>
      </w:pPr>
    </w:p>
    <w:p>
      <w:pPr>
        <w:ind w:right="80" w:firstLine="517"/>
        <w:spacing w:after="0" w:line="266" w:lineRule="auto"/>
        <w:tabs>
          <w:tab w:leader="none" w:pos="754"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RSU Award is a Non-Exempt Award, then the provisions in this Section 11(e) shall apply and supersede anything to the contrary that may be set forth in the Plan or the Award Agreement with respect to the permitted treatment of such Non-Exempt Award:</w:t>
      </w:r>
    </w:p>
    <w:p>
      <w:pPr>
        <w:spacing w:after="0" w:line="54" w:lineRule="exact"/>
        <w:rPr>
          <w:rFonts w:ascii="Times New Roman" w:cs="Times New Roman" w:eastAsia="Times New Roman" w:hAnsi="Times New Roman"/>
          <w:sz w:val="18"/>
          <w:szCs w:val="18"/>
          <w:b w:val="1"/>
          <w:bCs w:val="1"/>
          <w:color w:val="auto"/>
        </w:rPr>
      </w:pPr>
    </w:p>
    <w:p>
      <w:pPr>
        <w:ind w:right="160" w:firstLine="1154"/>
        <w:spacing w:after="0" w:line="258" w:lineRule="auto"/>
        <w:tabs>
          <w:tab w:leader="none" w:pos="1360" w:val="left"/>
        </w:tabs>
        <w:numPr>
          <w:ilvl w:val="1"/>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exercise by the Board of discretion to accelerate the vesting of a Non- Exempt Award shall not result in any acceleration of the scheduled issuance dates for the shares in respect of the Non-Exempt Award unless earlier issuance of the shares upon the applicable vesting dates would be in compliance with the requirements of Section 409A.</w:t>
      </w:r>
    </w:p>
    <w:p>
      <w:pPr>
        <w:spacing w:after="0" w:line="61" w:lineRule="exact"/>
        <w:rPr>
          <w:sz w:val="20"/>
          <w:szCs w:val="20"/>
          <w:color w:val="auto"/>
        </w:rPr>
      </w:pPr>
    </w:p>
    <w:p>
      <w:pPr>
        <w:ind w:right="180" w:firstLine="1154"/>
        <w:spacing w:after="0" w:line="282" w:lineRule="auto"/>
        <w:tabs>
          <w:tab w:leader="none" w:pos="1410"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explicitly reserves the right to earlier settle any Non-Exempt Award to the extent permitted and in compliance with the requirements of Section 409A, including pursuant to any of the exemptions available in Treasury Regulations Section 1.409A- 3(j)(4)(ix).</w:t>
      </w:r>
    </w:p>
    <w:p>
      <w:pPr>
        <w:spacing w:after="0" w:line="40" w:lineRule="exact"/>
        <w:rPr>
          <w:rFonts w:ascii="Times New Roman" w:cs="Times New Roman" w:eastAsia="Times New Roman" w:hAnsi="Times New Roman"/>
          <w:sz w:val="18"/>
          <w:szCs w:val="18"/>
          <w:b w:val="1"/>
          <w:bCs w:val="1"/>
          <w:color w:val="auto"/>
        </w:rPr>
      </w:pPr>
    </w:p>
    <w:p>
      <w:pPr>
        <w:ind w:firstLine="1154"/>
        <w:spacing w:after="0" w:line="243" w:lineRule="auto"/>
        <w:tabs>
          <w:tab w:leader="none" w:pos="1460"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the extent the terms of any Non-Exempt Award provide that it will be settled upon a Change in Control or Corporate Transaction, to the extent it is required for compliance with the requirements of Section 409A, the Change in Control or Corporate Transaction event triggering settlement must also constitute a Section 409A Change in Control. To the extent the terms of a Non-Exempt Award provides that it will be settled upon a termination of employment or termination of Continuous Service, to the extent it is required for compliance with the requirements of Section 409A, the termination event triggering settlement must also constitute a Separation From Service. However, if at the time the shares would otherwise be issued to a Participant in connection with a “separation from service” such Participant is subject to the distribution limitations contained in Section 409A applicable to “specified employees,” as defined in Section 409A(a)(2)(B)(i) of the Code, such shares shall not be issued before the date that is six months following the date of the Participant’s Separation From Service, or, if earlier, the date of the Participant’s death that occurs within such six month period.</w:t>
      </w:r>
    </w:p>
    <w:p>
      <w:pPr>
        <w:spacing w:after="0" w:line="91" w:lineRule="exact"/>
        <w:rPr>
          <w:rFonts w:ascii="Times New Roman" w:cs="Times New Roman" w:eastAsia="Times New Roman" w:hAnsi="Times New Roman"/>
          <w:sz w:val="18"/>
          <w:szCs w:val="18"/>
          <w:b w:val="1"/>
          <w:bCs w:val="1"/>
          <w:color w:val="auto"/>
        </w:rPr>
      </w:pPr>
    </w:p>
    <w:p>
      <w:pPr>
        <w:ind w:right="260" w:firstLine="1154"/>
        <w:spacing w:after="0" w:line="250" w:lineRule="auto"/>
        <w:tabs>
          <w:tab w:leader="none" w:pos="1450"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provisions in this subsection (e) for delivery of the shares in respect of the settlement of an RSU Award that is a Non-Exempt Award are intended to comply with the requirements of Section 409A so that the delivery of the shares to the Participant in respect of such Non-Exempt Award will not trigger the additional tax imposed under Section 409A, and any ambiguities herein will be so interpreted.</w:t>
      </w:r>
    </w:p>
    <w:p>
      <w:pPr>
        <w:spacing w:after="0" w:line="213" w:lineRule="exact"/>
        <w:rPr>
          <w:sz w:val="20"/>
          <w:szCs w:val="20"/>
          <w:color w:val="auto"/>
        </w:rPr>
      </w:pPr>
    </w:p>
    <w:p>
      <w:pPr>
        <w:ind w:left="480" w:hanging="459"/>
        <w:spacing w:after="0"/>
        <w:tabs>
          <w:tab w:leader="none" w:pos="480"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3"/>
          <w:szCs w:val="13"/>
          <w:b w:val="1"/>
          <w:bCs w:val="1"/>
          <w:color w:val="auto"/>
        </w:rPr>
        <w:t>EVERABILITY</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If all or any part of the Plan or any Award Agreement is declared by any court or governmental authority to be unlawful or invalid, such unlawfulness or invalidity shall not invalidate any portion of the Plan or such Award Agreement not declared to be unlawful or invalid. Any Section of the Plan or any Award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200" w:lineRule="exact"/>
        <w:rPr>
          <w:sz w:val="20"/>
          <w:szCs w:val="20"/>
          <w:color w:val="auto"/>
        </w:rPr>
      </w:pPr>
    </w:p>
    <w:p>
      <w:pPr>
        <w:ind w:left="480" w:hanging="459"/>
        <w:spacing w:after="0"/>
        <w:tabs>
          <w:tab w:leader="none" w:pos="480"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3"/>
          <w:szCs w:val="13"/>
          <w:b w:val="1"/>
          <w:bCs w:val="1"/>
          <w:color w:val="auto"/>
        </w:rPr>
        <w:t>ERMINATION OF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3"/>
          <w:szCs w:val="13"/>
          <w:b w:val="1"/>
          <w:bCs w:val="1"/>
          <w:color w:val="auto"/>
        </w:rPr>
        <w:t>LAN</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Board may suspend or terminate the Plan at any time. No Incentive Stock Options may be granted after the tenth anniversary of the earlier of:</w:t>
      </w:r>
    </w:p>
    <w:p>
      <w:pPr>
        <w:spacing w:after="0" w:line="27" w:lineRule="exact"/>
        <w:rPr>
          <w:sz w:val="20"/>
          <w:szCs w:val="20"/>
          <w:color w:val="auto"/>
        </w:rPr>
      </w:pPr>
    </w:p>
    <w:p>
      <w:pPr>
        <w:ind w:right="340" w:firstLine="8"/>
        <w:spacing w:after="0" w:line="245" w:lineRule="auto"/>
        <w:tabs>
          <w:tab w:leader="none" w:pos="21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Date, or (ii) the date the Plan is approved by the Company’s stockholders. No Awards may be granted under the Plan while the Plan is suspended or after it is 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438785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162" w:name="page163"/>
    <w:bookmarkEnd w:id="162"/>
    <w:p>
      <w:pPr>
        <w:ind w:left="480" w:hanging="459"/>
        <w:spacing w:after="0"/>
        <w:tabs>
          <w:tab w:leader="none" w:pos="480"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3"/>
          <w:szCs w:val="13"/>
          <w:b w:val="1"/>
          <w:bCs w:val="1"/>
          <w:color w:val="auto"/>
        </w:rPr>
        <w:t>EFINITIONS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used in the Plan, the following definitions apply to the capitalized terms indicated below:</w:t>
      </w:r>
    </w:p>
    <w:p>
      <w:pPr>
        <w:spacing w:after="0" w:line="100" w:lineRule="exact"/>
        <w:rPr>
          <w:sz w:val="20"/>
          <w:szCs w:val="20"/>
          <w:color w:val="auto"/>
        </w:rPr>
      </w:pPr>
    </w:p>
    <w:p>
      <w:pPr>
        <w:ind w:left="780" w:hanging="263"/>
        <w:spacing w:after="0"/>
        <w:tabs>
          <w:tab w:leader="none" w:pos="780"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Acquiring Entity</w:t>
      </w:r>
      <w:r>
        <w:rPr>
          <w:rFonts w:ascii="Times New Roman" w:cs="Times New Roman" w:eastAsia="Times New Roman" w:hAnsi="Times New Roman"/>
          <w:sz w:val="18"/>
          <w:szCs w:val="18"/>
          <w:color w:val="auto"/>
        </w:rPr>
        <w:t>” means the surviving or acquiring corporation (or its parent company) in connection with a Corporate Transaction.</w:t>
      </w:r>
    </w:p>
    <w:p>
      <w:pPr>
        <w:spacing w:after="0" w:line="117" w:lineRule="exact"/>
        <w:rPr>
          <w:rFonts w:ascii="Times New Roman" w:cs="Times New Roman" w:eastAsia="Times New Roman" w:hAnsi="Times New Roman"/>
          <w:sz w:val="18"/>
          <w:szCs w:val="18"/>
          <w:b w:val="1"/>
          <w:bCs w:val="1"/>
          <w:color w:val="auto"/>
        </w:rPr>
      </w:pPr>
    </w:p>
    <w:p>
      <w:pPr>
        <w:ind w:left="780" w:hanging="263"/>
        <w:spacing w:after="0"/>
        <w:tabs>
          <w:tab w:leader="none" w:pos="780"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Adoption Date</w:t>
      </w:r>
      <w:r>
        <w:rPr>
          <w:rFonts w:ascii="Times New Roman" w:cs="Times New Roman" w:eastAsia="Times New Roman" w:hAnsi="Times New Roman"/>
          <w:sz w:val="18"/>
          <w:szCs w:val="18"/>
          <w:color w:val="auto"/>
        </w:rPr>
        <w:t>” means the date the Plan is first approved by the Board or Compensation Committee.</w:t>
      </w:r>
    </w:p>
    <w:p>
      <w:pPr>
        <w:spacing w:after="0" w:line="103" w:lineRule="exact"/>
        <w:rPr>
          <w:rFonts w:ascii="Times New Roman" w:cs="Times New Roman" w:eastAsia="Times New Roman" w:hAnsi="Times New Roman"/>
          <w:sz w:val="18"/>
          <w:szCs w:val="18"/>
          <w:b w:val="1"/>
          <w:bCs w:val="1"/>
          <w:color w:val="auto"/>
        </w:rPr>
      </w:pPr>
    </w:p>
    <w:p>
      <w:pPr>
        <w:jc w:val="both"/>
        <w:ind w:right="40" w:firstLine="517"/>
        <w:spacing w:after="0" w:line="301" w:lineRule="auto"/>
        <w:tabs>
          <w:tab w:leader="none" w:pos="754" w:val="left"/>
        </w:tabs>
        <w:numPr>
          <w:ilvl w:val="0"/>
          <w:numId w:val="14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Affiliate</w:t>
      </w:r>
      <w:r>
        <w:rPr>
          <w:rFonts w:ascii="Times New Roman" w:cs="Times New Roman" w:eastAsia="Times New Roman" w:hAnsi="Times New Roman"/>
          <w:sz w:val="17"/>
          <w:szCs w:val="17"/>
          <w:color w:val="auto"/>
        </w:rPr>
        <w:t>” means, at the time of determination, any “parent” or “subsidiary” of the Company as such terms are defined in Rule 405 promulgated under the Securities Act. The Board may determine the time or times at which “parent” or “subsidiary” status is determined within the foregoing definition.</w:t>
      </w:r>
    </w:p>
    <w:p>
      <w:pPr>
        <w:spacing w:after="0" w:line="36" w:lineRule="exact"/>
        <w:rPr>
          <w:rFonts w:ascii="Times New Roman" w:cs="Times New Roman" w:eastAsia="Times New Roman" w:hAnsi="Times New Roman"/>
          <w:sz w:val="17"/>
          <w:szCs w:val="17"/>
          <w:b w:val="1"/>
          <w:bCs w:val="1"/>
          <w:color w:val="auto"/>
        </w:rPr>
      </w:pPr>
    </w:p>
    <w:p>
      <w:pPr>
        <w:ind w:right="40" w:firstLine="517"/>
        <w:spacing w:after="0" w:line="246" w:lineRule="auto"/>
        <w:tabs>
          <w:tab w:leader="none" w:pos="774"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Applicable Law</w:t>
      </w:r>
      <w:r>
        <w:rPr>
          <w:rFonts w:ascii="Times New Roman" w:cs="Times New Roman" w:eastAsia="Times New Roman" w:hAnsi="Times New Roman"/>
          <w:sz w:val="18"/>
          <w:szCs w:val="18"/>
          <w:color w:val="auto"/>
        </w:rPr>
        <w:t>” means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 regulating organization such as the Nasdaq Stock Market, New York Stock Exchange, or the Financial Industry Regulatory Authority).</w:t>
      </w:r>
    </w:p>
    <w:p>
      <w:pPr>
        <w:spacing w:after="0" w:line="82" w:lineRule="exact"/>
        <w:rPr>
          <w:rFonts w:ascii="Times New Roman" w:cs="Times New Roman" w:eastAsia="Times New Roman" w:hAnsi="Times New Roman"/>
          <w:sz w:val="18"/>
          <w:szCs w:val="18"/>
          <w:b w:val="1"/>
          <w:bCs w:val="1"/>
          <w:color w:val="auto"/>
        </w:rPr>
      </w:pPr>
    </w:p>
    <w:p>
      <w:pPr>
        <w:ind w:right="500" w:firstLine="517"/>
        <w:spacing w:after="0" w:line="271" w:lineRule="auto"/>
        <w:tabs>
          <w:tab w:leader="none" w:pos="754"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means any right to receive Common Stock, cash or other property granted under the Plan (including an Incentive Stock Option, a Nonstatutory Stock Option, a Restricted Stock Award, an RSU Award, a SAR, a Performance Award or any Other Award).</w:t>
      </w:r>
    </w:p>
    <w:p>
      <w:pPr>
        <w:spacing w:after="0" w:line="45" w:lineRule="exact"/>
        <w:rPr>
          <w:rFonts w:ascii="Times New Roman" w:cs="Times New Roman" w:eastAsia="Times New Roman" w:hAnsi="Times New Roman"/>
          <w:sz w:val="18"/>
          <w:szCs w:val="18"/>
          <w:b w:val="1"/>
          <w:bCs w:val="1"/>
          <w:color w:val="auto"/>
        </w:rPr>
      </w:pPr>
    </w:p>
    <w:p>
      <w:pPr>
        <w:ind w:right="120" w:firstLine="517"/>
        <w:spacing w:after="0" w:line="260" w:lineRule="auto"/>
        <w:tabs>
          <w:tab w:leader="none" w:pos="734"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means a written or electronic agreement between the Company and a Participant evidencing the terms and conditions of an Award. The Award Agreement generally consists of the Grant Notice and the agreement containing the written summary of the general terms and conditions applicable to the Award and which is provided, including through electronic means, to a Participant along with the Grant Notice.</w:t>
      </w:r>
    </w:p>
    <w:p>
      <w:pPr>
        <w:spacing w:after="0" w:line="56" w:lineRule="exact"/>
        <w:rPr>
          <w:rFonts w:ascii="Times New Roman" w:cs="Times New Roman" w:eastAsia="Times New Roman" w:hAnsi="Times New Roman"/>
          <w:sz w:val="18"/>
          <w:szCs w:val="18"/>
          <w:b w:val="1"/>
          <w:bCs w:val="1"/>
          <w:color w:val="auto"/>
        </w:rPr>
      </w:pPr>
    </w:p>
    <w:p>
      <w:pPr>
        <w:ind w:right="20" w:firstLine="517"/>
        <w:spacing w:after="0" w:line="260" w:lineRule="auto"/>
        <w:tabs>
          <w:tab w:leader="none" w:pos="764"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 (or its designee). Any decision or determination made by the Board shall be a decision or determination that is made in the sole discretion of the Board (or its designee), and such decision or determination shall be final and binding on all Participants.</w:t>
      </w:r>
    </w:p>
    <w:p>
      <w:pPr>
        <w:spacing w:after="0" w:line="56" w:lineRule="exact"/>
        <w:rPr>
          <w:rFonts w:ascii="Times New Roman" w:cs="Times New Roman" w:eastAsia="Times New Roman" w:hAnsi="Times New Roman"/>
          <w:sz w:val="18"/>
          <w:szCs w:val="18"/>
          <w:b w:val="1"/>
          <w:bCs w:val="1"/>
          <w:color w:val="auto"/>
        </w:rPr>
      </w:pPr>
    </w:p>
    <w:p>
      <w:pPr>
        <w:jc w:val="both"/>
        <w:ind w:firstLine="517"/>
        <w:spacing w:after="0" w:line="246" w:lineRule="auto"/>
        <w:tabs>
          <w:tab w:leader="none" w:pos="774"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Capitalization Adjustment</w:t>
      </w:r>
      <w:r>
        <w:rPr>
          <w:rFonts w:ascii="Times New Roman" w:cs="Times New Roman" w:eastAsia="Times New Roman" w:hAnsi="Times New Roman"/>
          <w:sz w:val="18"/>
          <w:szCs w:val="18"/>
          <w:color w:val="auto"/>
        </w:rPr>
        <w:t>” means any change that is made in, or other events that occur with respect to, the Common Stock subject to the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subject to any Award after the date the Plan is adopted by the Board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w:t>
      </w:r>
    </w:p>
    <w:p>
      <w:pPr>
        <w:spacing w:after="0" w:line="2"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the foregoing, the conversion of any convertible securities of the Company will not be treated as a Capitalization Adjustment.</w:t>
      </w:r>
    </w:p>
    <w:p>
      <w:pPr>
        <w:spacing w:after="0" w:line="174" w:lineRule="exact"/>
        <w:rPr>
          <w:rFonts w:ascii="Times New Roman" w:cs="Times New Roman" w:eastAsia="Times New Roman" w:hAnsi="Times New Roman"/>
          <w:sz w:val="18"/>
          <w:szCs w:val="18"/>
          <w:b w:val="1"/>
          <w:bCs w:val="1"/>
          <w:color w:val="auto"/>
        </w:rPr>
      </w:pPr>
    </w:p>
    <w:p>
      <w:pPr>
        <w:ind w:firstLine="517"/>
        <w:spacing w:after="0" w:line="243" w:lineRule="auto"/>
        <w:tabs>
          <w:tab w:leader="none" w:pos="724"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has the meaning ascribed to such term in any written agreement between a Participant and the Company defining such term and, in the absence of such agreement, such term means, with respect to a Participant, the occurrence of any of the following events: (i) the Participant’s dishonest statements or acts with respect to the Company or any Affiliate of the Company, or any current or prospective customers, suppliers, vendors or other third parties with which such entity does business; (ii) the Participant’s commission of (A) a felony or (B) any misdemeanor involving moral turpitude, deceit, dishonesty or fraud; (iii) the Participant’s failure to perform the Participant’s assigned duties and responsibilities to the reasonable satisfaction of the Company which failure continues, in the reasonable judgment of the Company, after written notice given to the Participant by the Company; (iv) the Participant’s gross negligence, willful misconduct or insubordination with respect to the Company or any Affiliate of the Company; or (v) the Participant’s material violation of any provision of any agreement(s) between the Participant and the Company relating to noncompetition, nonsolicitation, nondisclosure and/or assignment of inventions. The determination that a termination of the Participant’s Continuous Service is either for Cause or without Cause will be made by the Board with respect to Participants who are executive officers of the Company and by the Company’s Chief Executive Officer with respect to Participants who are not executive officers of the Company. Any determination by the Company that the Continuous Service of a Participant was terminated with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187325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163" w:name="page164"/>
    <w:bookmarkEnd w:id="163"/>
    <w:p>
      <w:pPr>
        <w:ind w:right="260"/>
        <w:spacing w:after="0" w:line="282" w:lineRule="auto"/>
        <w:rPr>
          <w:sz w:val="20"/>
          <w:szCs w:val="20"/>
          <w:color w:val="auto"/>
        </w:rPr>
      </w:pPr>
      <w:r>
        <w:rPr>
          <w:rFonts w:ascii="Times New Roman" w:cs="Times New Roman" w:eastAsia="Times New Roman" w:hAnsi="Times New Roman"/>
          <w:sz w:val="18"/>
          <w:szCs w:val="18"/>
          <w:color w:val="auto"/>
        </w:rPr>
        <w:t>without Cause for the purposes of outstanding Awards held by such Participant will have no effect upon any determination of the rights or obligations of the Company or such Participant for any other purpose.</w:t>
      </w:r>
    </w:p>
    <w:p>
      <w:pPr>
        <w:spacing w:after="0" w:line="36" w:lineRule="exact"/>
        <w:rPr>
          <w:sz w:val="20"/>
          <w:szCs w:val="20"/>
          <w:color w:val="auto"/>
        </w:rPr>
      </w:pPr>
    </w:p>
    <w:p>
      <w:pPr>
        <w:ind w:right="260" w:firstLine="517"/>
        <w:spacing w:after="0" w:line="271" w:lineRule="auto"/>
        <w:tabs>
          <w:tab w:leader="none" w:pos="734"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means the occurrence, in a single transaction or in a series of related transactions, of any one or more of the following events:</w:t>
      </w:r>
    </w:p>
    <w:p>
      <w:pPr>
        <w:spacing w:after="0" w:line="63" w:lineRule="exact"/>
        <w:rPr>
          <w:rFonts w:ascii="Times New Roman" w:cs="Times New Roman" w:eastAsia="Times New Roman" w:hAnsi="Times New Roman"/>
          <w:sz w:val="18"/>
          <w:szCs w:val="18"/>
          <w:b w:val="1"/>
          <w:bCs w:val="1"/>
          <w:color w:val="auto"/>
        </w:rPr>
      </w:pPr>
    </w:p>
    <w:p>
      <w:pPr>
        <w:ind w:firstLine="1154"/>
        <w:spacing w:after="0" w:line="242" w:lineRule="auto"/>
        <w:tabs>
          <w:tab w:leader="none" w:pos="1360" w:val="left"/>
        </w:tabs>
        <w:numPr>
          <w:ilvl w:val="1"/>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 w:cs="Times New Roman" w:eastAsia="Times New Roman" w:hAnsi="Times New Roman"/>
          <w:sz w:val="18"/>
          <w:szCs w:val="18"/>
          <w:i w:val="1"/>
          <w:iCs w:val="1"/>
          <w:color w:val="auto"/>
        </w:rPr>
        <w:t>Subject Person</w:t>
      </w:r>
      <w:r>
        <w:rPr>
          <w:rFonts w:ascii="Times New Roman" w:cs="Times New Roman" w:eastAsia="Times New Roman" w:hAnsi="Times New Roman"/>
          <w:sz w:val="18"/>
          <w:szCs w:val="18"/>
          <w:color w:val="auto"/>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spacing w:after="0" w:line="174" w:lineRule="exact"/>
        <w:rPr>
          <w:rFonts w:ascii="Times New Roman" w:cs="Times New Roman" w:eastAsia="Times New Roman" w:hAnsi="Times New Roman"/>
          <w:sz w:val="18"/>
          <w:szCs w:val="18"/>
          <w:b w:val="1"/>
          <w:bCs w:val="1"/>
          <w:color w:val="auto"/>
        </w:rPr>
      </w:pPr>
    </w:p>
    <w:p>
      <w:pPr>
        <w:ind w:right="140" w:firstLine="1154"/>
        <w:spacing w:after="0" w:line="247" w:lineRule="auto"/>
        <w:tabs>
          <w:tab w:leader="none" w:pos="1410" w:val="left"/>
        </w:tabs>
        <w:numPr>
          <w:ilvl w:val="1"/>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Acquiring Entity in such merger, consolidation or similar transaction or (B) more than 50% of the combined outstanding voting power of the parent of the Acquiring Entity in such merger, consolidation or similar transaction, in each case in substantially the same proportions as their Ownership of the outstanding voting securities of the Company immediately prior to such transaction;</w:t>
      </w:r>
    </w:p>
    <w:p>
      <w:pPr>
        <w:spacing w:after="0" w:line="71" w:lineRule="exact"/>
        <w:rPr>
          <w:rFonts w:ascii="Times New Roman" w:cs="Times New Roman" w:eastAsia="Times New Roman" w:hAnsi="Times New Roman"/>
          <w:sz w:val="18"/>
          <w:szCs w:val="18"/>
          <w:b w:val="1"/>
          <w:bCs w:val="1"/>
          <w:color w:val="auto"/>
        </w:rPr>
      </w:pPr>
    </w:p>
    <w:p>
      <w:pPr>
        <w:ind w:right="100" w:firstLine="1154"/>
        <w:spacing w:after="0" w:line="246" w:lineRule="auto"/>
        <w:tabs>
          <w:tab w:leader="none" w:pos="1460" w:val="left"/>
        </w:tabs>
        <w:numPr>
          <w:ilvl w:val="1"/>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spacing w:after="0" w:line="82" w:lineRule="exact"/>
        <w:rPr>
          <w:rFonts w:ascii="Times New Roman" w:cs="Times New Roman" w:eastAsia="Times New Roman" w:hAnsi="Times New Roman"/>
          <w:sz w:val="18"/>
          <w:szCs w:val="18"/>
          <w:b w:val="1"/>
          <w:bCs w:val="1"/>
          <w:color w:val="auto"/>
        </w:rPr>
      </w:pPr>
    </w:p>
    <w:p>
      <w:pPr>
        <w:ind w:right="180" w:firstLine="1154"/>
        <w:spacing w:after="0" w:line="252" w:lineRule="auto"/>
        <w:tabs>
          <w:tab w:leader="none" w:pos="1450" w:val="left"/>
        </w:tabs>
        <w:numPr>
          <w:ilvl w:val="1"/>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individuals who, on the date the Plan is adopted by the Board, are members of the Board (the “</w:t>
      </w:r>
      <w:r>
        <w:rPr>
          <w:rFonts w:ascii="Times New Roman" w:cs="Times New Roman" w:eastAsia="Times New Roman" w:hAnsi="Times New Roman"/>
          <w:sz w:val="18"/>
          <w:szCs w:val="18"/>
          <w:b w:val="1"/>
          <w:bCs w:val="1"/>
          <w:i w:val="1"/>
          <w:iCs w:val="1"/>
          <w:color w:val="auto"/>
        </w:rPr>
        <w:t>Incumbent Board</w:t>
      </w:r>
      <w:r>
        <w:rPr>
          <w:rFonts w:ascii="Times New Roman" w:cs="Times New Roman" w:eastAsia="Times New Roman" w:hAnsi="Times New Roman"/>
          <w:sz w:val="18"/>
          <w:szCs w:val="18"/>
          <w:color w:val="auto"/>
        </w:rPr>
        <w:t>”)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w:t>
      </w:r>
    </w:p>
    <w:p>
      <w:pPr>
        <w:spacing w:after="0" w:line="66"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Notwithstanding the foregoing or any other provision of this Plan, (A) the term Change in Control shall not include a sale of assets, merger or other transaction effected exclusively for the purpose of changing the domicile of the Company, (B) the definition of Change in Control (or any analogous term) in an individual written agreement between the Company or any Affiliate and the Participant shall supersede the foregoing definition with respect to Awards subject to such agreement; provided, however, that if no definition of Change in Control or any analogous term is set forth in such an individual written agreement, the foregoing definition shall apply, and (C) with respect to any nonqualified deferred compensation that becomes payable on account of the Change in Control, the transaction or event described in clause (i), (ii), (iii), or (iv) also constitutes a Section 409A Change in Control if required in order for the payment not to violate Section 409A of the Code.</w:t>
      </w:r>
    </w:p>
    <w:p>
      <w:pPr>
        <w:spacing w:after="0" w:line="69" w:lineRule="exact"/>
        <w:rPr>
          <w:sz w:val="20"/>
          <w:szCs w:val="20"/>
          <w:color w:val="auto"/>
        </w:rPr>
      </w:pPr>
    </w:p>
    <w:p>
      <w:pPr>
        <w:ind w:left="780" w:hanging="263"/>
        <w:spacing w:after="0"/>
        <w:tabs>
          <w:tab w:leader="none" w:pos="780" w:val="left"/>
        </w:tabs>
        <w:numPr>
          <w:ilvl w:val="0"/>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 including any applicable regulations and guidance thereunder.</w:t>
      </w:r>
    </w:p>
    <w:p>
      <w:pPr>
        <w:spacing w:after="0" w:line="117" w:lineRule="exact"/>
        <w:rPr>
          <w:rFonts w:ascii="Times New Roman" w:cs="Times New Roman" w:eastAsia="Times New Roman" w:hAnsi="Times New Roman"/>
          <w:sz w:val="18"/>
          <w:szCs w:val="18"/>
          <w:b w:val="1"/>
          <w:bCs w:val="1"/>
          <w:color w:val="auto"/>
        </w:rPr>
      </w:pPr>
    </w:p>
    <w:p>
      <w:pPr>
        <w:ind w:right="200" w:firstLine="517"/>
        <w:spacing w:after="0" w:line="271" w:lineRule="auto"/>
        <w:tabs>
          <w:tab w:leader="none" w:pos="724" w:val="left"/>
        </w:tabs>
        <w:numPr>
          <w:ilvl w:val="0"/>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means the Compensation Committee and any other committee of one or more Directors to whom authority has been delegated by the Board or Compensation Committee in accordance with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64" w:name="page165"/>
    <w:bookmarkEnd w:id="164"/>
    <w:p>
      <w:pPr>
        <w:ind w:left="840" w:hanging="323"/>
        <w:spacing w:after="0"/>
        <w:tabs>
          <w:tab w:leader="none" w:pos="840"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the common stock of the Company.</w:t>
      </w:r>
    </w:p>
    <w:p>
      <w:pPr>
        <w:spacing w:after="0" w:line="117" w:lineRule="exact"/>
        <w:rPr>
          <w:rFonts w:ascii="Times New Roman" w:cs="Times New Roman" w:eastAsia="Times New Roman" w:hAnsi="Times New Roman"/>
          <w:sz w:val="18"/>
          <w:szCs w:val="18"/>
          <w:b w:val="1"/>
          <w:bCs w:val="1"/>
          <w:color w:val="auto"/>
        </w:rPr>
      </w:pPr>
    </w:p>
    <w:p>
      <w:pPr>
        <w:ind w:left="780" w:hanging="263"/>
        <w:spacing w:after="0"/>
        <w:tabs>
          <w:tab w:leader="none" w:pos="780"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Invivyd, Inc., a Delaware corporation.</w:t>
      </w:r>
    </w:p>
    <w:p>
      <w:pPr>
        <w:spacing w:after="0" w:line="198" w:lineRule="exact"/>
        <w:rPr>
          <w:rFonts w:ascii="Times New Roman" w:cs="Times New Roman" w:eastAsia="Times New Roman" w:hAnsi="Times New Roman"/>
          <w:sz w:val="18"/>
          <w:szCs w:val="18"/>
          <w:b w:val="1"/>
          <w:bCs w:val="1"/>
          <w:color w:val="auto"/>
        </w:rPr>
      </w:pPr>
    </w:p>
    <w:p>
      <w:pPr>
        <w:ind w:left="780" w:hanging="263"/>
        <w:spacing w:after="0"/>
        <w:tabs>
          <w:tab w:leader="none" w:pos="780"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Compensation Committee</w:t>
      </w:r>
      <w:r>
        <w:rPr>
          <w:rFonts w:ascii="Times New Roman" w:cs="Times New Roman" w:eastAsia="Times New Roman" w:hAnsi="Times New Roman"/>
          <w:sz w:val="18"/>
          <w:szCs w:val="18"/>
          <w:color w:val="auto"/>
        </w:rPr>
        <w:t>” means the Compensation Committee of the Board.</w:t>
      </w:r>
    </w:p>
    <w:p>
      <w:pPr>
        <w:spacing w:after="0" w:line="117" w:lineRule="exact"/>
        <w:rPr>
          <w:rFonts w:ascii="Times New Roman" w:cs="Times New Roman" w:eastAsia="Times New Roman" w:hAnsi="Times New Roman"/>
          <w:sz w:val="18"/>
          <w:szCs w:val="18"/>
          <w:b w:val="1"/>
          <w:bCs w:val="1"/>
          <w:color w:val="auto"/>
        </w:rPr>
      </w:pPr>
    </w:p>
    <w:p>
      <w:pPr>
        <w:ind w:right="100" w:firstLine="517"/>
        <w:spacing w:after="0" w:line="247" w:lineRule="auto"/>
        <w:tabs>
          <w:tab w:leader="none" w:pos="774"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Consultant</w:t>
      </w:r>
      <w:r>
        <w:rPr>
          <w:rFonts w:ascii="Times New Roman" w:cs="Times New Roman" w:eastAsia="Times New Roman" w:hAnsi="Times New Roman"/>
          <w:sz w:val="18"/>
          <w:szCs w:val="18"/>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68" w:lineRule="exact"/>
        <w:rPr>
          <w:rFonts w:ascii="Times New Roman" w:cs="Times New Roman" w:eastAsia="Times New Roman" w:hAnsi="Times New Roman"/>
          <w:sz w:val="18"/>
          <w:szCs w:val="18"/>
          <w:b w:val="1"/>
          <w:bCs w:val="1"/>
          <w:color w:val="auto"/>
        </w:rPr>
      </w:pPr>
    </w:p>
    <w:p>
      <w:pPr>
        <w:ind w:firstLine="517"/>
        <w:spacing w:after="0" w:line="242" w:lineRule="auto"/>
        <w:tabs>
          <w:tab w:leader="none" w:pos="774"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Continuous Service</w:t>
      </w:r>
      <w:r>
        <w:rPr>
          <w:rFonts w:ascii="Times New Roman" w:cs="Times New Roman" w:eastAsia="Times New Roman" w:hAnsi="Times New Roman"/>
          <w:sz w:val="18"/>
          <w:szCs w:val="18"/>
          <w:color w:val="auto"/>
        </w:rPr>
        <w:t>”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provided, 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if the Entity for which a Participant is rendering services ceases to qualify as an Affiliate, as determined by the Board,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 In addition, to the extent required for exemption from or compliance with Section 409A, the determination of whether there has been a termination of Continuous Service will be made, and such term will be construed, in a manner that is consistent with the definition of “separation from service” as defined under Treasury Regulation Section 1.409A-1(h) (without regard to any alternative definition thereunder).</w:t>
      </w:r>
    </w:p>
    <w:p>
      <w:pPr>
        <w:spacing w:after="0" w:line="82" w:lineRule="exact"/>
        <w:rPr>
          <w:rFonts w:ascii="Times New Roman" w:cs="Times New Roman" w:eastAsia="Times New Roman" w:hAnsi="Times New Roman"/>
          <w:sz w:val="18"/>
          <w:szCs w:val="18"/>
          <w:b w:val="1"/>
          <w:bCs w:val="1"/>
          <w:color w:val="auto"/>
        </w:rPr>
      </w:pPr>
    </w:p>
    <w:p>
      <w:pPr>
        <w:ind w:right="580" w:firstLine="517"/>
        <w:spacing w:after="0" w:line="271" w:lineRule="auto"/>
        <w:tabs>
          <w:tab w:leader="none" w:pos="754"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Corporate Transaction</w:t>
      </w:r>
      <w:r>
        <w:rPr>
          <w:rFonts w:ascii="Times New Roman" w:cs="Times New Roman" w:eastAsia="Times New Roman" w:hAnsi="Times New Roman"/>
          <w:sz w:val="18"/>
          <w:szCs w:val="18"/>
          <w:color w:val="auto"/>
        </w:rPr>
        <w:t>” means the consummation, in a single transaction or in a series of related transactions, of any one or more of the following events:</w:t>
      </w:r>
    </w:p>
    <w:p>
      <w:pPr>
        <w:spacing w:after="0" w:line="49" w:lineRule="exact"/>
        <w:rPr>
          <w:rFonts w:ascii="Times New Roman" w:cs="Times New Roman" w:eastAsia="Times New Roman" w:hAnsi="Times New Roman"/>
          <w:sz w:val="18"/>
          <w:szCs w:val="18"/>
          <w:b w:val="1"/>
          <w:bCs w:val="1"/>
          <w:color w:val="auto"/>
        </w:rPr>
      </w:pPr>
    </w:p>
    <w:p>
      <w:pPr>
        <w:ind w:left="1360" w:hanging="206"/>
        <w:spacing w:after="0"/>
        <w:tabs>
          <w:tab w:leader="none" w:pos="1360" w:val="left"/>
        </w:tabs>
        <w:numPr>
          <w:ilvl w:val="1"/>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sale or other disposition of all or substantially all, as determined by the Board, of the consolidated assets of the Company and its</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Subsidiaries;</w:t>
      </w:r>
    </w:p>
    <w:p>
      <w:pPr>
        <w:spacing w:after="0" w:line="85" w:lineRule="exact"/>
        <w:rPr>
          <w:rFonts w:ascii="Times New Roman" w:cs="Times New Roman" w:eastAsia="Times New Roman" w:hAnsi="Times New Roman"/>
          <w:sz w:val="18"/>
          <w:szCs w:val="18"/>
          <w:b w:val="1"/>
          <w:bCs w:val="1"/>
          <w:color w:val="auto"/>
        </w:rPr>
      </w:pPr>
    </w:p>
    <w:p>
      <w:pPr>
        <w:ind w:left="1420" w:hanging="266"/>
        <w:spacing w:after="0"/>
        <w:tabs>
          <w:tab w:leader="none" w:pos="1420" w:val="left"/>
        </w:tabs>
        <w:numPr>
          <w:ilvl w:val="1"/>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sale or other disposition of at least 50% of the outstanding securities of the Company;</w:t>
      </w:r>
    </w:p>
    <w:p>
      <w:pPr>
        <w:spacing w:after="0" w:line="103" w:lineRule="exact"/>
        <w:rPr>
          <w:rFonts w:ascii="Times New Roman" w:cs="Times New Roman" w:eastAsia="Times New Roman" w:hAnsi="Times New Roman"/>
          <w:sz w:val="18"/>
          <w:szCs w:val="18"/>
          <w:b w:val="1"/>
          <w:bCs w:val="1"/>
          <w:color w:val="auto"/>
        </w:rPr>
      </w:pPr>
    </w:p>
    <w:p>
      <w:pPr>
        <w:ind w:left="1460" w:hanging="306"/>
        <w:spacing w:after="0"/>
        <w:tabs>
          <w:tab w:leader="none" w:pos="1460" w:val="left"/>
        </w:tabs>
        <w:numPr>
          <w:ilvl w:val="1"/>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merger, consolidation or similar transaction following which the Company is not the surviving corporation; or</w:t>
      </w:r>
    </w:p>
    <w:p>
      <w:pPr>
        <w:spacing w:after="0" w:line="211" w:lineRule="exact"/>
        <w:rPr>
          <w:rFonts w:ascii="Times New Roman" w:cs="Times New Roman" w:eastAsia="Times New Roman" w:hAnsi="Times New Roman"/>
          <w:sz w:val="18"/>
          <w:szCs w:val="18"/>
          <w:b w:val="1"/>
          <w:bCs w:val="1"/>
          <w:color w:val="auto"/>
        </w:rPr>
      </w:pPr>
    </w:p>
    <w:p>
      <w:pPr>
        <w:ind w:right="20" w:firstLine="1154"/>
        <w:spacing w:after="0" w:line="258" w:lineRule="auto"/>
        <w:tabs>
          <w:tab w:leader="none" w:pos="1450" w:val="left"/>
        </w:tabs>
        <w:numPr>
          <w:ilvl w:val="1"/>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69"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18"/>
          <w:szCs w:val="18"/>
          <w:color w:val="auto"/>
        </w:rPr>
        <w:t>Notwithstanding the foregoing or any other provision of this Plan, (A) the term Corporate Transaction shall not include a sale of assets, merger or other transaction effected exclusively for the purpose of changing the domicile of the Company, (B) the definition of Corporate Transaction (or any analogous term) in an individual written agreement between the Company or any Affiliate and the Participant shall supersede the foregoing definition with respect to Awards subject to such agreement; provided, however, that if no definition of Corporate Transaction or any analogous term is set forth in such an individual written agreement, the foregoing definition shall apply, and (C) with respect to any nonqualified deferred compensation that becomes payable on account of the Corporate Transaction, the transaction or event described in clause (i), (ii), (iii), or (iv) also constitutes a Section 409A Change in Control if required in order for the payment not to violate Section 409A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165" w:name="page166"/>
    <w:bookmarkEnd w:id="165"/>
    <w:p>
      <w:pPr>
        <w:ind w:left="760" w:hanging="243"/>
        <w:spacing w:after="0"/>
        <w:tabs>
          <w:tab w:leader="none" w:pos="760" w:val="left"/>
        </w:tabs>
        <w:numPr>
          <w:ilvl w:val="0"/>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means a member of the Board.</w:t>
      </w:r>
    </w:p>
    <w:p>
      <w:pPr>
        <w:spacing w:after="0" w:line="117" w:lineRule="exact"/>
        <w:rPr>
          <w:rFonts w:ascii="Times New Roman" w:cs="Times New Roman" w:eastAsia="Times New Roman" w:hAnsi="Times New Roman"/>
          <w:sz w:val="18"/>
          <w:szCs w:val="18"/>
          <w:b w:val="1"/>
          <w:bCs w:val="1"/>
          <w:color w:val="auto"/>
        </w:rPr>
      </w:pPr>
    </w:p>
    <w:p>
      <w:pPr>
        <w:ind w:left="740" w:hanging="223"/>
        <w:spacing w:after="0"/>
        <w:tabs>
          <w:tab w:leader="none" w:pos="740" w:val="left"/>
        </w:tabs>
        <w:numPr>
          <w:ilvl w:val="0"/>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determine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determined</w:t>
      </w:r>
      <w:r>
        <w:rPr>
          <w:rFonts w:ascii="Times New Roman" w:cs="Times New Roman" w:eastAsia="Times New Roman" w:hAnsi="Times New Roman"/>
          <w:sz w:val="18"/>
          <w:szCs w:val="18"/>
          <w:color w:val="auto"/>
        </w:rPr>
        <w:t>” means as determined by the Board or the Committee (or its designee) in its sole discretion.</w:t>
      </w:r>
    </w:p>
    <w:p>
      <w:pPr>
        <w:spacing w:after="0" w:line="103" w:lineRule="exact"/>
        <w:rPr>
          <w:rFonts w:ascii="Times New Roman" w:cs="Times New Roman" w:eastAsia="Times New Roman" w:hAnsi="Times New Roman"/>
          <w:sz w:val="18"/>
          <w:szCs w:val="18"/>
          <w:b w:val="1"/>
          <w:bCs w:val="1"/>
          <w:color w:val="auto"/>
        </w:rPr>
      </w:pPr>
    </w:p>
    <w:p>
      <w:pPr>
        <w:jc w:val="both"/>
        <w:ind w:right="600" w:firstLine="517"/>
        <w:spacing w:after="0" w:line="252" w:lineRule="auto"/>
        <w:tabs>
          <w:tab w:leader="none" w:pos="774" w:val="left"/>
        </w:tabs>
        <w:numPr>
          <w:ilvl w:val="0"/>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means, with respect to a Participant, such Participant is unable to engage in any substantial gainful activity by reason of any medically determinable physical or mental impairment which can be expected to result in death or which has lasted or can be expected to last for a continuous period of not less than 12 months, as provided in Section 22(e)(3) of the Code, and will be determined by the Board on the basis of such medical evidence as the Board deems warranted under the circumstances.</w:t>
      </w:r>
    </w:p>
    <w:p>
      <w:pPr>
        <w:spacing w:after="0" w:line="62" w:lineRule="exact"/>
        <w:rPr>
          <w:rFonts w:ascii="Times New Roman" w:cs="Times New Roman" w:eastAsia="Times New Roman" w:hAnsi="Times New Roman"/>
          <w:sz w:val="18"/>
          <w:szCs w:val="18"/>
          <w:b w:val="1"/>
          <w:bCs w:val="1"/>
          <w:color w:val="auto"/>
        </w:rPr>
      </w:pPr>
    </w:p>
    <w:p>
      <w:pPr>
        <w:ind w:left="780" w:hanging="263"/>
        <w:spacing w:after="0"/>
        <w:tabs>
          <w:tab w:leader="none" w:pos="780" w:val="left"/>
        </w:tabs>
        <w:numPr>
          <w:ilvl w:val="0"/>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means immediately prior to the IPO Date, provided that this Plan is approved by the Company’s stockholders prior to the IPO</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Date.</w:t>
      </w:r>
    </w:p>
    <w:p>
      <w:pPr>
        <w:spacing w:after="0" w:line="81" w:lineRule="exact"/>
        <w:rPr>
          <w:rFonts w:ascii="Times New Roman" w:cs="Times New Roman" w:eastAsia="Times New Roman" w:hAnsi="Times New Roman"/>
          <w:sz w:val="18"/>
          <w:szCs w:val="18"/>
          <w:b w:val="1"/>
          <w:bCs w:val="1"/>
          <w:color w:val="auto"/>
        </w:rPr>
      </w:pPr>
    </w:p>
    <w:p>
      <w:pPr>
        <w:ind w:right="260" w:firstLine="517"/>
        <w:spacing w:after="0" w:line="271" w:lineRule="auto"/>
        <w:tabs>
          <w:tab w:leader="none" w:pos="804" w:val="left"/>
        </w:tabs>
        <w:numPr>
          <w:ilvl w:val="0"/>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means any person employed by the Company or an Affiliate. However, service solely as a Director, or payment of a fee for such services, will not cause a Director to be considered an “Employee” for purposes of the Plan.</w:t>
      </w:r>
    </w:p>
    <w:p>
      <w:pPr>
        <w:spacing w:after="0" w:line="45" w:lineRule="exact"/>
        <w:rPr>
          <w:rFonts w:ascii="Times New Roman" w:cs="Times New Roman" w:eastAsia="Times New Roman" w:hAnsi="Times New Roman"/>
          <w:sz w:val="18"/>
          <w:szCs w:val="18"/>
          <w:b w:val="1"/>
          <w:bCs w:val="1"/>
          <w:color w:val="auto"/>
        </w:rPr>
      </w:pPr>
    </w:p>
    <w:p>
      <w:pPr>
        <w:ind w:left="780" w:hanging="263"/>
        <w:spacing w:after="0"/>
        <w:tabs>
          <w:tab w:leader="none" w:pos="780" w:val="left"/>
        </w:tabs>
        <w:numPr>
          <w:ilvl w:val="0"/>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Employer</w:t>
      </w:r>
      <w:r>
        <w:rPr>
          <w:rFonts w:ascii="Times New Roman" w:cs="Times New Roman" w:eastAsia="Times New Roman" w:hAnsi="Times New Roman"/>
          <w:sz w:val="18"/>
          <w:szCs w:val="18"/>
          <w:color w:val="auto"/>
        </w:rPr>
        <w:t>” means the Company or the Affiliate of the Company that employs the Participant.</w:t>
      </w:r>
    </w:p>
    <w:p>
      <w:pPr>
        <w:spacing w:after="0" w:line="117" w:lineRule="exact"/>
        <w:rPr>
          <w:rFonts w:ascii="Times New Roman" w:cs="Times New Roman" w:eastAsia="Times New Roman" w:hAnsi="Times New Roman"/>
          <w:sz w:val="18"/>
          <w:szCs w:val="18"/>
          <w:b w:val="1"/>
          <w:bCs w:val="1"/>
          <w:color w:val="auto"/>
        </w:rPr>
      </w:pPr>
    </w:p>
    <w:p>
      <w:pPr>
        <w:ind w:left="780" w:hanging="263"/>
        <w:spacing w:after="0"/>
        <w:tabs>
          <w:tab w:leader="none" w:pos="780" w:val="left"/>
        </w:tabs>
        <w:numPr>
          <w:ilvl w:val="0"/>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Entity</w:t>
      </w:r>
      <w:r>
        <w:rPr>
          <w:rFonts w:ascii="Times New Roman" w:cs="Times New Roman" w:eastAsia="Times New Roman" w:hAnsi="Times New Roman"/>
          <w:sz w:val="18"/>
          <w:szCs w:val="18"/>
          <w:color w:val="auto"/>
        </w:rPr>
        <w:t>” means a corporation, partnership, limited liability company or other entity.</w:t>
      </w:r>
    </w:p>
    <w:p>
      <w:pPr>
        <w:spacing w:after="0" w:line="103" w:lineRule="exact"/>
        <w:rPr>
          <w:rFonts w:ascii="Times New Roman" w:cs="Times New Roman" w:eastAsia="Times New Roman" w:hAnsi="Times New Roman"/>
          <w:sz w:val="18"/>
          <w:szCs w:val="18"/>
          <w:b w:val="1"/>
          <w:bCs w:val="1"/>
          <w:color w:val="auto"/>
        </w:rPr>
      </w:pPr>
    </w:p>
    <w:p>
      <w:pPr>
        <w:ind w:left="760" w:hanging="243"/>
        <w:spacing w:after="0"/>
        <w:tabs>
          <w:tab w:leader="none" w:pos="760" w:val="left"/>
        </w:tabs>
        <w:numPr>
          <w:ilvl w:val="0"/>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12" w:lineRule="exact"/>
        <w:rPr>
          <w:sz w:val="20"/>
          <w:szCs w:val="20"/>
          <w:color w:val="auto"/>
        </w:rPr>
      </w:pPr>
    </w:p>
    <w:p>
      <w:pPr>
        <w:ind w:right="20" w:firstLine="517"/>
        <w:spacing w:after="0" w:line="246" w:lineRule="auto"/>
        <w:tabs>
          <w:tab w:leader="none" w:pos="854" w:val="left"/>
        </w:tabs>
        <w:numPr>
          <w:ilvl w:val="0"/>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 Person</w:t>
      </w:r>
      <w:r>
        <w:rPr>
          <w:rFonts w:ascii="Times New Roman" w:cs="Times New Roman" w:eastAsia="Times New Roman" w:hAnsi="Times New Roman"/>
          <w:sz w:val="18"/>
          <w:szCs w:val="18"/>
          <w:color w:val="auto"/>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w:t>
      </w:r>
    </w:p>
    <w:p>
      <w:pPr>
        <w:spacing w:after="0" w:line="67" w:lineRule="exact"/>
        <w:rPr>
          <w:rFonts w:ascii="Times New Roman" w:cs="Times New Roman" w:eastAsia="Times New Roman" w:hAnsi="Times New Roman"/>
          <w:sz w:val="18"/>
          <w:szCs w:val="18"/>
          <w:b w:val="1"/>
          <w:bCs w:val="1"/>
          <w:color w:val="auto"/>
        </w:rPr>
      </w:pPr>
    </w:p>
    <w:p>
      <w:pPr>
        <w:ind w:firstLine="517"/>
        <w:spacing w:after="0" w:line="271" w:lineRule="auto"/>
        <w:tabs>
          <w:tab w:leader="none" w:pos="874" w:val="left"/>
        </w:tabs>
        <w:numPr>
          <w:ilvl w:val="0"/>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means, as of any date, unless otherwise determined by the Board, the value of the Common Stock (as determined on a per share or aggregate basis, as applicable) determined as follows:</w:t>
      </w:r>
    </w:p>
    <w:p>
      <w:pPr>
        <w:spacing w:after="0" w:line="63" w:lineRule="exact"/>
        <w:rPr>
          <w:rFonts w:ascii="Times New Roman" w:cs="Times New Roman" w:eastAsia="Times New Roman" w:hAnsi="Times New Roman"/>
          <w:sz w:val="18"/>
          <w:szCs w:val="18"/>
          <w:b w:val="1"/>
          <w:bCs w:val="1"/>
          <w:color w:val="auto"/>
        </w:rPr>
      </w:pPr>
    </w:p>
    <w:p>
      <w:pPr>
        <w:ind w:right="120" w:firstLine="1154"/>
        <w:spacing w:after="0" w:line="250" w:lineRule="auto"/>
        <w:tabs>
          <w:tab w:leader="none" w:pos="1360" w:val="left"/>
        </w:tabs>
        <w:numPr>
          <w:ilvl w:val="1"/>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Common Stock is listed on any established stock exchange or traded on any established market, the Fair Market Value will be the closing sales price for such stock as quoted on such exchange or market (or the exchange or market with the greatest volume of trading in the Common Stock) on the date of determination, as reported in a source the Board deems reliable.</w:t>
      </w:r>
    </w:p>
    <w:p>
      <w:pPr>
        <w:spacing w:after="0" w:line="68" w:lineRule="exact"/>
        <w:rPr>
          <w:rFonts w:ascii="Times New Roman" w:cs="Times New Roman" w:eastAsia="Times New Roman" w:hAnsi="Times New Roman"/>
          <w:sz w:val="18"/>
          <w:szCs w:val="18"/>
          <w:b w:val="1"/>
          <w:bCs w:val="1"/>
          <w:color w:val="auto"/>
        </w:rPr>
      </w:pPr>
    </w:p>
    <w:p>
      <w:pPr>
        <w:ind w:right="400" w:firstLine="1154"/>
        <w:spacing w:after="0" w:line="282" w:lineRule="auto"/>
        <w:tabs>
          <w:tab w:leader="none" w:pos="1410" w:val="left"/>
        </w:tabs>
        <w:numPr>
          <w:ilvl w:val="1"/>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there is no closing sales price for the Common Stock on the date of determination, then the Fair Market Value will be the closing selling price on the last preceding date for which such quotation exists.</w:t>
      </w:r>
    </w:p>
    <w:p>
      <w:pPr>
        <w:spacing w:after="0" w:line="40" w:lineRule="exact"/>
        <w:rPr>
          <w:rFonts w:ascii="Times New Roman" w:cs="Times New Roman" w:eastAsia="Times New Roman" w:hAnsi="Times New Roman"/>
          <w:sz w:val="18"/>
          <w:szCs w:val="18"/>
          <w:b w:val="1"/>
          <w:bCs w:val="1"/>
          <w:color w:val="auto"/>
        </w:rPr>
      </w:pPr>
    </w:p>
    <w:p>
      <w:pPr>
        <w:ind w:right="700" w:firstLine="1154"/>
        <w:spacing w:after="0" w:line="266" w:lineRule="auto"/>
        <w:tabs>
          <w:tab w:leader="none" w:pos="1460" w:val="left"/>
        </w:tabs>
        <w:numPr>
          <w:ilvl w:val="1"/>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absence of such markets for the Common Stock, or if otherwise determined by the Board, the Fair Market Value will be determined by the Board in good faith and in a manner that complies with Sections 409A and 422 of the Code.</w:t>
      </w:r>
    </w:p>
    <w:p>
      <w:pPr>
        <w:spacing w:after="0" w:line="63" w:lineRule="exact"/>
        <w:rPr>
          <w:rFonts w:ascii="Times New Roman" w:cs="Times New Roman" w:eastAsia="Times New Roman" w:hAnsi="Times New Roman"/>
          <w:sz w:val="18"/>
          <w:szCs w:val="18"/>
          <w:b w:val="1"/>
          <w:bCs w:val="1"/>
          <w:color w:val="auto"/>
        </w:rPr>
      </w:pPr>
    </w:p>
    <w:p>
      <w:pPr>
        <w:ind w:right="60" w:firstLine="517"/>
        <w:spacing w:after="0" w:line="245" w:lineRule="auto"/>
        <w:tabs>
          <w:tab w:leader="none" w:pos="833" w:val="left"/>
        </w:tabs>
        <w:numPr>
          <w:ilvl w:val="0"/>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Body</w:t>
      </w:r>
      <w:r>
        <w:rPr>
          <w:rFonts w:ascii="Times New Roman" w:cs="Times New Roman" w:eastAsia="Times New Roman" w:hAnsi="Times New Roman"/>
          <w:sz w:val="18"/>
          <w:szCs w:val="18"/>
          <w:color w:val="auto"/>
        </w:rPr>
        <w:t>” means any: (i) nation, state, commonwealth, province, territory, county, municipality, district or other jurisdiction of any nature; (ii) federal, state, local, municipal, foreign or other government; (iii) governmental or regulatory body, or quasi- 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(iv) self-regulatory organization (including the Nasdaq Stock Market, New York Stock Exchange, and the Financial Industry Regulatory Authority).</w:t>
      </w:r>
    </w:p>
    <w:p>
      <w:pPr>
        <w:spacing w:after="0" w:line="82" w:lineRule="exact"/>
        <w:rPr>
          <w:rFonts w:ascii="Times New Roman" w:cs="Times New Roman" w:eastAsia="Times New Roman" w:hAnsi="Times New Roman"/>
          <w:sz w:val="18"/>
          <w:szCs w:val="18"/>
          <w:b w:val="1"/>
          <w:bCs w:val="1"/>
          <w:color w:val="auto"/>
        </w:rPr>
      </w:pPr>
    </w:p>
    <w:p>
      <w:pPr>
        <w:ind w:right="380" w:firstLine="517"/>
        <w:spacing w:after="0" w:line="271" w:lineRule="auto"/>
        <w:tabs>
          <w:tab w:leader="none" w:pos="874" w:val="left"/>
        </w:tabs>
        <w:numPr>
          <w:ilvl w:val="0"/>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means the notice provided to a Participant that he or she has been granted an Award under the Plan and which includes the name of the Participant, the type of Award, the date of grant of the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166" w:name="page167"/>
    <w:bookmarkEnd w:id="166"/>
    <w:p>
      <w:pPr>
        <w:spacing w:after="0" w:line="282" w:lineRule="auto"/>
        <w:rPr>
          <w:sz w:val="20"/>
          <w:szCs w:val="20"/>
          <w:color w:val="auto"/>
        </w:rPr>
      </w:pPr>
      <w:r>
        <w:rPr>
          <w:rFonts w:ascii="Times New Roman" w:cs="Times New Roman" w:eastAsia="Times New Roman" w:hAnsi="Times New Roman"/>
          <w:sz w:val="18"/>
          <w:szCs w:val="18"/>
          <w:color w:val="auto"/>
        </w:rPr>
        <w:t>number of shares of Common Stock subject to the Award or potential cash payment right, (if any), the vesting schedule for the Award (if any) and other key terms applicable to the Award.</w:t>
      </w:r>
    </w:p>
    <w:p>
      <w:pPr>
        <w:spacing w:after="0" w:line="36" w:lineRule="exact"/>
        <w:rPr>
          <w:sz w:val="20"/>
          <w:szCs w:val="20"/>
          <w:color w:val="auto"/>
        </w:rPr>
      </w:pPr>
    </w:p>
    <w:p>
      <w:pPr>
        <w:ind w:right="120" w:firstLine="517"/>
        <w:spacing w:after="0" w:line="271" w:lineRule="auto"/>
        <w:tabs>
          <w:tab w:leader="none" w:pos="833"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Incentive Stock Option</w:t>
      </w:r>
      <w:r>
        <w:rPr>
          <w:rFonts w:ascii="Times New Roman" w:cs="Times New Roman" w:eastAsia="Times New Roman" w:hAnsi="Times New Roman"/>
          <w:sz w:val="18"/>
          <w:szCs w:val="18"/>
          <w:color w:val="auto"/>
        </w:rPr>
        <w:t>” means an option granted pursuant to Section 4 of the Plan that is intended to be, and qualifies as, an “incentive stock option” within the meaning of Section 422 of the Code.</w:t>
      </w:r>
    </w:p>
    <w:p>
      <w:pPr>
        <w:spacing w:after="0" w:line="153" w:lineRule="exact"/>
        <w:rPr>
          <w:rFonts w:ascii="Times New Roman" w:cs="Times New Roman" w:eastAsia="Times New Roman" w:hAnsi="Times New Roman"/>
          <w:sz w:val="18"/>
          <w:szCs w:val="18"/>
          <w:b w:val="1"/>
          <w:bCs w:val="1"/>
          <w:color w:val="auto"/>
        </w:rPr>
      </w:pPr>
    </w:p>
    <w:p>
      <w:pPr>
        <w:ind w:right="140" w:firstLine="517"/>
        <w:spacing w:after="0" w:line="271" w:lineRule="auto"/>
        <w:tabs>
          <w:tab w:leader="none" w:pos="794"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IPO Date</w:t>
      </w:r>
      <w:r>
        <w:rPr>
          <w:rFonts w:ascii="Times New Roman" w:cs="Times New Roman" w:eastAsia="Times New Roman" w:hAnsi="Times New Roman"/>
          <w:sz w:val="18"/>
          <w:szCs w:val="18"/>
          <w:color w:val="auto"/>
        </w:rPr>
        <w:t>” means the date of the underwriting agreement between the Company and the underwriter(s) managing the initial public offering of the Common Stock, pursuant to which the Common Stock is priced for the initial public offering.</w:t>
      </w:r>
    </w:p>
    <w:p>
      <w:pPr>
        <w:spacing w:after="0" w:line="59" w:lineRule="exact"/>
        <w:rPr>
          <w:rFonts w:ascii="Times New Roman" w:cs="Times New Roman" w:eastAsia="Times New Roman" w:hAnsi="Times New Roman"/>
          <w:sz w:val="18"/>
          <w:szCs w:val="18"/>
          <w:b w:val="1"/>
          <w:bCs w:val="1"/>
          <w:color w:val="auto"/>
        </w:rPr>
      </w:pPr>
    </w:p>
    <w:p>
      <w:pPr>
        <w:ind w:right="40" w:firstLine="517"/>
        <w:spacing w:after="0" w:line="244" w:lineRule="auto"/>
        <w:tabs>
          <w:tab w:leader="none" w:pos="854"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Materially Impair</w:t>
      </w:r>
      <w:r>
        <w:rPr>
          <w:rFonts w:ascii="Times New Roman" w:cs="Times New Roman" w:eastAsia="Times New Roman" w:hAnsi="Times New Roman"/>
          <w:sz w:val="18"/>
          <w:szCs w:val="18"/>
          <w:color w:val="auto"/>
        </w:rPr>
        <w:t>” means any amendment to the terms of the Award that materially adversely affects the Participant’s rights under the Award. A Participant’s rights under an Award will not be deemed to have been Materially Impaired by any such amendment if the Board,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or SAR that may be exercised; (ii) to maintain the qualified status of the Award as an Incentive Stock Option under Section 422 of the Code; (iii) to change the terms of an Incentive Stock 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 or (v) to comply with other Applicable Laws.</w:t>
      </w:r>
    </w:p>
    <w:p>
      <w:pPr>
        <w:spacing w:after="0" w:line="71" w:lineRule="exact"/>
        <w:rPr>
          <w:rFonts w:ascii="Times New Roman" w:cs="Times New Roman" w:eastAsia="Times New Roman" w:hAnsi="Times New Roman"/>
          <w:sz w:val="18"/>
          <w:szCs w:val="18"/>
          <w:b w:val="1"/>
          <w:bCs w:val="1"/>
          <w:color w:val="auto"/>
        </w:rPr>
      </w:pPr>
    </w:p>
    <w:p>
      <w:pPr>
        <w:ind w:right="20" w:firstLine="517"/>
        <w:spacing w:after="0" w:line="248" w:lineRule="auto"/>
        <w:tabs>
          <w:tab w:leader="none" w:pos="874"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Non-Employee Director</w:t>
      </w:r>
      <w:r>
        <w:rPr>
          <w:rFonts w:ascii="Times New Roman" w:cs="Times New Roman" w:eastAsia="Times New Roman" w:hAnsi="Times New Roman"/>
          <w:sz w:val="18"/>
          <w:szCs w:val="18"/>
          <w:color w:val="auto"/>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imes New Roman" w:cs="Times New Roman" w:eastAsia="Times New Roman" w:hAnsi="Times New Roman"/>
          <w:sz w:val="18"/>
          <w:szCs w:val="18"/>
          <w:b w:val="1"/>
          <w:bCs w:val="1"/>
          <w:i w:val="1"/>
          <w:iCs w:val="1"/>
          <w:color w:val="auto"/>
        </w:rPr>
        <w:t>Regulation S-K</w:t>
      </w:r>
      <w:r>
        <w:rPr>
          <w:rFonts w:ascii="Times New Roman" w:cs="Times New Roman" w:eastAsia="Times New Roman" w:hAnsi="Times New Roman"/>
          <w:sz w:val="18"/>
          <w:szCs w:val="18"/>
          <w:color w:val="auto"/>
        </w:rPr>
        <w:t>”)),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spacing w:after="0" w:line="66" w:lineRule="exact"/>
        <w:rPr>
          <w:rFonts w:ascii="Times New Roman" w:cs="Times New Roman" w:eastAsia="Times New Roman" w:hAnsi="Times New Roman"/>
          <w:sz w:val="18"/>
          <w:szCs w:val="18"/>
          <w:b w:val="1"/>
          <w:bCs w:val="1"/>
          <w:color w:val="auto"/>
        </w:rPr>
      </w:pPr>
    </w:p>
    <w:p>
      <w:pPr>
        <w:ind w:right="80" w:firstLine="517"/>
        <w:spacing w:after="0" w:line="260" w:lineRule="auto"/>
        <w:tabs>
          <w:tab w:leader="none" w:pos="774"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Non-Exempt Award</w:t>
      </w:r>
      <w:r>
        <w:rPr>
          <w:rFonts w:ascii="Times New Roman" w:cs="Times New Roman" w:eastAsia="Times New Roman" w:hAnsi="Times New Roman"/>
          <w:sz w:val="18"/>
          <w:szCs w:val="18"/>
          <w:color w:val="auto"/>
        </w:rPr>
        <w:t>” means any Award that is subject to, and not exempt from, Section 409A, including as the result of (i) a deferral of the issuance of the shares subject to the Award which is elected by the Participant or imposed by the Company, or (ii) the terms of any Non-Exempt Severance Agreement.</w:t>
      </w:r>
    </w:p>
    <w:p>
      <w:pPr>
        <w:spacing w:after="0" w:line="56" w:lineRule="exact"/>
        <w:rPr>
          <w:rFonts w:ascii="Times New Roman" w:cs="Times New Roman" w:eastAsia="Times New Roman" w:hAnsi="Times New Roman"/>
          <w:sz w:val="18"/>
          <w:szCs w:val="18"/>
          <w:b w:val="1"/>
          <w:bCs w:val="1"/>
          <w:color w:val="auto"/>
        </w:rPr>
      </w:pPr>
    </w:p>
    <w:p>
      <w:pPr>
        <w:ind w:left="800" w:hanging="283"/>
        <w:spacing w:after="0"/>
        <w:tabs>
          <w:tab w:leader="none" w:pos="800"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Non-Exempt Director Award</w:t>
      </w:r>
      <w:r>
        <w:rPr>
          <w:rFonts w:ascii="Times New Roman" w:cs="Times New Roman" w:eastAsia="Times New Roman" w:hAnsi="Times New Roman"/>
          <w:sz w:val="18"/>
          <w:szCs w:val="18"/>
          <w:color w:val="auto"/>
        </w:rPr>
        <w:t>” means a Non-Exempt Award granted to a Participant who was a Director but not an Employee on the applicable</w:t>
      </w:r>
    </w:p>
    <w:p>
      <w:pPr>
        <w:spacing w:after="0" w:line="1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grant date.</w:t>
      </w:r>
    </w:p>
    <w:p>
      <w:pPr>
        <w:spacing w:after="0" w:line="79" w:lineRule="exact"/>
        <w:rPr>
          <w:rFonts w:ascii="Times New Roman" w:cs="Times New Roman" w:eastAsia="Times New Roman" w:hAnsi="Times New Roman"/>
          <w:sz w:val="18"/>
          <w:szCs w:val="18"/>
          <w:b w:val="1"/>
          <w:bCs w:val="1"/>
          <w:color w:val="auto"/>
        </w:rPr>
      </w:pPr>
    </w:p>
    <w:p>
      <w:pPr>
        <w:ind w:right="200" w:firstLine="517"/>
        <w:spacing w:after="0" w:line="251" w:lineRule="auto"/>
        <w:tabs>
          <w:tab w:leader="none" w:pos="874"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Non-Exempt Severance Arrangement</w:t>
      </w:r>
      <w:r>
        <w:rPr>
          <w:rFonts w:ascii="Times New Roman" w:cs="Times New Roman" w:eastAsia="Times New Roman" w:hAnsi="Times New Roman"/>
          <w:sz w:val="18"/>
          <w:szCs w:val="18"/>
          <w:color w:val="auto"/>
        </w:rPr>
        <w:t>” means a severance arrangement or other agreement between the Participant and the Company that provides for acceleration of vesting of an Award and issuance of the shares in respect of such Award upon the Participant’s termination of employment or separation from service (as such term is defined in Section 409A(a)(2)(A)(i) of the Code (and without regard to any alternative definition thereunder) (“</w:t>
      </w:r>
      <w:r>
        <w:rPr>
          <w:rFonts w:ascii="Times New Roman" w:cs="Times New Roman" w:eastAsia="Times New Roman" w:hAnsi="Times New Roman"/>
          <w:sz w:val="18"/>
          <w:szCs w:val="18"/>
          <w:b w:val="1"/>
          <w:bCs w:val="1"/>
          <w:i w:val="1"/>
          <w:iCs w:val="1"/>
          <w:color w:val="auto"/>
        </w:rPr>
        <w:t>Separation from Service</w:t>
      </w:r>
      <w:r>
        <w:rPr>
          <w:rFonts w:ascii="Times New Roman" w:cs="Times New Roman" w:eastAsia="Times New Roman" w:hAnsi="Times New Roman"/>
          <w:sz w:val="18"/>
          <w:szCs w:val="18"/>
          <w:color w:val="auto"/>
        </w:rPr>
        <w:t>”) and such severance benefit does not satisfy the requirements for an exemption from application of Section 409A provided under Treasury Regulations Section 1.409A-1(b)(4), 1.409A-1(b)(9) or otherwise.</w:t>
      </w:r>
    </w:p>
    <w:p>
      <w:pPr>
        <w:spacing w:after="0" w:line="65" w:lineRule="exact"/>
        <w:rPr>
          <w:rFonts w:ascii="Times New Roman" w:cs="Times New Roman" w:eastAsia="Times New Roman" w:hAnsi="Times New Roman"/>
          <w:sz w:val="18"/>
          <w:szCs w:val="18"/>
          <w:b w:val="1"/>
          <w:bCs w:val="1"/>
          <w:color w:val="auto"/>
        </w:rPr>
      </w:pPr>
    </w:p>
    <w:p>
      <w:pPr>
        <w:ind w:left="780" w:hanging="263"/>
        <w:spacing w:after="0"/>
        <w:tabs>
          <w:tab w:leader="none" w:pos="780"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Nonstatutory Stock Option</w:t>
      </w:r>
      <w:r>
        <w:rPr>
          <w:rFonts w:ascii="Times New Roman" w:cs="Times New Roman" w:eastAsia="Times New Roman" w:hAnsi="Times New Roman"/>
          <w:sz w:val="18"/>
          <w:szCs w:val="18"/>
          <w:color w:val="auto"/>
        </w:rPr>
        <w:t>” means any option granted pursuant to Section 4 of the Plan that does not qualify as an Incentive Stock Option.</w:t>
      </w:r>
    </w:p>
    <w:p>
      <w:pPr>
        <w:spacing w:after="0" w:line="211" w:lineRule="exact"/>
        <w:rPr>
          <w:rFonts w:ascii="Times New Roman" w:cs="Times New Roman" w:eastAsia="Times New Roman" w:hAnsi="Times New Roman"/>
          <w:sz w:val="18"/>
          <w:szCs w:val="18"/>
          <w:b w:val="1"/>
          <w:bCs w:val="1"/>
          <w:color w:val="auto"/>
        </w:rPr>
      </w:pPr>
    </w:p>
    <w:p>
      <w:pPr>
        <w:ind w:left="980" w:hanging="463"/>
        <w:spacing w:after="0"/>
        <w:tabs>
          <w:tab w:leader="none" w:pos="980"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means a person who is an officer of the Company within the meaning of Section 16 of the Exchange Act.</w:t>
      </w:r>
    </w:p>
    <w:p>
      <w:pPr>
        <w:spacing w:after="0" w:line="103" w:lineRule="exact"/>
        <w:rPr>
          <w:rFonts w:ascii="Times New Roman" w:cs="Times New Roman" w:eastAsia="Times New Roman" w:hAnsi="Times New Roman"/>
          <w:sz w:val="18"/>
          <w:szCs w:val="18"/>
          <w:b w:val="1"/>
          <w:bCs w:val="1"/>
          <w:color w:val="auto"/>
        </w:rPr>
      </w:pPr>
    </w:p>
    <w:p>
      <w:pPr>
        <w:ind w:left="880" w:hanging="363"/>
        <w:spacing w:after="0"/>
        <w:tabs>
          <w:tab w:leader="none" w:pos="880"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means an Incentive Stock Option or a Nonstatutory Stock Option to purchase shares of Common Stock granted pursuant to the Plan.</w:t>
      </w:r>
    </w:p>
    <w:p>
      <w:pPr>
        <w:spacing w:after="0" w:line="103" w:lineRule="exact"/>
        <w:rPr>
          <w:rFonts w:ascii="Times New Roman" w:cs="Times New Roman" w:eastAsia="Times New Roman" w:hAnsi="Times New Roman"/>
          <w:sz w:val="18"/>
          <w:szCs w:val="18"/>
          <w:b w:val="1"/>
          <w:bCs w:val="1"/>
          <w:color w:val="auto"/>
        </w:rPr>
      </w:pPr>
    </w:p>
    <w:p>
      <w:pPr>
        <w:ind w:right="60" w:firstLine="517"/>
        <w:spacing w:after="0" w:line="252" w:lineRule="auto"/>
        <w:tabs>
          <w:tab w:leader="none" w:pos="854"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 Agreement</w:t>
      </w:r>
      <w:r>
        <w:rPr>
          <w:rFonts w:ascii="Times New Roman" w:cs="Times New Roman" w:eastAsia="Times New Roman" w:hAnsi="Times New Roman"/>
          <w:sz w:val="18"/>
          <w:szCs w:val="18"/>
          <w:color w:val="auto"/>
        </w:rPr>
        <w:t>” means a written or electronic agreement between the Company and the Optionholder evidencing the terms and conditions of the Option grant. The Option Agreement includes the Grant Notice for the Option and the agreement containing the written summary of the general terms and conditions applicable to the Option and which is provided, including through electronic means, to a Participant along with the Grant Notice. Each Option Agreement will be subject to the terms and conditions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178435</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67" w:name="page168"/>
    <w:bookmarkEnd w:id="167"/>
    <w:p>
      <w:pPr>
        <w:ind w:left="-517" w:right="840" w:firstLine="517"/>
        <w:spacing w:after="0" w:line="286" w:lineRule="auto"/>
        <w:tabs>
          <w:tab w:leader="none" w:pos="357"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Optionholder</w:t>
      </w:r>
      <w:r>
        <w:rPr>
          <w:rFonts w:ascii="Times New Roman" w:cs="Times New Roman" w:eastAsia="Times New Roman" w:hAnsi="Times New Roman"/>
          <w:sz w:val="18"/>
          <w:szCs w:val="18"/>
          <w:color w:val="auto"/>
        </w:rPr>
        <w:t>” means a person to whom an Option is granted pursuant to the Plan or, if applicable, such other person who holds an outstanding Option.</w:t>
      </w:r>
    </w:p>
    <w:p>
      <w:pPr>
        <w:spacing w:after="0" w:line="33" w:lineRule="exact"/>
        <w:rPr>
          <w:rFonts w:ascii="Times New Roman" w:cs="Times New Roman" w:eastAsia="Times New Roman" w:hAnsi="Times New Roman"/>
          <w:sz w:val="18"/>
          <w:szCs w:val="18"/>
          <w:b w:val="1"/>
          <w:bCs w:val="1"/>
          <w:color w:val="auto"/>
        </w:rPr>
      </w:pPr>
    </w:p>
    <w:p>
      <w:pPr>
        <w:jc w:val="both"/>
        <w:ind w:left="-517" w:right="160" w:firstLine="517"/>
        <w:spacing w:after="0" w:line="260" w:lineRule="auto"/>
        <w:tabs>
          <w:tab w:leader="none" w:pos="357"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Award</w:t>
      </w:r>
      <w:r>
        <w:rPr>
          <w:rFonts w:ascii="Times New Roman" w:cs="Times New Roman" w:eastAsia="Times New Roman" w:hAnsi="Times New Roman"/>
          <w:sz w:val="18"/>
          <w:szCs w:val="18"/>
          <w:color w:val="auto"/>
        </w:rPr>
        <w:t>” means an award valued in whole or in part by reference to, or otherwise based on, Common Stock, including the appreciation in value thereof (e.g., options or stock rights with an exercise price or strike price less than 100% of the Fair Market Value at the time of grant) that is not an Incentive Stock Option, Nonstatutory Stock Option, SAR, Restricted Stock Award, RSU Award or Performance Award.</w:t>
      </w:r>
    </w:p>
    <w:p>
      <w:pPr>
        <w:spacing w:after="0" w:line="56" w:lineRule="exact"/>
        <w:rPr>
          <w:rFonts w:ascii="Times New Roman" w:cs="Times New Roman" w:eastAsia="Times New Roman" w:hAnsi="Times New Roman"/>
          <w:sz w:val="18"/>
          <w:szCs w:val="18"/>
          <w:b w:val="1"/>
          <w:bCs w:val="1"/>
          <w:color w:val="auto"/>
        </w:rPr>
      </w:pPr>
    </w:p>
    <w:p>
      <w:pPr>
        <w:ind w:left="-517" w:right="420" w:firstLine="517"/>
        <w:spacing w:after="0" w:line="271" w:lineRule="auto"/>
        <w:tabs>
          <w:tab w:leader="none" w:pos="316"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Award Agreement</w:t>
      </w:r>
      <w:r>
        <w:rPr>
          <w:rFonts w:ascii="Times New Roman" w:cs="Times New Roman" w:eastAsia="Times New Roman" w:hAnsi="Times New Roman"/>
          <w:sz w:val="18"/>
          <w:szCs w:val="18"/>
          <w:color w:val="auto"/>
        </w:rPr>
        <w:t>” means a written or electronic agreement between the Company and a holder of an Other Award evidencing the terms and conditions of an Other Award grant. Each Other Award Agreement will be subject to the terms and conditions of the Plan.</w:t>
      </w:r>
    </w:p>
    <w:p>
      <w:pPr>
        <w:spacing w:after="0" w:line="59" w:lineRule="exact"/>
        <w:rPr>
          <w:rFonts w:ascii="Times New Roman" w:cs="Times New Roman" w:eastAsia="Times New Roman" w:hAnsi="Times New Roman"/>
          <w:sz w:val="18"/>
          <w:szCs w:val="18"/>
          <w:b w:val="1"/>
          <w:bCs w:val="1"/>
          <w:color w:val="auto"/>
        </w:rPr>
      </w:pPr>
    </w:p>
    <w:p>
      <w:pPr>
        <w:ind w:left="-517" w:right="20" w:firstLine="517"/>
        <w:spacing w:after="0" w:line="252" w:lineRule="auto"/>
        <w:tabs>
          <w:tab w:leader="none" w:pos="297"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Own,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Ownership</w:t>
      </w:r>
      <w:r>
        <w:rPr>
          <w:rFonts w:ascii="Times New Roman" w:cs="Times New Roman" w:eastAsia="Times New Roman" w:hAnsi="Times New Roman"/>
          <w:sz w:val="18"/>
          <w:szCs w:val="18"/>
          <w:color w:val="auto"/>
        </w:rPr>
        <w:t>” means that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63" w:lineRule="exact"/>
        <w:rPr>
          <w:rFonts w:ascii="Times New Roman" w:cs="Times New Roman" w:eastAsia="Times New Roman" w:hAnsi="Times New Roman"/>
          <w:sz w:val="18"/>
          <w:szCs w:val="18"/>
          <w:b w:val="1"/>
          <w:bCs w:val="1"/>
          <w:color w:val="auto"/>
        </w:rPr>
      </w:pPr>
    </w:p>
    <w:p>
      <w:pPr>
        <w:ind w:left="-517" w:right="60" w:firstLine="517"/>
        <w:spacing w:after="0" w:line="286" w:lineRule="auto"/>
        <w:tabs>
          <w:tab w:leader="none" w:pos="277"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means an Employee, Director or Consultant to whom an Award is granted pursuant to the Plan or, if applicable, such other person who holds an outstanding Award.</w:t>
      </w:r>
    </w:p>
    <w:p>
      <w:pPr>
        <w:spacing w:after="0" w:line="33" w:lineRule="exact"/>
        <w:rPr>
          <w:rFonts w:ascii="Times New Roman" w:cs="Times New Roman" w:eastAsia="Times New Roman" w:hAnsi="Times New Roman"/>
          <w:sz w:val="18"/>
          <w:szCs w:val="18"/>
          <w:b w:val="1"/>
          <w:bCs w:val="1"/>
          <w:color w:val="auto"/>
        </w:rPr>
      </w:pPr>
    </w:p>
    <w:p>
      <w:pPr>
        <w:ind w:left="-517" w:firstLine="517"/>
        <w:spacing w:after="0" w:line="247" w:lineRule="auto"/>
        <w:tabs>
          <w:tab w:leader="none" w:pos="357"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Award</w:t>
      </w:r>
      <w:r>
        <w:rPr>
          <w:rFonts w:ascii="Times New Roman" w:cs="Times New Roman" w:eastAsia="Times New Roman" w:hAnsi="Times New Roman"/>
          <w:sz w:val="18"/>
          <w:szCs w:val="18"/>
          <w:color w:val="auto"/>
        </w:rPr>
        <w:t>” means an Award that may vest or may be exercised or a cash award that may vest or become earned and paid contingent upon the attainment during a Performance Period of certain Performance Goals and which is granted under the terms and conditions of Section 5(b) pursuant to such terms as are approved by the Board. In addition, to the extent permitted by Applicable Law and set forth in the applicable Award Agreement, the Board may determine that cash or other property may be used in payment of Performance Awards. Performance Awards that are settled in cash or other property are not required to be valued in whole or in part by reference to, or otherwise based on, the Common Stock.</w:t>
      </w:r>
    </w:p>
    <w:p>
      <w:pPr>
        <w:spacing w:after="0" w:line="82" w:lineRule="exact"/>
        <w:rPr>
          <w:rFonts w:ascii="Times New Roman" w:cs="Times New Roman" w:eastAsia="Times New Roman" w:hAnsi="Times New Roman"/>
          <w:sz w:val="18"/>
          <w:szCs w:val="18"/>
          <w:b w:val="1"/>
          <w:bCs w:val="1"/>
          <w:color w:val="auto"/>
        </w:rPr>
      </w:pPr>
    </w:p>
    <w:p>
      <w:pPr>
        <w:ind w:left="-517" w:firstLine="517"/>
        <w:spacing w:after="0" w:line="241" w:lineRule="auto"/>
        <w:tabs>
          <w:tab w:leader="none" w:pos="337"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Criteria</w:t>
      </w:r>
      <w:r>
        <w:rPr>
          <w:rFonts w:ascii="Times New Roman" w:cs="Times New Roman" w:eastAsia="Times New Roman" w:hAnsi="Times New Roman"/>
          <w:sz w:val="18"/>
          <w:szCs w:val="18"/>
          <w:color w:val="auto"/>
        </w:rPr>
        <w:t>” means one or more criteria that the Board will select for purposes of establishing the Performance Goals for a Performance Period. The Performance Criteria that will be used to establish such Performance Goals may be based on any one of, or combination of, the following as determined by the Board: earnings (including earnings per share and net earnings); earnings before interest, taxes and depreciation; earnings before interest, taxes, depreciation and amortization; total stockholder return; return on equity or average stockholder’s equity; return on assets, investment, or capital employed; stock price; margin (including gross margin); income (before or after taxes); operating income; operating income after taxes; pre-tax profit; operating cash flow; sales or revenue targets; increases in revenue or product revenue; expenses and cost reduction goals; improvement in or attainment of working capital levels; economic value added (or an equivalent metric); market share; cash flow; cash flow per share; share price performance; debt reduction; customer satisfaction; stockholders’ equity; capital expenditures; debt levels; operating profit or net operating profit; workforce diversity; growth of net income or operating income; billings; financing; regulatory milestones; stockholder liquidity; corporate governance and compliance; intellectual property; personnel matters; progress of internal research; progress of partnered programs; partner satisfaction; budget management; partner or collaborator achievements; internal controls, including those related to the Sarbanes- Oxley Act of 2002; investor relations, analysts and communication; implementation or completion of projects or processes; employee retention; number of users, including unique users; strategic partnerships or transactions (including in-licensing and out-licensing of intellectual property); establishing relationships with respect to the marketing, distribution and sale of the Company’s products; supply chain achievements; co-development, co-marketing, profit sharing, joint venture or other similar arrangements; individual performance goals; corporate development and planning goals; and other measures of performance selected by the Board or Committee whether or not listed herein.</w:t>
      </w:r>
    </w:p>
    <w:p>
      <w:pPr>
        <w:spacing w:after="0" w:line="89" w:lineRule="exact"/>
        <w:rPr>
          <w:rFonts w:ascii="Times New Roman" w:cs="Times New Roman" w:eastAsia="Times New Roman" w:hAnsi="Times New Roman"/>
          <w:sz w:val="18"/>
          <w:szCs w:val="18"/>
          <w:b w:val="1"/>
          <w:bCs w:val="1"/>
          <w:color w:val="auto"/>
        </w:rPr>
      </w:pPr>
    </w:p>
    <w:p>
      <w:pPr>
        <w:ind w:left="-517" w:firstLine="517"/>
        <w:spacing w:after="0" w:line="246" w:lineRule="auto"/>
        <w:tabs>
          <w:tab w:leader="none" w:pos="417"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Goals</w:t>
      </w:r>
      <w:r>
        <w:rPr>
          <w:rFonts w:ascii="Times New Roman" w:cs="Times New Roman" w:eastAsia="Times New Roman" w:hAnsi="Times New Roman"/>
          <w:sz w:val="18"/>
          <w:szCs w:val="18"/>
          <w:color w:val="auto"/>
        </w:rPr>
        <w:t>” means, for a Performance Period, one or more goals established by the Board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172720</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428" w:right="359" w:bottom="1440" w:gutter="0" w:footer="0" w:header="0"/>
        </w:sectPr>
      </w:pPr>
    </w:p>
    <w:bookmarkStart w:id="168" w:name="page169"/>
    <w:bookmarkEnd w:id="168"/>
    <w:p>
      <w:pPr>
        <w:ind w:right="80"/>
        <w:spacing w:after="0" w:line="242" w:lineRule="auto"/>
        <w:rPr>
          <w:sz w:val="20"/>
          <w:szCs w:val="20"/>
          <w:color w:val="auto"/>
        </w:rPr>
      </w:pPr>
      <w:r>
        <w:rPr>
          <w:rFonts w:ascii="Times New Roman" w:cs="Times New Roman" w:eastAsia="Times New Roman" w:hAnsi="Times New Roman"/>
          <w:sz w:val="18"/>
          <w:szCs w:val="18"/>
          <w:color w:val="auto"/>
        </w:rPr>
        <w:t>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 In addition, the Board may establish or provide for other adjustment items in the Award Agreement at the time the Award is granted or in such other document setting forth the Performance Goals at the time the Performance Goals are established. In addition, the Board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Award Agreement or the written terms of a Performance Cash Award.</w:t>
      </w:r>
    </w:p>
    <w:p>
      <w:pPr>
        <w:spacing w:after="0" w:line="85" w:lineRule="exact"/>
        <w:rPr>
          <w:sz w:val="20"/>
          <w:szCs w:val="20"/>
          <w:color w:val="auto"/>
        </w:rPr>
      </w:pPr>
    </w:p>
    <w:p>
      <w:pPr>
        <w:ind w:right="180" w:firstLine="517"/>
        <w:spacing w:after="0" w:line="252" w:lineRule="auto"/>
        <w:tabs>
          <w:tab w:leader="none" w:pos="854" w:val="left"/>
        </w:tabs>
        <w:numPr>
          <w:ilvl w:val="0"/>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Period</w:t>
      </w:r>
      <w:r>
        <w:rPr>
          <w:rFonts w:ascii="Times New Roman" w:cs="Times New Roman" w:eastAsia="Times New Roman" w:hAnsi="Times New Roman"/>
          <w:sz w:val="18"/>
          <w:szCs w:val="18"/>
          <w:color w:val="auto"/>
        </w:rPr>
        <w:t>” means the period of time selected by the Board over which the attainment of one or more Performance Goals will be measured for the purpose of determining a Participant’s right to vesting or exercise of an Award. Performance Periods may be of varying and overlapping duration, at the sole discretion of the Board.</w:t>
      </w:r>
    </w:p>
    <w:p>
      <w:pPr>
        <w:spacing w:after="0" w:line="77" w:lineRule="exact"/>
        <w:rPr>
          <w:rFonts w:ascii="Times New Roman" w:cs="Times New Roman" w:eastAsia="Times New Roman" w:hAnsi="Times New Roman"/>
          <w:sz w:val="18"/>
          <w:szCs w:val="18"/>
          <w:b w:val="1"/>
          <w:bCs w:val="1"/>
          <w:color w:val="auto"/>
        </w:rPr>
      </w:pPr>
    </w:p>
    <w:p>
      <w:pPr>
        <w:ind w:left="860" w:hanging="343"/>
        <w:spacing w:after="0"/>
        <w:tabs>
          <w:tab w:leader="none" w:pos="860" w:val="left"/>
        </w:tabs>
        <w:numPr>
          <w:ilvl w:val="0"/>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this Invivyd, Inc. 2021 Equity Incentive Plan, as amended from time to time.</w:t>
      </w:r>
    </w:p>
    <w:p>
      <w:pPr>
        <w:spacing w:after="0" w:line="103" w:lineRule="exact"/>
        <w:rPr>
          <w:rFonts w:ascii="Times New Roman" w:cs="Times New Roman" w:eastAsia="Times New Roman" w:hAnsi="Times New Roman"/>
          <w:sz w:val="18"/>
          <w:szCs w:val="18"/>
          <w:b w:val="1"/>
          <w:bCs w:val="1"/>
          <w:color w:val="auto"/>
        </w:rPr>
      </w:pPr>
    </w:p>
    <w:p>
      <w:pPr>
        <w:ind w:right="400" w:firstLine="517"/>
        <w:spacing w:after="0" w:line="271" w:lineRule="auto"/>
        <w:tabs>
          <w:tab w:leader="none" w:pos="833" w:val="left"/>
        </w:tabs>
        <w:numPr>
          <w:ilvl w:val="0"/>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 Administrator</w:t>
      </w:r>
      <w:r>
        <w:rPr>
          <w:rFonts w:ascii="Times New Roman" w:cs="Times New Roman" w:eastAsia="Times New Roman" w:hAnsi="Times New Roman"/>
          <w:sz w:val="18"/>
          <w:szCs w:val="18"/>
          <w:color w:val="auto"/>
        </w:rPr>
        <w:t>” means the person, persons, and/or third-party administrator designated by the Company to administer the day to day operations of the Plan and the Company’s other equity incentive programs.</w:t>
      </w:r>
    </w:p>
    <w:p>
      <w:pPr>
        <w:spacing w:after="0" w:line="59" w:lineRule="exact"/>
        <w:rPr>
          <w:sz w:val="20"/>
          <w:szCs w:val="20"/>
          <w:color w:val="auto"/>
        </w:rPr>
      </w:pPr>
    </w:p>
    <w:p>
      <w:pPr>
        <w:ind w:right="60" w:firstLine="517"/>
        <w:spacing w:after="0" w:line="271" w:lineRule="auto"/>
        <w:tabs>
          <w:tab w:leader="none" w:pos="944"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Post-Termination Exercise Period</w:t>
      </w:r>
      <w:r>
        <w:rPr>
          <w:rFonts w:ascii="Times New Roman" w:cs="Times New Roman" w:eastAsia="Times New Roman" w:hAnsi="Times New Roman"/>
          <w:sz w:val="18"/>
          <w:szCs w:val="18"/>
          <w:color w:val="auto"/>
        </w:rPr>
        <w:t>” means the period following termination of a Participant’s Continuous Service within which an Option or SAR is exercisable, as specified in Section 4(h).</w:t>
      </w:r>
    </w:p>
    <w:p>
      <w:pPr>
        <w:spacing w:after="0" w:line="45" w:lineRule="exact"/>
        <w:rPr>
          <w:rFonts w:ascii="Times New Roman" w:cs="Times New Roman" w:eastAsia="Times New Roman" w:hAnsi="Times New Roman"/>
          <w:sz w:val="18"/>
          <w:szCs w:val="18"/>
          <w:b w:val="1"/>
          <w:bCs w:val="1"/>
          <w:color w:val="auto"/>
        </w:rPr>
      </w:pPr>
    </w:p>
    <w:p>
      <w:pPr>
        <w:ind w:left="980" w:hanging="463"/>
        <w:spacing w:after="0"/>
        <w:tabs>
          <w:tab w:leader="none" w:pos="980"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Prior Plan’s Available Reserve</w:t>
      </w:r>
      <w:r>
        <w:rPr>
          <w:rFonts w:ascii="Times New Roman" w:cs="Times New Roman" w:eastAsia="Times New Roman" w:hAnsi="Times New Roman"/>
          <w:sz w:val="18"/>
          <w:szCs w:val="18"/>
          <w:color w:val="auto"/>
        </w:rPr>
        <w:t>” means the number of shares available for the grant of new awards under the Prior Plan as of the Effective</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Date.</w:t>
      </w:r>
    </w:p>
    <w:p>
      <w:pPr>
        <w:spacing w:after="0" w:line="81" w:lineRule="exact"/>
        <w:rPr>
          <w:rFonts w:ascii="Times New Roman" w:cs="Times New Roman" w:eastAsia="Times New Roman" w:hAnsi="Times New Roman"/>
          <w:sz w:val="18"/>
          <w:szCs w:val="18"/>
          <w:b w:val="1"/>
          <w:bCs w:val="1"/>
          <w:color w:val="auto"/>
        </w:rPr>
      </w:pPr>
    </w:p>
    <w:p>
      <w:pPr>
        <w:ind w:left="920" w:hanging="403"/>
        <w:spacing w:after="0"/>
        <w:tabs>
          <w:tab w:leader="none" w:pos="920"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Prior Plan</w:t>
      </w:r>
      <w:r>
        <w:rPr>
          <w:rFonts w:ascii="Times New Roman" w:cs="Times New Roman" w:eastAsia="Times New Roman" w:hAnsi="Times New Roman"/>
          <w:sz w:val="18"/>
          <w:szCs w:val="18"/>
          <w:color w:val="auto"/>
        </w:rPr>
        <w:t>” means the Invivyd, Inc. 2020 Equity Incentive Plan.</w:t>
      </w:r>
    </w:p>
    <w:p>
      <w:pPr>
        <w:spacing w:after="0" w:line="103" w:lineRule="exact"/>
        <w:rPr>
          <w:rFonts w:ascii="Times New Roman" w:cs="Times New Roman" w:eastAsia="Times New Roman" w:hAnsi="Times New Roman"/>
          <w:sz w:val="18"/>
          <w:szCs w:val="18"/>
          <w:b w:val="1"/>
          <w:bCs w:val="1"/>
          <w:color w:val="auto"/>
        </w:rPr>
      </w:pPr>
    </w:p>
    <w:p>
      <w:pPr>
        <w:ind w:left="980" w:hanging="463"/>
        <w:spacing w:after="0"/>
        <w:tabs>
          <w:tab w:leader="none" w:pos="980"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Award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RSA</w:t>
      </w:r>
      <w:r>
        <w:rPr>
          <w:rFonts w:ascii="Times New Roman" w:cs="Times New Roman" w:eastAsia="Times New Roman" w:hAnsi="Times New Roman"/>
          <w:sz w:val="18"/>
          <w:szCs w:val="18"/>
          <w:color w:val="auto"/>
        </w:rPr>
        <w:t>” means an Award of shares of Common Stock which is granted pursuant to the terms and conditions of</w:t>
      </w:r>
    </w:p>
    <w:p>
      <w:pPr>
        <w:spacing w:after="0" w:line="1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5(a).</w:t>
      </w:r>
    </w:p>
    <w:p>
      <w:pPr>
        <w:spacing w:after="0" w:line="93" w:lineRule="exact"/>
        <w:rPr>
          <w:rFonts w:ascii="Times New Roman" w:cs="Times New Roman" w:eastAsia="Times New Roman" w:hAnsi="Times New Roman"/>
          <w:sz w:val="18"/>
          <w:szCs w:val="18"/>
          <w:b w:val="1"/>
          <w:bCs w:val="1"/>
          <w:color w:val="auto"/>
        </w:rPr>
      </w:pPr>
    </w:p>
    <w:p>
      <w:pPr>
        <w:jc w:val="both"/>
        <w:ind w:firstLine="517"/>
        <w:spacing w:after="0" w:line="247" w:lineRule="auto"/>
        <w:tabs>
          <w:tab w:leader="none" w:pos="913"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Award Agreement</w:t>
      </w:r>
      <w:r>
        <w:rPr>
          <w:rFonts w:ascii="Times New Roman" w:cs="Times New Roman" w:eastAsia="Times New Roman" w:hAnsi="Times New Roman"/>
          <w:sz w:val="18"/>
          <w:szCs w:val="18"/>
          <w:color w:val="auto"/>
        </w:rPr>
        <w:t>” means a written or electronic agreement between the Company and a holder of a Restricted Stock Award evidencing the terms and conditions of a Restricted Stock Award grant. The Restricted Stock Award Agreement includes the Grant Notice for the Restricted Stock Award and the agreement containing the written summary of the general terms and conditions applicable to the Restricted Stock Award and which is provided, including by electronic means, to a Participant along with the Grant Notice. Each Restricted Stock Award Agreement will be subject to the terms and conditions of the Plan.</w:t>
      </w:r>
    </w:p>
    <w:p>
      <w:pPr>
        <w:spacing w:after="0" w:line="68" w:lineRule="exact"/>
        <w:rPr>
          <w:rFonts w:ascii="Times New Roman" w:cs="Times New Roman" w:eastAsia="Times New Roman" w:hAnsi="Times New Roman"/>
          <w:sz w:val="18"/>
          <w:szCs w:val="18"/>
          <w:b w:val="1"/>
          <w:bCs w:val="1"/>
          <w:color w:val="auto"/>
        </w:rPr>
      </w:pPr>
    </w:p>
    <w:p>
      <w:pPr>
        <w:ind w:right="160" w:firstLine="517"/>
        <w:spacing w:after="0" w:line="251" w:lineRule="auto"/>
        <w:tabs>
          <w:tab w:leader="none" w:pos="853"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Returning Shares</w:t>
      </w:r>
      <w:r>
        <w:rPr>
          <w:rFonts w:ascii="Times New Roman" w:cs="Times New Roman" w:eastAsia="Times New Roman" w:hAnsi="Times New Roman"/>
          <w:sz w:val="18"/>
          <w:szCs w:val="18"/>
          <w:color w:val="auto"/>
        </w:rPr>
        <w:t>” means shares subject to outstanding stock awards granted under the Prior Plan and that following the Effective Date: (A) are not issued because such stock award or any portion thereof expires or otherwise terminates without all of the shares covered by such stock award having been issued; (B) are not issued because such stock award or any portion thereof is settled in cash; (C) are forfeited back to or repurchased by the Company because of the failure to meet a contingency or condition required for the vesting of such shares; (D) are withheld or reacquired to satisfy the exercise, strike or purchase price; or (E) are withheld or reacquired to satisfy a tax withholding obligation.</w:t>
      </w:r>
    </w:p>
    <w:p>
      <w:pPr>
        <w:spacing w:after="0" w:line="159" w:lineRule="exact"/>
        <w:rPr>
          <w:rFonts w:ascii="Times New Roman" w:cs="Times New Roman" w:eastAsia="Times New Roman" w:hAnsi="Times New Roman"/>
          <w:sz w:val="18"/>
          <w:szCs w:val="18"/>
          <w:b w:val="1"/>
          <w:bCs w:val="1"/>
          <w:color w:val="auto"/>
        </w:rPr>
      </w:pPr>
    </w:p>
    <w:p>
      <w:pPr>
        <w:ind w:right="280" w:firstLine="517"/>
        <w:spacing w:after="0" w:line="286" w:lineRule="auto"/>
        <w:tabs>
          <w:tab w:leader="none" w:pos="944"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RSU Award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RSU</w:t>
      </w:r>
      <w:r>
        <w:rPr>
          <w:rFonts w:ascii="Times New Roman" w:cs="Times New Roman" w:eastAsia="Times New Roman" w:hAnsi="Times New Roman"/>
          <w:sz w:val="18"/>
          <w:szCs w:val="18"/>
          <w:color w:val="auto"/>
        </w:rPr>
        <w:t>” means an Award of restricted stock units representing the right to receive an issuance of shares of Common Stock which is granted pursuant to the terms and conditions of Section 5(a).</w:t>
      </w:r>
    </w:p>
    <w:p>
      <w:pPr>
        <w:spacing w:after="0" w:line="33" w:lineRule="exact"/>
        <w:rPr>
          <w:rFonts w:ascii="Times New Roman" w:cs="Times New Roman" w:eastAsia="Times New Roman" w:hAnsi="Times New Roman"/>
          <w:sz w:val="18"/>
          <w:szCs w:val="18"/>
          <w:b w:val="1"/>
          <w:bCs w:val="1"/>
          <w:color w:val="auto"/>
        </w:rPr>
      </w:pPr>
    </w:p>
    <w:p>
      <w:pPr>
        <w:ind w:right="120" w:firstLine="517"/>
        <w:spacing w:after="0" w:line="252" w:lineRule="auto"/>
        <w:tabs>
          <w:tab w:leader="none" w:pos="974"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RSU Award Agreement</w:t>
      </w:r>
      <w:r>
        <w:rPr>
          <w:rFonts w:ascii="Times New Roman" w:cs="Times New Roman" w:eastAsia="Times New Roman" w:hAnsi="Times New Roman"/>
          <w:sz w:val="18"/>
          <w:szCs w:val="18"/>
          <w:color w:val="auto"/>
        </w:rPr>
        <w:t>” means a written or electronic agreement between the Company and a holder of an RSU Award evidencing the terms and conditions of an RSU Award grant. The RSU Award Agreement includes the Grant Notice for the RSU Award and the agreement containing the written summary of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69" w:name="page170"/>
    <w:bookmarkEnd w:id="169"/>
    <w:p>
      <w:pPr>
        <w:spacing w:after="0" w:line="282" w:lineRule="auto"/>
        <w:rPr>
          <w:sz w:val="20"/>
          <w:szCs w:val="20"/>
          <w:color w:val="auto"/>
        </w:rPr>
      </w:pPr>
      <w:r>
        <w:rPr>
          <w:rFonts w:ascii="Times New Roman" w:cs="Times New Roman" w:eastAsia="Times New Roman" w:hAnsi="Times New Roman"/>
          <w:sz w:val="18"/>
          <w:szCs w:val="18"/>
          <w:color w:val="auto"/>
        </w:rPr>
        <w:t>terms and conditions applicable to the RSU Award and which is provided, including by electronic means, to a Participant along with the Grant Notice. Each RSU Award Agreement will be subject to the terms and conditions of the Plan.</w:t>
      </w:r>
    </w:p>
    <w:p>
      <w:pPr>
        <w:spacing w:after="0" w:line="36" w:lineRule="exact"/>
        <w:rPr>
          <w:sz w:val="20"/>
          <w:szCs w:val="20"/>
          <w:color w:val="auto"/>
        </w:rPr>
      </w:pPr>
    </w:p>
    <w:p>
      <w:pPr>
        <w:ind w:left="840" w:hanging="323"/>
        <w:spacing w:after="0"/>
        <w:tabs>
          <w:tab w:leader="none" w:pos="840" w:val="left"/>
        </w:tabs>
        <w:numPr>
          <w:ilvl w:val="0"/>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Rule 16b-3</w:t>
      </w:r>
      <w:r>
        <w:rPr>
          <w:rFonts w:ascii="Times New Roman" w:cs="Times New Roman" w:eastAsia="Times New Roman" w:hAnsi="Times New Roman"/>
          <w:sz w:val="18"/>
          <w:szCs w:val="18"/>
          <w:color w:val="auto"/>
        </w:rPr>
        <w:t>” means Rule 16b-3 promulgated under the Exchange Act or any successor to Rule 16b-3, as in effect from time to time.</w:t>
      </w:r>
    </w:p>
    <w:p>
      <w:pPr>
        <w:spacing w:after="0" w:line="103" w:lineRule="exact"/>
        <w:rPr>
          <w:rFonts w:ascii="Times New Roman" w:cs="Times New Roman" w:eastAsia="Times New Roman" w:hAnsi="Times New Roman"/>
          <w:sz w:val="18"/>
          <w:szCs w:val="18"/>
          <w:b w:val="1"/>
          <w:bCs w:val="1"/>
          <w:color w:val="auto"/>
        </w:rPr>
      </w:pPr>
    </w:p>
    <w:p>
      <w:pPr>
        <w:ind w:left="860" w:hanging="343"/>
        <w:spacing w:after="0"/>
        <w:tabs>
          <w:tab w:leader="none" w:pos="860" w:val="left"/>
        </w:tabs>
        <w:numPr>
          <w:ilvl w:val="0"/>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Rule 405</w:t>
      </w:r>
      <w:r>
        <w:rPr>
          <w:rFonts w:ascii="Times New Roman" w:cs="Times New Roman" w:eastAsia="Times New Roman" w:hAnsi="Times New Roman"/>
          <w:sz w:val="18"/>
          <w:szCs w:val="18"/>
          <w:color w:val="auto"/>
        </w:rPr>
        <w:t>” means Rule 405 promulgated under the Securities Act.</w:t>
      </w:r>
    </w:p>
    <w:p>
      <w:pPr>
        <w:spacing w:after="0" w:line="117" w:lineRule="exact"/>
        <w:rPr>
          <w:rFonts w:ascii="Times New Roman" w:cs="Times New Roman" w:eastAsia="Times New Roman" w:hAnsi="Times New Roman"/>
          <w:sz w:val="18"/>
          <w:szCs w:val="18"/>
          <w:b w:val="1"/>
          <w:bCs w:val="1"/>
          <w:color w:val="auto"/>
        </w:rPr>
      </w:pPr>
    </w:p>
    <w:p>
      <w:pPr>
        <w:ind w:left="980" w:hanging="463"/>
        <w:spacing w:after="0"/>
        <w:tabs>
          <w:tab w:leader="none" w:pos="980" w:val="left"/>
        </w:tabs>
        <w:numPr>
          <w:ilvl w:val="0"/>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color w:val="auto"/>
        </w:rPr>
        <w:t>” means Section 409A of the Code and the regulations and other guidance thereunder.</w:t>
      </w:r>
    </w:p>
    <w:p>
      <w:pPr>
        <w:spacing w:after="0" w:line="103" w:lineRule="exact"/>
        <w:rPr>
          <w:rFonts w:ascii="Times New Roman" w:cs="Times New Roman" w:eastAsia="Times New Roman" w:hAnsi="Times New Roman"/>
          <w:sz w:val="18"/>
          <w:szCs w:val="18"/>
          <w:b w:val="1"/>
          <w:bCs w:val="1"/>
          <w:color w:val="auto"/>
        </w:rPr>
      </w:pPr>
    </w:p>
    <w:p>
      <w:pPr>
        <w:ind w:right="40" w:firstLine="517"/>
        <w:spacing w:after="0" w:line="260" w:lineRule="auto"/>
        <w:tabs>
          <w:tab w:leader="none" w:pos="824" w:val="left"/>
        </w:tabs>
        <w:numPr>
          <w:ilvl w:val="0"/>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Section 409A Change in Control</w:t>
      </w:r>
      <w:r>
        <w:rPr>
          <w:rFonts w:ascii="Times New Roman" w:cs="Times New Roman" w:eastAsia="Times New Roman" w:hAnsi="Times New Roman"/>
          <w:sz w:val="18"/>
          <w:szCs w:val="18"/>
          <w:color w:val="auto"/>
        </w:rPr>
        <w:t>” means a change in the ownership or effective control of the Company, or in the ownership of a substantial portion of the Company’s assets, as provided in Section 409A(a)(2)(A)(v) of the Code and Treasury Regulations Section 1.409A- 3(i)(5) (without regard to any alternative definition thereunder).</w:t>
      </w:r>
    </w:p>
    <w:p>
      <w:pPr>
        <w:spacing w:after="0" w:line="56" w:lineRule="exact"/>
        <w:rPr>
          <w:rFonts w:ascii="Times New Roman" w:cs="Times New Roman" w:eastAsia="Times New Roman" w:hAnsi="Times New Roman"/>
          <w:sz w:val="18"/>
          <w:szCs w:val="18"/>
          <w:b w:val="1"/>
          <w:bCs w:val="1"/>
          <w:color w:val="auto"/>
        </w:rPr>
      </w:pPr>
    </w:p>
    <w:p>
      <w:pPr>
        <w:ind w:left="1140" w:hanging="623"/>
        <w:spacing w:after="0"/>
        <w:tabs>
          <w:tab w:leader="none" w:pos="1140" w:val="left"/>
        </w:tabs>
        <w:numPr>
          <w:ilvl w:val="0"/>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103" w:lineRule="exact"/>
        <w:rPr>
          <w:rFonts w:ascii="Times New Roman" w:cs="Times New Roman" w:eastAsia="Times New Roman" w:hAnsi="Times New Roman"/>
          <w:sz w:val="18"/>
          <w:szCs w:val="18"/>
          <w:b w:val="1"/>
          <w:bCs w:val="1"/>
          <w:color w:val="auto"/>
        </w:rPr>
      </w:pPr>
    </w:p>
    <w:p>
      <w:pPr>
        <w:ind w:left="980" w:hanging="463"/>
        <w:spacing w:after="0"/>
        <w:tabs>
          <w:tab w:leader="none" w:pos="980" w:val="left"/>
        </w:tabs>
        <w:numPr>
          <w:ilvl w:val="0"/>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Share Reserve</w:t>
      </w:r>
      <w:r>
        <w:rPr>
          <w:rFonts w:ascii="Times New Roman" w:cs="Times New Roman" w:eastAsia="Times New Roman" w:hAnsi="Times New Roman"/>
          <w:sz w:val="18"/>
          <w:szCs w:val="18"/>
          <w:color w:val="auto"/>
        </w:rPr>
        <w:t>” means the number of shares available for issuance under the Plan as set forth in Section 2(a).</w:t>
      </w:r>
    </w:p>
    <w:p>
      <w:pPr>
        <w:spacing w:after="0" w:line="103" w:lineRule="exact"/>
        <w:rPr>
          <w:rFonts w:ascii="Times New Roman" w:cs="Times New Roman" w:eastAsia="Times New Roman" w:hAnsi="Times New Roman"/>
          <w:sz w:val="18"/>
          <w:szCs w:val="18"/>
          <w:b w:val="1"/>
          <w:bCs w:val="1"/>
          <w:color w:val="auto"/>
        </w:rPr>
      </w:pPr>
    </w:p>
    <w:p>
      <w:pPr>
        <w:ind w:right="220" w:firstLine="517"/>
        <w:spacing w:after="0" w:line="286" w:lineRule="auto"/>
        <w:tabs>
          <w:tab w:leader="none" w:pos="944" w:val="left"/>
        </w:tabs>
        <w:numPr>
          <w:ilvl w:val="0"/>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 Appreciation Right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SAR</w:t>
      </w:r>
      <w:r>
        <w:rPr>
          <w:rFonts w:ascii="Times New Roman" w:cs="Times New Roman" w:eastAsia="Times New Roman" w:hAnsi="Times New Roman"/>
          <w:sz w:val="18"/>
          <w:szCs w:val="18"/>
          <w:color w:val="auto"/>
        </w:rPr>
        <w:t>” means a right to receive the appreciation on Common Stock that is granted pursuant to the terms and conditions of Section 4.</w:t>
      </w:r>
    </w:p>
    <w:p>
      <w:pPr>
        <w:spacing w:after="0" w:line="33" w:lineRule="exact"/>
        <w:rPr>
          <w:rFonts w:ascii="Times New Roman" w:cs="Times New Roman" w:eastAsia="Times New Roman" w:hAnsi="Times New Roman"/>
          <w:sz w:val="18"/>
          <w:szCs w:val="18"/>
          <w:b w:val="1"/>
          <w:bCs w:val="1"/>
          <w:color w:val="auto"/>
        </w:rPr>
      </w:pPr>
    </w:p>
    <w:p>
      <w:pPr>
        <w:ind w:right="20" w:firstLine="517"/>
        <w:spacing w:after="0" w:line="252" w:lineRule="auto"/>
        <w:tabs>
          <w:tab w:leader="none" w:pos="974" w:val="left"/>
        </w:tabs>
        <w:numPr>
          <w:ilvl w:val="0"/>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SAR Agreement</w:t>
      </w:r>
      <w:r>
        <w:rPr>
          <w:rFonts w:ascii="Times New Roman" w:cs="Times New Roman" w:eastAsia="Times New Roman" w:hAnsi="Times New Roman"/>
          <w:sz w:val="18"/>
          <w:szCs w:val="18"/>
          <w:color w:val="auto"/>
        </w:rPr>
        <w:t>” means a written or electronic agreement between the Company and a holder of a SAR evidencing the terms and conditions of a SAR grant. The SAR Agreement includes the Grant Notice for the SAR and the agreement containing the written summary of the general terms and conditions applicable to the SAR and which is provided, including by electronic means, to a Participant along with the Grant Notice. Each SAR Agreement will be subject to the terms and conditions of the Plan.</w:t>
      </w:r>
    </w:p>
    <w:p>
      <w:pPr>
        <w:spacing w:after="0" w:line="62" w:lineRule="exact"/>
        <w:rPr>
          <w:rFonts w:ascii="Times New Roman" w:cs="Times New Roman" w:eastAsia="Times New Roman" w:hAnsi="Times New Roman"/>
          <w:sz w:val="18"/>
          <w:szCs w:val="18"/>
          <w:b w:val="1"/>
          <w:bCs w:val="1"/>
          <w:color w:val="auto"/>
        </w:rPr>
      </w:pPr>
    </w:p>
    <w:p>
      <w:pPr>
        <w:ind w:right="140" w:firstLine="517"/>
        <w:spacing w:after="0" w:line="251" w:lineRule="auto"/>
        <w:tabs>
          <w:tab w:leader="none" w:pos="974" w:val="left"/>
        </w:tabs>
        <w:numPr>
          <w:ilvl w:val="0"/>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105" w:lineRule="exact"/>
        <w:rPr>
          <w:rFonts w:ascii="Times New Roman" w:cs="Times New Roman" w:eastAsia="Times New Roman" w:hAnsi="Times New Roman"/>
          <w:sz w:val="18"/>
          <w:szCs w:val="18"/>
          <w:b w:val="1"/>
          <w:bCs w:val="1"/>
          <w:color w:val="auto"/>
        </w:rPr>
      </w:pPr>
    </w:p>
    <w:p>
      <w:pPr>
        <w:ind w:right="180" w:firstLine="517"/>
        <w:spacing w:after="0" w:line="271" w:lineRule="auto"/>
        <w:tabs>
          <w:tab w:leader="none" w:pos="913" w:val="left"/>
        </w:tabs>
        <w:numPr>
          <w:ilvl w:val="0"/>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Ten Percent Stockholder</w:t>
      </w:r>
      <w:r>
        <w:rPr>
          <w:rFonts w:ascii="Times New Roman" w:cs="Times New Roman" w:eastAsia="Times New Roman" w:hAnsi="Times New Roman"/>
          <w:sz w:val="18"/>
          <w:szCs w:val="18"/>
          <w:color w:val="auto"/>
        </w:rPr>
        <w:t>” means a person who Owns (or is deemed to Own pursuant to Section 424(d) of the Code) stock possessing more than 10% of the total combined voting power of all classes of stock of the Company or any Affiliate.</w:t>
      </w:r>
    </w:p>
    <w:p>
      <w:pPr>
        <w:spacing w:after="0" w:line="45" w:lineRule="exact"/>
        <w:rPr>
          <w:rFonts w:ascii="Times New Roman" w:cs="Times New Roman" w:eastAsia="Times New Roman" w:hAnsi="Times New Roman"/>
          <w:sz w:val="18"/>
          <w:szCs w:val="18"/>
          <w:b w:val="1"/>
          <w:bCs w:val="1"/>
          <w:color w:val="auto"/>
        </w:rPr>
      </w:pPr>
    </w:p>
    <w:p>
      <w:pPr>
        <w:ind w:right="280" w:firstLine="517"/>
        <w:spacing w:after="0" w:line="271" w:lineRule="auto"/>
        <w:tabs>
          <w:tab w:leader="none" w:pos="884" w:val="left"/>
        </w:tabs>
        <w:numPr>
          <w:ilvl w:val="0"/>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Policy</w:t>
      </w:r>
      <w:r>
        <w:rPr>
          <w:rFonts w:ascii="Times New Roman" w:cs="Times New Roman" w:eastAsia="Times New Roman" w:hAnsi="Times New Roman"/>
          <w:sz w:val="18"/>
          <w:szCs w:val="18"/>
          <w:color w:val="auto"/>
        </w:rPr>
        <w:t>” means the Company’s policy permitting certain individuals to sell Company shares only during certain “window” periods and/or otherwise restricts the ability of certain individuals to transfer or encumber Company shares, as in effect from time to time.</w:t>
      </w:r>
    </w:p>
    <w:p>
      <w:pPr>
        <w:spacing w:after="0" w:line="59" w:lineRule="exact"/>
        <w:rPr>
          <w:rFonts w:ascii="Times New Roman" w:cs="Times New Roman" w:eastAsia="Times New Roman" w:hAnsi="Times New Roman"/>
          <w:sz w:val="18"/>
          <w:szCs w:val="18"/>
          <w:b w:val="1"/>
          <w:bCs w:val="1"/>
          <w:color w:val="auto"/>
        </w:rPr>
      </w:pPr>
    </w:p>
    <w:p>
      <w:pPr>
        <w:ind w:right="40" w:firstLine="517"/>
        <w:spacing w:after="0" w:line="271" w:lineRule="auto"/>
        <w:tabs>
          <w:tab w:leader="none" w:pos="853" w:val="left"/>
        </w:tabs>
        <w:numPr>
          <w:ilvl w:val="0"/>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Unvested Non-Exempt Award</w:t>
      </w:r>
      <w:r>
        <w:rPr>
          <w:rFonts w:ascii="Times New Roman" w:cs="Times New Roman" w:eastAsia="Times New Roman" w:hAnsi="Times New Roman"/>
          <w:sz w:val="18"/>
          <w:szCs w:val="18"/>
          <w:color w:val="auto"/>
        </w:rPr>
        <w:t>” means the portion of any Non-Exempt Award that had not vested in accordance with its terms upon or prior to the date of any Corporate Transaction.</w:t>
      </w:r>
    </w:p>
    <w:p>
      <w:pPr>
        <w:spacing w:after="0" w:line="45" w:lineRule="exact"/>
        <w:rPr>
          <w:rFonts w:ascii="Times New Roman" w:cs="Times New Roman" w:eastAsia="Times New Roman" w:hAnsi="Times New Roman"/>
          <w:sz w:val="18"/>
          <w:szCs w:val="18"/>
          <w:b w:val="1"/>
          <w:bCs w:val="1"/>
          <w:color w:val="auto"/>
        </w:rPr>
      </w:pPr>
    </w:p>
    <w:p>
      <w:pPr>
        <w:ind w:right="140" w:firstLine="517"/>
        <w:spacing w:after="0" w:line="286" w:lineRule="auto"/>
        <w:tabs>
          <w:tab w:leader="none" w:pos="974" w:val="left"/>
        </w:tabs>
        <w:numPr>
          <w:ilvl w:val="0"/>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Vested Non-Exempt Award</w:t>
      </w:r>
      <w:r>
        <w:rPr>
          <w:rFonts w:ascii="Times New Roman" w:cs="Times New Roman" w:eastAsia="Times New Roman" w:hAnsi="Times New Roman"/>
          <w:sz w:val="18"/>
          <w:szCs w:val="18"/>
          <w:color w:val="auto"/>
        </w:rPr>
        <w:t>” means the portion of any Non-Exempt Award that had vested in accordance with its terms upon or prior to the date of a Corporate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417195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170" w:name="page171"/>
    <w:bookmarkEnd w:id="17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INVIVYD,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18"/>
          <w:szCs w:val="18"/>
          <w:b w:val="1"/>
          <w:bCs w:val="1"/>
          <w:color w:val="auto"/>
        </w:rPr>
        <w:t>.</w:t>
      </w:r>
    </w:p>
    <w:p>
      <w:pPr>
        <w:spacing w:after="0" w:line="1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3"/>
          <w:szCs w:val="13"/>
          <w:b w:val="1"/>
          <w:bCs w:val="1"/>
          <w:color w:val="auto"/>
        </w:rPr>
        <w:t>PTION</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3"/>
          <w:szCs w:val="13"/>
          <w:b w:val="1"/>
          <w:bCs w:val="1"/>
          <w:color w:val="auto"/>
        </w:rPr>
        <w:t>RANT</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3"/>
          <w:szCs w:val="13"/>
          <w:b w:val="1"/>
          <w:bCs w:val="1"/>
          <w:color w:val="auto"/>
        </w:rPr>
        <w:t>OTICE</w:t>
      </w:r>
    </w:p>
    <w:p>
      <w:pPr>
        <w:ind w:left="4440"/>
        <w:spacing w:after="0"/>
        <w:rPr>
          <w:sz w:val="20"/>
          <w:szCs w:val="20"/>
          <w:color w:val="auto"/>
        </w:rPr>
      </w:pPr>
      <w:r>
        <w:rPr>
          <w:rFonts w:ascii="Times New Roman" w:cs="Times New Roman" w:eastAsia="Times New Roman" w:hAnsi="Times New Roman"/>
          <w:sz w:val="18"/>
          <w:szCs w:val="18"/>
          <w:b w:val="1"/>
          <w:bCs w:val="1"/>
          <w:color w:val="auto"/>
        </w:rPr>
        <w:t>(2021 E</w:t>
      </w:r>
      <w:r>
        <w:rPr>
          <w:rFonts w:ascii="Times New Roman" w:cs="Times New Roman" w:eastAsia="Times New Roman" w:hAnsi="Times New Roman"/>
          <w:sz w:val="13"/>
          <w:szCs w:val="13"/>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3"/>
          <w:szCs w:val="13"/>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3"/>
          <w:szCs w:val="13"/>
          <w:b w:val="1"/>
          <w:bCs w:val="1"/>
          <w:color w:val="auto"/>
        </w:rPr>
        <w:t>LAN</w:t>
      </w:r>
      <w:r>
        <w:rPr>
          <w:rFonts w:ascii="Times New Roman" w:cs="Times New Roman" w:eastAsia="Times New Roman" w:hAnsi="Times New Roman"/>
          <w:sz w:val="18"/>
          <w:szCs w:val="18"/>
          <w:b w:val="1"/>
          <w:bCs w:val="1"/>
          <w:color w:val="auto"/>
        </w:rPr>
        <w:t>)</w:t>
      </w:r>
    </w:p>
    <w:p>
      <w:pPr>
        <w:spacing w:after="0" w:line="201"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Invivyd,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pursuant to the Company’s 2021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has granted to you (“</w:t>
      </w:r>
      <w:r>
        <w:rPr>
          <w:rFonts w:ascii="Times New Roman" w:cs="Times New Roman" w:eastAsia="Times New Roman" w:hAnsi="Times New Roman"/>
          <w:sz w:val="18"/>
          <w:szCs w:val="18"/>
          <w:b w:val="1"/>
          <w:bCs w:val="1"/>
          <w:i w:val="1"/>
          <w:iCs w:val="1"/>
          <w:color w:val="auto"/>
        </w:rPr>
        <w:t>Optionholder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an option to purchase the number of shares of the Common Stock set forth below (the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Your Option is subject to all of the terms and conditions as set forth herein and in the Plan, and the Stock Option Agreement and the Notice of Exercise, all of which are attached hereto and incorporated herein in their entirety. Capitalized terms not explicitly defined herein but defined in the Plan or the Stock Option Agreement shall have the meanings set forth in the Plan or the Stock Option Agreement, as applicable.</w:t>
      </w:r>
    </w:p>
    <w:p>
      <w:pPr>
        <w:spacing w:after="0" w:line="200" w:lineRule="exact"/>
        <w:rPr>
          <w:sz w:val="20"/>
          <w:szCs w:val="20"/>
          <w:color w:val="auto"/>
        </w:rPr>
      </w:pPr>
    </w:p>
    <w:p>
      <w:pPr>
        <w:spacing w:after="0" w:line="278"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Optionholder: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248920</wp:posOffset>
            </wp:positionV>
            <wp:extent cx="93472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8">
                      <a:extLst>
                        <a:ext uri="{28A0092B-C50C-407E-A947-70E740481C1C}"/>
                      </a:extLst>
                    </a:blip>
                    <a:srcRect/>
                    <a:stretch>
                      <a:fillRect/>
                    </a:stretch>
                  </pic:blipFill>
                  <pic:spPr bwMode="auto">
                    <a:xfrm>
                      <a:off x="0" y="0"/>
                      <a:ext cx="934720" cy="8255"/>
                    </a:xfrm>
                    <a:prstGeom prst="rect">
                      <a:avLst/>
                    </a:prstGeom>
                    <a:noFill/>
                  </pic:spPr>
                </pic:pic>
              </a:graphicData>
            </a:graphic>
          </wp:anchor>
        </w:drawing>
      </w:r>
    </w:p>
    <w:p>
      <w:pPr>
        <w:spacing w:after="0" w:line="394"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248920</wp:posOffset>
            </wp:positionV>
            <wp:extent cx="93472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9">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394"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248920</wp:posOffset>
            </wp:positionV>
            <wp:extent cx="93472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0">
                      <a:extLst>
                        <a:ext uri="{28A0092B-C50C-407E-A947-70E740481C1C}"/>
                      </a:extLst>
                    </a:blip>
                    <a:srcRect/>
                    <a:stretch>
                      <a:fillRect/>
                    </a:stretch>
                  </pic:blipFill>
                  <pic:spPr bwMode="auto">
                    <a:xfrm>
                      <a:off x="0" y="0"/>
                      <a:ext cx="934720" cy="8255"/>
                    </a:xfrm>
                    <a:prstGeom prst="rect">
                      <a:avLst/>
                    </a:prstGeom>
                    <a:noFill/>
                  </pic:spPr>
                </pic:pic>
              </a:graphicData>
            </a:graphic>
          </wp:anchor>
        </w:drawing>
      </w:r>
    </w:p>
    <w:p>
      <w:pPr>
        <w:spacing w:after="0" w:line="394"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Number of Shares of Common Stock Subject to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248920</wp:posOffset>
            </wp:positionV>
            <wp:extent cx="93472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1">
                      <a:extLst>
                        <a:ext uri="{28A0092B-C50C-407E-A947-70E740481C1C}"/>
                      </a:extLst>
                    </a:blip>
                    <a:srcRect/>
                    <a:stretch>
                      <a:fillRect/>
                    </a:stretch>
                  </pic:blipFill>
                  <pic:spPr bwMode="auto">
                    <a:xfrm>
                      <a:off x="0" y="0"/>
                      <a:ext cx="934720" cy="8255"/>
                    </a:xfrm>
                    <a:prstGeom prst="rect">
                      <a:avLst/>
                    </a:prstGeom>
                    <a:noFill/>
                  </pic:spPr>
                </pic:pic>
              </a:graphicData>
            </a:graphic>
          </wp:anchor>
        </w:drawing>
      </w:r>
    </w:p>
    <w:p>
      <w:pPr>
        <w:spacing w:after="0" w:line="394"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Exercise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248920</wp:posOffset>
            </wp:positionV>
            <wp:extent cx="93472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2">
                      <a:extLst>
                        <a:ext uri="{28A0092B-C50C-407E-A947-70E740481C1C}"/>
                      </a:extLst>
                    </a:blip>
                    <a:srcRect/>
                    <a:stretch>
                      <a:fillRect/>
                    </a:stretch>
                  </pic:blipFill>
                  <pic:spPr bwMode="auto">
                    <a:xfrm>
                      <a:off x="0" y="0"/>
                      <a:ext cx="934720" cy="8255"/>
                    </a:xfrm>
                    <a:prstGeom prst="rect">
                      <a:avLst/>
                    </a:prstGeom>
                    <a:noFill/>
                  </pic:spPr>
                </pic:pic>
              </a:graphicData>
            </a:graphic>
          </wp:anchor>
        </w:drawing>
      </w:r>
    </w:p>
    <w:p>
      <w:pPr>
        <w:spacing w:after="0" w:line="394"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Total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248920</wp:posOffset>
            </wp:positionV>
            <wp:extent cx="93472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3">
                      <a:extLst>
                        <a:ext uri="{28A0092B-C50C-407E-A947-70E740481C1C}"/>
                      </a:extLst>
                    </a:blip>
                    <a:srcRect/>
                    <a:stretch>
                      <a:fillRect/>
                    </a:stretch>
                  </pic:blipFill>
                  <pic:spPr bwMode="auto">
                    <a:xfrm>
                      <a:off x="0" y="0"/>
                      <a:ext cx="934720" cy="8255"/>
                    </a:xfrm>
                    <a:prstGeom prst="rect">
                      <a:avLst/>
                    </a:prstGeom>
                    <a:noFill/>
                  </pic:spPr>
                </pic:pic>
              </a:graphicData>
            </a:graphic>
          </wp:anchor>
        </w:drawing>
      </w:r>
    </w:p>
    <w:p>
      <w:pPr>
        <w:spacing w:after="0" w:line="394"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248920</wp:posOffset>
            </wp:positionV>
            <wp:extent cx="93472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4">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Type of Grant: [</w:t>
      </w:r>
      <w:r>
        <w:rPr>
          <w:rFonts w:ascii="Times New Roman" w:cs="Times New Roman" w:eastAsia="Times New Roman" w:hAnsi="Times New Roman"/>
          <w:sz w:val="18"/>
          <w:szCs w:val="18"/>
          <w:color w:val="auto"/>
        </w:rPr>
        <w:t>Incentive Stock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[Nonstatutory Stock Option]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and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Vesting Schedule</w:t>
      </w:r>
      <w:r>
        <w:rPr>
          <w:rFonts w:ascii="Times New Roman" w:cs="Times New Roman" w:eastAsia="Times New Roman" w:hAnsi="Times New Roman"/>
          <w:sz w:val="18"/>
          <w:szCs w:val="18"/>
          <w:color w:val="auto"/>
        </w:rPr>
        <w:t>: Subject to the Optionholder’s Continuous Service through each applicable vesting date, the Option will vest as follows:</w:t>
      </w:r>
    </w:p>
    <w:p>
      <w:pPr>
        <w:spacing w:after="0" w:line="80" w:lineRule="exact"/>
        <w:rPr>
          <w:sz w:val="20"/>
          <w:szCs w:val="20"/>
          <w:color w:val="auto"/>
        </w:rPr>
      </w:pPr>
    </w:p>
    <w:p>
      <w:pPr>
        <w:ind w:left="2120"/>
        <w:spacing w:after="0"/>
        <w:tabs>
          <w:tab w:leader="none" w:pos="904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1386205</wp:posOffset>
            </wp:positionH>
            <wp:positionV relativeFrom="paragraph">
              <wp:posOffset>-5080</wp:posOffset>
            </wp:positionV>
            <wp:extent cx="437007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5">
                      <a:extLst>
                        <a:ext uri="{28A0092B-C50C-407E-A947-70E740481C1C}"/>
                      </a:extLst>
                    </a:blip>
                    <a:srcRect/>
                    <a:stretch>
                      <a:fillRect/>
                    </a:stretch>
                  </pic:blipFill>
                  <pic:spPr bwMode="auto">
                    <a:xfrm>
                      <a:off x="0" y="0"/>
                      <a:ext cx="4370070" cy="8890"/>
                    </a:xfrm>
                    <a:prstGeom prst="rect">
                      <a:avLst/>
                    </a:prstGeom>
                    <a:noFill/>
                  </pic:spPr>
                </pic:pic>
              </a:graphicData>
            </a:graphic>
          </wp:anchor>
        </w:drawing>
      </w:r>
    </w:p>
    <w:p>
      <w:pPr>
        <w:spacing w:after="0" w:line="97" w:lineRule="exact"/>
        <w:rPr>
          <w:sz w:val="20"/>
          <w:szCs w:val="20"/>
          <w:color w:val="auto"/>
        </w:rPr>
      </w:pPr>
    </w:p>
    <w:p>
      <w:pPr>
        <w:ind w:right="360"/>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Optionholder Acknowledgements: </w:t>
      </w:r>
      <w:r>
        <w:rPr>
          <w:rFonts w:ascii="Times New Roman" w:cs="Times New Roman" w:eastAsia="Times New Roman" w:hAnsi="Times New Roman"/>
          <w:sz w:val="18"/>
          <w:szCs w:val="18"/>
          <w:color w:val="auto"/>
        </w:rPr>
        <w:t>By your signature below or by electronic acceptance or authentication in a form authorized by the Company,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understand and agree that:</w:t>
      </w:r>
    </w:p>
    <w:p>
      <w:pPr>
        <w:spacing w:after="0" w:line="154" w:lineRule="exact"/>
        <w:rPr>
          <w:sz w:val="20"/>
          <w:szCs w:val="20"/>
          <w:color w:val="auto"/>
        </w:rPr>
      </w:pPr>
    </w:p>
    <w:p>
      <w:pPr>
        <w:ind w:left="1040" w:right="200" w:hanging="452"/>
        <w:spacing w:after="0" w:line="233" w:lineRule="auto"/>
        <w:tabs>
          <w:tab w:leader="none" w:pos="10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is governed by this Stock Option Grant Notice (this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and the provisions of the Plan and the Stock Option Agreement and the Notice of Exercise, all of which are made a part of this document. Unless otherwise provided in the Plan, this Grant Notice and the Stock Option Agreement (together, the “</w:t>
      </w:r>
      <w:r>
        <w:rPr>
          <w:rFonts w:ascii="Times New Roman" w:cs="Times New Roman" w:eastAsia="Times New Roman" w:hAnsi="Times New Roman"/>
          <w:sz w:val="18"/>
          <w:szCs w:val="18"/>
          <w:b w:val="1"/>
          <w:bCs w:val="1"/>
          <w:i w:val="1"/>
          <w:iCs w:val="1"/>
          <w:color w:val="auto"/>
        </w:rPr>
        <w:t>Option Agreement</w:t>
      </w:r>
      <w:r>
        <w:rPr>
          <w:rFonts w:ascii="Times New Roman" w:cs="Times New Roman" w:eastAsia="Times New Roman" w:hAnsi="Times New Roman"/>
          <w:sz w:val="18"/>
          <w:szCs w:val="18"/>
          <w:color w:val="auto"/>
        </w:rPr>
        <w:t>”) may not be modified, amended or revised except in a writing signed by you and a duly authorized officer of the Company.</w:t>
      </w:r>
    </w:p>
    <w:p>
      <w:pPr>
        <w:spacing w:after="0" w:line="183" w:lineRule="exact"/>
        <w:rPr>
          <w:rFonts w:ascii="Times New Roman" w:cs="Times New Roman" w:eastAsia="Times New Roman" w:hAnsi="Times New Roman"/>
          <w:sz w:val="18"/>
          <w:szCs w:val="18"/>
          <w:color w:val="auto"/>
        </w:rPr>
      </w:pPr>
    </w:p>
    <w:p>
      <w:pPr>
        <w:jc w:val="both"/>
        <w:ind w:left="1040" w:right="60" w:hanging="452"/>
        <w:spacing w:after="0" w:line="282" w:lineRule="auto"/>
        <w:tabs>
          <w:tab w:leader="none" w:pos="1040"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Option is an Incentive Stock Option, it (plus other outstanding Incentive Stock Options granted to you) cannot be first </w:t>
      </w:r>
      <w:r>
        <w:rPr>
          <w:rFonts w:ascii="Times New Roman" w:cs="Times New Roman" w:eastAsia="Times New Roman" w:hAnsi="Times New Roman"/>
          <w:sz w:val="17"/>
          <w:szCs w:val="17"/>
          <w:i w:val="1"/>
          <w:iCs w:val="1"/>
          <w:color w:val="auto"/>
        </w:rPr>
        <w:t>exercisable</w:t>
      </w:r>
      <w:r>
        <w:rPr>
          <w:rFonts w:ascii="Times New Roman" w:cs="Times New Roman" w:eastAsia="Times New Roman" w:hAnsi="Times New Roman"/>
          <w:sz w:val="17"/>
          <w:szCs w:val="17"/>
          <w:color w:val="auto"/>
        </w:rPr>
        <w:t xml:space="preserve"> for more than $100,000 in value (measured by exercise price) in any calendar year. Any excess over $100,000 is a Nonstatutory Stock Option.]</w:t>
      </w:r>
    </w:p>
    <w:p>
      <w:pPr>
        <w:spacing w:after="0" w:line="96" w:lineRule="exact"/>
        <w:rPr>
          <w:rFonts w:ascii="Times New Roman" w:cs="Times New Roman" w:eastAsia="Times New Roman" w:hAnsi="Times New Roman"/>
          <w:sz w:val="17"/>
          <w:szCs w:val="17"/>
          <w:color w:val="auto"/>
        </w:rPr>
      </w:pPr>
    </w:p>
    <w:p>
      <w:pPr>
        <w:ind w:left="1040" w:right="280" w:hanging="452"/>
        <w:spacing w:after="0" w:line="236" w:lineRule="auto"/>
        <w:tabs>
          <w:tab w:leader="none" w:pos="10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consent to receive this Grant Notice, the Stock Option Agreement, the Plan, the Prospectus and any other Plan-related documents by electronic delivery and to participate in the Plan through an on-line or electronic system established and maintained by the Company or another third party designated by the Company.</w:t>
      </w:r>
    </w:p>
    <w:p>
      <w:pPr>
        <w:spacing w:after="0" w:line="185" w:lineRule="exact"/>
        <w:rPr>
          <w:rFonts w:ascii="Times New Roman" w:cs="Times New Roman" w:eastAsia="Times New Roman" w:hAnsi="Times New Roman"/>
          <w:sz w:val="18"/>
          <w:szCs w:val="18"/>
          <w:color w:val="auto"/>
        </w:rPr>
      </w:pPr>
    </w:p>
    <w:p>
      <w:pPr>
        <w:jc w:val="both"/>
        <w:ind w:left="1040" w:right="200" w:hanging="452"/>
        <w:spacing w:after="0" w:line="236" w:lineRule="auto"/>
        <w:tabs>
          <w:tab w:leader="none" w:pos="10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have read and are familiar with the provisions of the Plan, the Stock Option Agreement, the Notice of Exercise and the Prospectus. In the event of any conflict between the provisions in this Grant Notice, the Option Agreement, the Notice of Exercise, or the Prospectus and the terms of the Plan, the terms of the Plan shall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322580</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36" w:right="399" w:bottom="1440" w:gutter="0" w:footer="0" w:header="0"/>
        </w:sectPr>
      </w:pPr>
    </w:p>
    <w:bookmarkStart w:id="171" w:name="page172"/>
    <w:bookmarkEnd w:id="171"/>
    <w:p>
      <w:pPr>
        <w:ind w:left="1040" w:right="240" w:hanging="452"/>
        <w:spacing w:after="0" w:line="232" w:lineRule="auto"/>
        <w:tabs>
          <w:tab w:leader="none" w:pos="10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Agreement sets forth the entire understanding between you and the Company regarding the acquisition of Common Stock and supersedes all prior oral and written agreements, promises and/or representations on that subject with the exception of other equity awards previously granted to you and any written employment agreement, offer letter, severance agreement, written severance plan or policy, or other written agreement between the Company and you in each case that specifies the terms that should govern this Option.</w:t>
      </w:r>
    </w:p>
    <w:p>
      <w:pPr>
        <w:spacing w:after="0" w:line="198" w:lineRule="exact"/>
        <w:rPr>
          <w:rFonts w:ascii="Times New Roman" w:cs="Times New Roman" w:eastAsia="Times New Roman" w:hAnsi="Times New Roman"/>
          <w:sz w:val="18"/>
          <w:szCs w:val="18"/>
          <w:color w:val="auto"/>
        </w:rPr>
      </w:pPr>
    </w:p>
    <w:p>
      <w:pPr>
        <w:jc w:val="both"/>
        <w:ind w:left="1040" w:right="400" w:hanging="452"/>
        <w:spacing w:after="0" w:line="236" w:lineRule="auto"/>
        <w:tabs>
          <w:tab w:leader="none" w:pos="10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w:t>
      </w:r>
    </w:p>
    <w:p>
      <w:pPr>
        <w:spacing w:after="0" w:line="200" w:lineRule="exact"/>
        <w:rPr>
          <w:sz w:val="20"/>
          <w:szCs w:val="20"/>
          <w:color w:val="auto"/>
        </w:rPr>
      </w:pP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INVIVYD, INC.</w:t>
            </w:r>
          </w:p>
        </w:tc>
        <w:tc>
          <w:tcPr>
            <w:tcW w:w="5920" w:type="dxa"/>
            <w:vAlign w:val="bottom"/>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3"/>
                <w:szCs w:val="13"/>
                <w:b w:val="1"/>
                <w:bCs w:val="1"/>
                <w:color w:val="auto"/>
              </w:rPr>
              <w:t>PTIONHOLDER</w:t>
            </w:r>
            <w:r>
              <w:rPr>
                <w:rFonts w:ascii="Times New Roman" w:cs="Times New Roman" w:eastAsia="Times New Roman" w:hAnsi="Times New Roman"/>
                <w:sz w:val="18"/>
                <w:szCs w:val="18"/>
                <w:b w:val="1"/>
                <w:bCs w:val="1"/>
                <w:color w:val="auto"/>
              </w:rPr>
              <w:t>:</w:t>
            </w:r>
          </w:p>
        </w:tc>
      </w:tr>
      <w:tr>
        <w:trPr>
          <w:trHeight w:val="607"/>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40" w:type="dxa"/>
            <w:vAlign w:val="bottom"/>
          </w:tcPr>
          <w:p>
            <w:pPr>
              <w:spacing w:after="0"/>
              <w:rPr>
                <w:sz w:val="24"/>
                <w:szCs w:val="24"/>
                <w:color w:val="auto"/>
              </w:rPr>
            </w:pPr>
          </w:p>
        </w:tc>
      </w:tr>
      <w:tr>
        <w:trPr>
          <w:trHeight w:val="399"/>
        </w:trPr>
        <w:tc>
          <w:tcPr>
            <w:tcW w:w="640" w:type="dxa"/>
            <w:vAlign w:val="bottom"/>
          </w:tcPr>
          <w:p>
            <w:pPr>
              <w:spacing w:after="0"/>
              <w:rPr>
                <w:sz w:val="24"/>
                <w:szCs w:val="24"/>
                <w:color w:val="auto"/>
              </w:rPr>
            </w:pPr>
          </w:p>
        </w:tc>
        <w:tc>
          <w:tcPr>
            <w:tcW w:w="4640" w:type="dxa"/>
            <w:vAlign w:val="bottom"/>
            <w:tcBorders>
              <w:top w:val="single" w:sz="8" w:color="auto"/>
            </w:tcBorders>
          </w:tcPr>
          <w:p>
            <w:pPr>
              <w:ind w:left="1980"/>
              <w:spacing w:after="0"/>
              <w:rPr>
                <w:sz w:val="20"/>
                <w:szCs w:val="20"/>
                <w:color w:val="auto"/>
              </w:rPr>
            </w:pPr>
            <w:r>
              <w:rPr>
                <w:rFonts w:ascii="Times New Roman" w:cs="Times New Roman" w:eastAsia="Times New Roman" w:hAnsi="Times New Roman"/>
                <w:sz w:val="18"/>
                <w:szCs w:val="18"/>
                <w:color w:val="auto"/>
              </w:rPr>
              <w:t>Signature</w:t>
            </w:r>
          </w:p>
        </w:tc>
        <w:tc>
          <w:tcPr>
            <w:tcW w:w="66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4640" w:type="dxa"/>
            <w:vAlign w:val="bottom"/>
            <w:tcBorders>
              <w:top w:val="single" w:sz="8" w:color="auto"/>
            </w:tcBorders>
          </w:tcPr>
          <w:p>
            <w:pPr>
              <w:ind w:left="1980"/>
              <w:spacing w:after="0"/>
              <w:rPr>
                <w:sz w:val="20"/>
                <w:szCs w:val="20"/>
                <w:color w:val="auto"/>
              </w:rPr>
            </w:pPr>
            <w:r>
              <w:rPr>
                <w:rFonts w:ascii="Times New Roman" w:cs="Times New Roman" w:eastAsia="Times New Roman" w:hAnsi="Times New Roman"/>
                <w:sz w:val="18"/>
                <w:szCs w:val="18"/>
                <w:color w:val="auto"/>
              </w:rPr>
              <w:t>Signature</w:t>
            </w:r>
          </w:p>
        </w:tc>
      </w:tr>
      <w:tr>
        <w:trPr>
          <w:trHeight w:val="608"/>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40" w:type="dxa"/>
            <w:vAlign w:val="bottom"/>
            <w:tcBorders>
              <w:bottom w:val="single" w:sz="8" w:color="auto"/>
            </w:tcBorders>
          </w:tcPr>
          <w:p>
            <w:pPr>
              <w:spacing w:after="0"/>
              <w:rPr>
                <w:sz w:val="24"/>
                <w:szCs w:val="24"/>
                <w:color w:val="auto"/>
              </w:rPr>
            </w:pPr>
          </w:p>
        </w:tc>
        <w:tc>
          <w:tcPr>
            <w:tcW w:w="12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Date:</w:t>
            </w:r>
          </w:p>
        </w:tc>
        <w:tc>
          <w:tcPr>
            <w:tcW w:w="4640" w:type="dxa"/>
            <w:vAlign w:val="bottom"/>
            <w:tcBorders>
              <w:bottom w:val="single" w:sz="8" w:color="auto"/>
            </w:tcBorders>
          </w:tcPr>
          <w:p>
            <w:pPr>
              <w:spacing w:after="0"/>
              <w:rPr>
                <w:sz w:val="24"/>
                <w:szCs w:val="24"/>
                <w:color w:val="auto"/>
              </w:rPr>
            </w:pPr>
          </w:p>
        </w:tc>
      </w:tr>
      <w:tr>
        <w:trPr>
          <w:trHeight w:val="385"/>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64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40" w:type="dxa"/>
            <w:vAlign w:val="bottom"/>
          </w:tcPr>
          <w:p>
            <w:pPr>
              <w:spacing w:after="0"/>
              <w:rPr>
                <w:sz w:val="24"/>
                <w:szCs w:val="24"/>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3"/>
          <w:szCs w:val="13"/>
          <w:b w:val="1"/>
          <w:bCs w:val="1"/>
          <w:color w:val="auto"/>
        </w:rPr>
        <w:t>TTACHMENTS</w:t>
      </w:r>
      <w:r>
        <w:rPr>
          <w:rFonts w:ascii="Times New Roman" w:cs="Times New Roman" w:eastAsia="Times New Roman" w:hAnsi="Times New Roman"/>
          <w:sz w:val="18"/>
          <w:szCs w:val="18"/>
          <w:color w:val="auto"/>
        </w:rPr>
        <w:t>: Stock Option Agreement, 2021 Equity Incentive Plan, Notice of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332740</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172" w:name="page173"/>
    <w:bookmarkEnd w:id="17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3"/>
          <w:szCs w:val="13"/>
          <w:b w:val="1"/>
          <w:bCs w:val="1"/>
          <w:color w:val="auto"/>
        </w:rPr>
        <w:t>TTACHMENT</w:t>
      </w:r>
      <w:r>
        <w:rPr>
          <w:rFonts w:ascii="Times New Roman" w:cs="Times New Roman" w:eastAsia="Times New Roman" w:hAnsi="Times New Roman"/>
          <w:sz w:val="18"/>
          <w:szCs w:val="18"/>
          <w:b w:val="1"/>
          <w:bCs w:val="1"/>
          <w:color w:val="auto"/>
        </w:rPr>
        <w:t xml:space="preserve"> I</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 OPTION AGREEMENT</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(2021 EQUITY INCENTIVE PLAN)</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reflected by your Stock Option Grant Notice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Invivyd,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granted you an option under the Company’s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to purchase a number of shares of Common Stock at the exercise price indicated in your Grant Notice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Capitalized terms not explicitly defined in this Agreement but defined in the Grant Notice or the Plan shall have the meanings set forth in the</w:t>
      </w:r>
    </w:p>
    <w:p>
      <w:pPr>
        <w:spacing w:after="0" w:line="234" w:lineRule="auto"/>
        <w:rPr>
          <w:sz w:val="20"/>
          <w:szCs w:val="20"/>
          <w:color w:val="auto"/>
        </w:rPr>
      </w:pPr>
      <w:r>
        <w:rPr>
          <w:rFonts w:ascii="Times New Roman" w:cs="Times New Roman" w:eastAsia="Times New Roman" w:hAnsi="Times New Roman"/>
          <w:sz w:val="18"/>
          <w:szCs w:val="18"/>
          <w:color w:val="auto"/>
        </w:rPr>
        <w:t>Grant Notice or Plan, as applicable. The terms of your Option as specified in the Grant Notice and this Stock Option Agreement constitute your Option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general terms and conditions applicable to your Option are as follows:</w:t>
      </w:r>
    </w:p>
    <w:p>
      <w:pPr>
        <w:spacing w:after="0" w:line="113" w:lineRule="exact"/>
        <w:rPr>
          <w:sz w:val="20"/>
          <w:szCs w:val="20"/>
          <w:color w:val="auto"/>
        </w:rPr>
      </w:pPr>
    </w:p>
    <w:p>
      <w:pPr>
        <w:ind w:left="700" w:hanging="183"/>
        <w:spacing w:after="0"/>
        <w:tabs>
          <w:tab w:leader="none" w:pos="700" w:val="left"/>
        </w:tabs>
        <w:numPr>
          <w:ilvl w:val="0"/>
          <w:numId w:val="1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3"/>
          <w:szCs w:val="13"/>
          <w:b w:val="1"/>
          <w:bCs w:val="1"/>
          <w:color w:val="auto"/>
        </w:rPr>
        <w:t>OVERNING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3"/>
          <w:szCs w:val="13"/>
          <w:b w:val="1"/>
          <w:bCs w:val="1"/>
          <w:color w:val="auto"/>
        </w:rPr>
        <w:t>LAN</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3"/>
          <w:szCs w:val="13"/>
          <w:b w:val="1"/>
          <w:bCs w:val="1"/>
          <w:color w:val="auto"/>
        </w:rPr>
        <w:t>OCUMENT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Option is subject to all the provisions of the Plan, including but not limited to the provisions in:</w:t>
      </w:r>
    </w:p>
    <w:p>
      <w:pPr>
        <w:spacing w:after="0" w:line="107" w:lineRule="exact"/>
        <w:rPr>
          <w:rFonts w:ascii="Times New Roman" w:cs="Times New Roman" w:eastAsia="Times New Roman" w:hAnsi="Times New Roman"/>
          <w:sz w:val="18"/>
          <w:szCs w:val="18"/>
          <w:b w:val="1"/>
          <w:bCs w:val="1"/>
          <w:color w:val="auto"/>
        </w:rPr>
      </w:pPr>
    </w:p>
    <w:p>
      <w:pPr>
        <w:ind w:left="1400" w:hanging="246"/>
        <w:spacing w:after="0"/>
        <w:tabs>
          <w:tab w:leader="none" w:pos="1400" w:val="left"/>
        </w:tabs>
        <w:numPr>
          <w:ilvl w:val="1"/>
          <w:numId w:val="1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6 regarding the impact of a Capitalization Adjustment, dissolution, liquidation, or Corporate Transaction on your Option;</w:t>
      </w:r>
    </w:p>
    <w:p>
      <w:pPr>
        <w:spacing w:after="0" w:line="103" w:lineRule="exact"/>
        <w:rPr>
          <w:rFonts w:ascii="Times New Roman" w:cs="Times New Roman" w:eastAsia="Times New Roman" w:hAnsi="Times New Roman"/>
          <w:sz w:val="18"/>
          <w:szCs w:val="18"/>
          <w:b w:val="1"/>
          <w:bCs w:val="1"/>
          <w:color w:val="auto"/>
        </w:rPr>
      </w:pPr>
    </w:p>
    <w:p>
      <w:pPr>
        <w:ind w:left="1420" w:hanging="266"/>
        <w:spacing w:after="0"/>
        <w:tabs>
          <w:tab w:leader="none" w:pos="1420" w:val="left"/>
        </w:tabs>
        <w:numPr>
          <w:ilvl w:val="1"/>
          <w:numId w:val="16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Section 9(e) regarding the Company’s retained rights to terminate your Continuous Service notwithstanding the grant of the Option; and</w:t>
      </w:r>
    </w:p>
    <w:p>
      <w:pPr>
        <w:spacing w:after="0" w:line="128" w:lineRule="exact"/>
        <w:rPr>
          <w:rFonts w:ascii="Times New Roman" w:cs="Times New Roman" w:eastAsia="Times New Roman" w:hAnsi="Times New Roman"/>
          <w:sz w:val="17"/>
          <w:szCs w:val="17"/>
          <w:b w:val="1"/>
          <w:bCs w:val="1"/>
          <w:color w:val="auto"/>
        </w:rPr>
      </w:pPr>
    </w:p>
    <w:p>
      <w:pPr>
        <w:ind w:left="1400" w:hanging="246"/>
        <w:spacing w:after="0"/>
        <w:tabs>
          <w:tab w:leader="none" w:pos="1400" w:val="left"/>
        </w:tabs>
        <w:numPr>
          <w:ilvl w:val="1"/>
          <w:numId w:val="1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8 regarding the tax consequences of your Option.</w:t>
      </w:r>
    </w:p>
    <w:p>
      <w:pPr>
        <w:spacing w:after="0" w:line="21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Your Option is further subject to all interpretations, amendments, rules and regulations, which may from time to time be promulgated and adopted pursuant to the Plan. In the event of any conflict between the Option Agreement and the provisions of the Plan, the provisions of the Plan shall control.</w:t>
      </w:r>
    </w:p>
    <w:p>
      <w:pPr>
        <w:spacing w:after="0" w:line="172" w:lineRule="exact"/>
        <w:rPr>
          <w:sz w:val="20"/>
          <w:szCs w:val="20"/>
          <w:color w:val="auto"/>
        </w:rPr>
      </w:pPr>
    </w:p>
    <w:p>
      <w:pPr>
        <w:ind w:left="700" w:hanging="183"/>
        <w:spacing w:after="0"/>
        <w:tabs>
          <w:tab w:leader="none" w:pos="700" w:val="left"/>
        </w:tabs>
        <w:numPr>
          <w:ilvl w:val="0"/>
          <w:numId w:val="1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3"/>
          <w:szCs w:val="13"/>
          <w:b w:val="1"/>
          <w:bCs w:val="1"/>
          <w:color w:val="auto"/>
        </w:rPr>
        <w:t>XERCISE</w:t>
      </w:r>
      <w:r>
        <w:rPr>
          <w:rFonts w:ascii="Times New Roman" w:cs="Times New Roman" w:eastAsia="Times New Roman" w:hAnsi="Times New Roman"/>
          <w:sz w:val="18"/>
          <w:szCs w:val="18"/>
          <w:b w:val="1"/>
          <w:bCs w:val="1"/>
          <w:color w:val="auto"/>
        </w:rPr>
        <w:t>.</w:t>
      </w:r>
    </w:p>
    <w:p>
      <w:pPr>
        <w:spacing w:after="0" w:line="108" w:lineRule="exact"/>
        <w:rPr>
          <w:sz w:val="20"/>
          <w:szCs w:val="20"/>
          <w:color w:val="auto"/>
        </w:rPr>
      </w:pPr>
    </w:p>
    <w:p>
      <w:pPr>
        <w:ind w:right="20" w:firstLine="517"/>
        <w:spacing w:after="0" w:line="250" w:lineRule="auto"/>
        <w:tabs>
          <w:tab w:leader="none" w:pos="764" w:val="left"/>
        </w:tabs>
        <w:numPr>
          <w:ilvl w:val="0"/>
          <w:numId w:val="1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may generally exercise the vested portion of your Option for whole shares of Common Stock at any time during its term by delivery of payment of the exercise price and applicable withholding taxes and other required documentation to the Plan Administrator in accordance with the exercise procedures established by the Plan Administrator, which may include an electronic submission. Please review Sections 4(i), 4(j) and 7(b)(v) of the Plan, which may restrict or prohibit your ability to exercise your Option during certain periods.</w:t>
      </w:r>
    </w:p>
    <w:p>
      <w:pPr>
        <w:spacing w:after="0" w:line="69" w:lineRule="exact"/>
        <w:rPr>
          <w:rFonts w:ascii="Times New Roman" w:cs="Times New Roman" w:eastAsia="Times New Roman" w:hAnsi="Times New Roman"/>
          <w:sz w:val="18"/>
          <w:szCs w:val="18"/>
          <w:b w:val="1"/>
          <w:bCs w:val="1"/>
          <w:color w:val="auto"/>
        </w:rPr>
      </w:pPr>
    </w:p>
    <w:p>
      <w:pPr>
        <w:ind w:left="780" w:hanging="263"/>
        <w:spacing w:after="0"/>
        <w:tabs>
          <w:tab w:leader="none" w:pos="780" w:val="left"/>
        </w:tabs>
        <w:numPr>
          <w:ilvl w:val="0"/>
          <w:numId w:val="1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the extent permitted by Applicable Law, you may pay your Option exercise price as follows:</w:t>
      </w:r>
    </w:p>
    <w:p>
      <w:pPr>
        <w:spacing w:after="0" w:line="117" w:lineRule="exact"/>
        <w:rPr>
          <w:rFonts w:ascii="Times New Roman" w:cs="Times New Roman" w:eastAsia="Times New Roman" w:hAnsi="Times New Roman"/>
          <w:sz w:val="18"/>
          <w:szCs w:val="18"/>
          <w:b w:val="1"/>
          <w:bCs w:val="1"/>
          <w:color w:val="auto"/>
        </w:rPr>
      </w:pPr>
    </w:p>
    <w:p>
      <w:pPr>
        <w:ind w:left="1360" w:hanging="206"/>
        <w:spacing w:after="0"/>
        <w:tabs>
          <w:tab w:leader="none" w:pos="1360" w:val="left"/>
        </w:tabs>
        <w:numPr>
          <w:ilvl w:val="1"/>
          <w:numId w:val="1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cash, check, bank draft or money order;</w:t>
      </w:r>
    </w:p>
    <w:p>
      <w:pPr>
        <w:spacing w:after="0" w:line="211" w:lineRule="exact"/>
        <w:rPr>
          <w:rFonts w:ascii="Times New Roman" w:cs="Times New Roman" w:eastAsia="Times New Roman" w:hAnsi="Times New Roman"/>
          <w:sz w:val="18"/>
          <w:szCs w:val="18"/>
          <w:b w:val="1"/>
          <w:bCs w:val="1"/>
          <w:color w:val="auto"/>
        </w:rPr>
      </w:pPr>
    </w:p>
    <w:p>
      <w:pPr>
        <w:ind w:right="40" w:firstLine="1154"/>
        <w:spacing w:after="0" w:line="266" w:lineRule="auto"/>
        <w:tabs>
          <w:tab w:leader="none" w:pos="1410" w:val="left"/>
        </w:tabs>
        <w:numPr>
          <w:ilvl w:val="1"/>
          <w:numId w:val="1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Company and/or Committee consent at the time of exercise, pursuant to a “cashless exercise” program as further described in Section 4(c)(ii) of the Plan if at the time of exercise the Common Stock is publicly traded;</w:t>
      </w:r>
    </w:p>
    <w:p>
      <w:pPr>
        <w:spacing w:after="0" w:line="54" w:lineRule="exact"/>
        <w:rPr>
          <w:rFonts w:ascii="Times New Roman" w:cs="Times New Roman" w:eastAsia="Times New Roman" w:hAnsi="Times New Roman"/>
          <w:sz w:val="18"/>
          <w:szCs w:val="18"/>
          <w:b w:val="1"/>
          <w:bCs w:val="1"/>
          <w:color w:val="auto"/>
        </w:rPr>
      </w:pPr>
    </w:p>
    <w:p>
      <w:pPr>
        <w:ind w:right="260" w:firstLine="1154"/>
        <w:spacing w:after="0" w:line="282" w:lineRule="auto"/>
        <w:tabs>
          <w:tab w:leader="none" w:pos="1460" w:val="left"/>
        </w:tabs>
        <w:numPr>
          <w:ilvl w:val="1"/>
          <w:numId w:val="1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Company and/or Committee consent at the time of exercise, by delivery of previously owned shares of Common Stock as further described in Section 4(c)(iii) of the Plan; or</w:t>
      </w:r>
    </w:p>
    <w:p>
      <w:pPr>
        <w:spacing w:after="0" w:line="40" w:lineRule="exact"/>
        <w:rPr>
          <w:rFonts w:ascii="Times New Roman" w:cs="Times New Roman" w:eastAsia="Times New Roman" w:hAnsi="Times New Roman"/>
          <w:sz w:val="18"/>
          <w:szCs w:val="18"/>
          <w:b w:val="1"/>
          <w:bCs w:val="1"/>
          <w:color w:val="auto"/>
        </w:rPr>
      </w:pPr>
    </w:p>
    <w:p>
      <w:pPr>
        <w:ind w:firstLine="1154"/>
        <w:spacing w:after="0" w:line="266" w:lineRule="auto"/>
        <w:tabs>
          <w:tab w:leader="none" w:pos="1450" w:val="left"/>
        </w:tabs>
        <w:numPr>
          <w:ilvl w:val="1"/>
          <w:numId w:val="1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Company and/or Committee consent at the time of exercise, if the Option is a Nonstatutory Stock Option, by a “net exercise” arrangement as further described in Section 4(c)(iv) of the Plan.</w:t>
      </w:r>
    </w:p>
    <w:p>
      <w:pPr>
        <w:spacing w:after="0" w:line="67" w:lineRule="exact"/>
        <w:rPr>
          <w:rFonts w:ascii="Times New Roman" w:cs="Times New Roman" w:eastAsia="Times New Roman" w:hAnsi="Times New Roman"/>
          <w:sz w:val="18"/>
          <w:szCs w:val="18"/>
          <w:b w:val="1"/>
          <w:bCs w:val="1"/>
          <w:color w:val="auto"/>
        </w:rPr>
      </w:pPr>
    </w:p>
    <w:p>
      <w:pPr>
        <w:ind w:firstLine="517"/>
        <w:spacing w:after="0" w:line="244" w:lineRule="auto"/>
        <w:tabs>
          <w:tab w:leader="none" w:pos="754" w:val="left"/>
        </w:tabs>
        <w:numPr>
          <w:ilvl w:val="0"/>
          <w:numId w:val="1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accepting your Option, you agree that you will not sell, dispose of, transfer, make any short sale of, grant any option for the purchase of, or enter into any hedging or similar transaction with the same economic effect as a sale with respect to any shares of Common Stock or other securities of the Company held by you, for a period of one hundred eighty (180) days following the effective date of a registration statement of the Company filed under the Securities Act or such longer period as the underwriters or the Company will request to facilitate compliance with FINRA Rule 2241 or any successor or similar rules or regulation (the “</w:t>
      </w:r>
      <w:r>
        <w:rPr>
          <w:rFonts w:ascii="Times New Roman" w:cs="Times New Roman" w:eastAsia="Times New Roman" w:hAnsi="Times New Roman"/>
          <w:sz w:val="18"/>
          <w:szCs w:val="18"/>
          <w:b w:val="1"/>
          <w:bCs w:val="1"/>
          <w:i w:val="1"/>
          <w:iCs w:val="1"/>
          <w:color w:val="auto"/>
        </w:rPr>
        <w:t>Lock-Up 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nothing contained in this section will prevent the exercise of a repurchase option, if any, in favor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173" w:name="page174"/>
    <w:bookmarkEnd w:id="173"/>
    <w:p>
      <w:pPr>
        <w:ind w:right="120"/>
        <w:spacing w:after="0" w:line="247" w:lineRule="auto"/>
        <w:rPr>
          <w:sz w:val="20"/>
          <w:szCs w:val="20"/>
          <w:color w:val="auto"/>
        </w:rPr>
      </w:pPr>
      <w:r>
        <w:rPr>
          <w:rFonts w:ascii="Times New Roman" w:cs="Times New Roman" w:eastAsia="Times New Roman" w:hAnsi="Times New Roman"/>
          <w:sz w:val="18"/>
          <w:szCs w:val="18"/>
          <w:color w:val="auto"/>
        </w:rPr>
        <w:t>Company during the Lock-Up Period. You further agree to execute and deliver such other agreements as may be reasonably requested by the Company or the underwriters that are consistent with the foregoing or that are necessary to give further effect thereto. In order to enforce the foregoing covenant, the Company may impose stop-transfer instructions with respect to your shares of Common Stock until the end of such period. You also agree that any transferee of any shares of Common Stock (or other securities) of the Company held by you will be bound by this Section 2(c). The underwriters of the Company’s stock are intended third party beneficiaries of this Section 2(c) and will have the right, power and authority to enforce the provisions hereof as though they were a party hereto.</w:t>
      </w:r>
    </w:p>
    <w:p>
      <w:pPr>
        <w:spacing w:after="0" w:line="176" w:lineRule="exact"/>
        <w:rPr>
          <w:sz w:val="20"/>
          <w:szCs w:val="20"/>
          <w:color w:val="auto"/>
        </w:rPr>
      </w:pPr>
    </w:p>
    <w:p>
      <w:pPr>
        <w:ind w:right="80" w:firstLine="517"/>
        <w:spacing w:after="0" w:line="286" w:lineRule="auto"/>
        <w:tabs>
          <w:tab w:leader="none" w:pos="689" w:val="left"/>
        </w:tabs>
        <w:numPr>
          <w:ilvl w:val="0"/>
          <w:numId w:val="1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3"/>
          <w:szCs w:val="13"/>
          <w:b w:val="1"/>
          <w:bCs w:val="1"/>
          <w:color w:val="auto"/>
        </w:rPr>
        <w: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may not exercise your Option before the commencement of its term or after its term expires. The term of your Option commences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Date of Grant and expires upon the earliest of the following:</w:t>
      </w:r>
    </w:p>
    <w:p>
      <w:pPr>
        <w:spacing w:after="0" w:line="37" w:lineRule="exact"/>
        <w:rPr>
          <w:rFonts w:ascii="Times New Roman" w:cs="Times New Roman" w:eastAsia="Times New Roman" w:hAnsi="Times New Roman"/>
          <w:sz w:val="18"/>
          <w:szCs w:val="18"/>
          <w:b w:val="1"/>
          <w:bCs w:val="1"/>
          <w:color w:val="auto"/>
        </w:rPr>
      </w:pPr>
    </w:p>
    <w:p>
      <w:pPr>
        <w:ind w:left="1400" w:hanging="246"/>
        <w:spacing w:after="0"/>
        <w:tabs>
          <w:tab w:leader="none" w:pos="1400" w:val="left"/>
        </w:tabs>
        <w:numPr>
          <w:ilvl w:val="1"/>
          <w:numId w:val="1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immediately upon the termination of your Continuous Service for Cause;</w:t>
      </w:r>
    </w:p>
    <w:p>
      <w:pPr>
        <w:spacing w:after="0" w:line="103" w:lineRule="exact"/>
        <w:rPr>
          <w:rFonts w:ascii="Times New Roman" w:cs="Times New Roman" w:eastAsia="Times New Roman" w:hAnsi="Times New Roman"/>
          <w:sz w:val="18"/>
          <w:szCs w:val="18"/>
          <w:b w:val="1"/>
          <w:bCs w:val="1"/>
          <w:color w:val="auto"/>
        </w:rPr>
      </w:pPr>
    </w:p>
    <w:p>
      <w:pPr>
        <w:ind w:left="1420" w:hanging="266"/>
        <w:spacing w:after="0"/>
        <w:tabs>
          <w:tab w:leader="none" w:pos="1420" w:val="left"/>
        </w:tabs>
        <w:numPr>
          <w:ilvl w:val="1"/>
          <w:numId w:val="1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three months after the termination of your Continuous Service for any reason other than Cause, Disability or death;</w:t>
      </w:r>
    </w:p>
    <w:p>
      <w:pPr>
        <w:spacing w:after="0" w:line="103" w:lineRule="exact"/>
        <w:rPr>
          <w:rFonts w:ascii="Times New Roman" w:cs="Times New Roman" w:eastAsia="Times New Roman" w:hAnsi="Times New Roman"/>
          <w:sz w:val="18"/>
          <w:szCs w:val="18"/>
          <w:b w:val="1"/>
          <w:bCs w:val="1"/>
          <w:color w:val="auto"/>
        </w:rPr>
      </w:pPr>
    </w:p>
    <w:p>
      <w:pPr>
        <w:ind w:left="1400" w:hanging="246"/>
        <w:spacing w:after="0"/>
        <w:tabs>
          <w:tab w:leader="none" w:pos="1400" w:val="left"/>
        </w:tabs>
        <w:numPr>
          <w:ilvl w:val="1"/>
          <w:numId w:val="1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 months after the termination of your Continuous Service due to your Disability;</w:t>
      </w:r>
    </w:p>
    <w:p>
      <w:pPr>
        <w:spacing w:after="0" w:line="117" w:lineRule="exact"/>
        <w:rPr>
          <w:rFonts w:ascii="Times New Roman" w:cs="Times New Roman" w:eastAsia="Times New Roman" w:hAnsi="Times New Roman"/>
          <w:sz w:val="18"/>
          <w:szCs w:val="18"/>
          <w:b w:val="1"/>
          <w:bCs w:val="1"/>
          <w:color w:val="auto"/>
        </w:rPr>
      </w:pPr>
    </w:p>
    <w:p>
      <w:pPr>
        <w:ind w:left="1420" w:hanging="266"/>
        <w:spacing w:after="0"/>
        <w:tabs>
          <w:tab w:leader="none" w:pos="1420" w:val="left"/>
        </w:tabs>
        <w:numPr>
          <w:ilvl w:val="1"/>
          <w:numId w:val="1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18 months after your death if you die during your Continuous Service;</w:t>
      </w:r>
    </w:p>
    <w:p>
      <w:pPr>
        <w:spacing w:after="0" w:line="103" w:lineRule="exact"/>
        <w:rPr>
          <w:rFonts w:ascii="Times New Roman" w:cs="Times New Roman" w:eastAsia="Times New Roman" w:hAnsi="Times New Roman"/>
          <w:sz w:val="18"/>
          <w:szCs w:val="18"/>
          <w:b w:val="1"/>
          <w:bCs w:val="1"/>
          <w:color w:val="auto"/>
        </w:rPr>
      </w:pPr>
    </w:p>
    <w:p>
      <w:pPr>
        <w:ind w:left="1400" w:hanging="246"/>
        <w:spacing w:after="0"/>
        <w:tabs>
          <w:tab w:leader="none" w:pos="1400" w:val="left"/>
        </w:tabs>
        <w:numPr>
          <w:ilvl w:val="1"/>
          <w:numId w:val="1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immediately upon a Corporate Transaction if the Board has determined that the Option will terminate in connection with a Corporate</w:t>
      </w:r>
    </w:p>
    <w:p>
      <w:pPr>
        <w:spacing w:after="0" w:line="1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Transaction,</w:t>
      </w:r>
    </w:p>
    <w:p>
      <w:pPr>
        <w:spacing w:after="0" w:line="97" w:lineRule="exact"/>
        <w:rPr>
          <w:rFonts w:ascii="Times New Roman" w:cs="Times New Roman" w:eastAsia="Times New Roman" w:hAnsi="Times New Roman"/>
          <w:sz w:val="18"/>
          <w:szCs w:val="18"/>
          <w:b w:val="1"/>
          <w:bCs w:val="1"/>
          <w:color w:val="auto"/>
        </w:rPr>
      </w:pPr>
    </w:p>
    <w:p>
      <w:pPr>
        <w:ind w:left="1380" w:hanging="226"/>
        <w:spacing w:after="0"/>
        <w:tabs>
          <w:tab w:leader="none" w:pos="1380" w:val="left"/>
        </w:tabs>
        <w:numPr>
          <w:ilvl w:val="1"/>
          <w:numId w:val="1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Expiration Date indicated in your Grant Notice; or</w:t>
      </w:r>
    </w:p>
    <w:p>
      <w:pPr>
        <w:spacing w:after="0" w:line="211" w:lineRule="exact"/>
        <w:rPr>
          <w:rFonts w:ascii="Times New Roman" w:cs="Times New Roman" w:eastAsia="Times New Roman" w:hAnsi="Times New Roman"/>
          <w:sz w:val="18"/>
          <w:szCs w:val="18"/>
          <w:b w:val="1"/>
          <w:bCs w:val="1"/>
          <w:color w:val="auto"/>
        </w:rPr>
      </w:pPr>
    </w:p>
    <w:p>
      <w:pPr>
        <w:ind w:left="1400" w:hanging="246"/>
        <w:spacing w:after="0"/>
        <w:tabs>
          <w:tab w:leader="none" w:pos="1400" w:val="left"/>
        </w:tabs>
        <w:numPr>
          <w:ilvl w:val="1"/>
          <w:numId w:val="1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day before the 10th anniversary of the Date of Grant.</w:t>
      </w:r>
    </w:p>
    <w:p>
      <w:pPr>
        <w:spacing w:after="0" w:line="21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Notwithstanding the foregoing, if you die during the period provided in Section 3(b) or 3(c) above, the term of your Option shall not expire until the earlier of (i) 18 months after your death, (ii) upon any termination of the Option in connection with a Corporate Transaction, (iii) the Expiration Date indicated in your Grant Notice, or (iv) the day before the tenth anniversary of the Date of Grant. Additionally, the Post-Termination Exercise Period of your Option may be extended as provided in Section 4(i) of the Plan.</w:t>
      </w:r>
    </w:p>
    <w:p>
      <w:pPr>
        <w:spacing w:after="0" w:line="83" w:lineRule="exact"/>
        <w:rPr>
          <w:sz w:val="20"/>
          <w:szCs w:val="20"/>
          <w:color w:val="auto"/>
        </w:rPr>
      </w:pPr>
    </w:p>
    <w:p>
      <w:pPr>
        <w:ind w:right="140" w:firstLine="509"/>
        <w:spacing w:after="0" w:line="246" w:lineRule="auto"/>
        <w:rPr>
          <w:sz w:val="20"/>
          <w:szCs w:val="20"/>
          <w:color w:val="auto"/>
        </w:rPr>
      </w:pPr>
      <w:r>
        <w:rPr>
          <w:rFonts w:ascii="Times New Roman" w:cs="Times New Roman" w:eastAsia="Times New Roman" w:hAnsi="Times New Roman"/>
          <w:sz w:val="18"/>
          <w:szCs w:val="18"/>
          <w:color w:val="auto"/>
        </w:rPr>
        <w:t>To obtain the federal income tax advantages associated with an Incentive Stock Option, the Code requires that at all times beginning on the date of grant of your Option and ending on the day three months before the date of your Option’s exercise, you must be an employee of the Company or an Affiliate, except in the event of your death or Disability. If the Company provides for the extended exercisability of your Option under certain circumstances for your benefit, your Option will not necessarily be treated as an Incentive Stock Option if you exercise your Option more than three months after the date your employment terminates.</w:t>
      </w:r>
    </w:p>
    <w:p>
      <w:pPr>
        <w:spacing w:after="0" w:line="69" w:lineRule="exact"/>
        <w:rPr>
          <w:sz w:val="20"/>
          <w:szCs w:val="20"/>
          <w:color w:val="auto"/>
        </w:rPr>
      </w:pPr>
    </w:p>
    <w:p>
      <w:pPr>
        <w:ind w:right="40" w:firstLine="517"/>
        <w:spacing w:after="0" w:line="244" w:lineRule="auto"/>
        <w:tabs>
          <w:tab w:leader="none" w:pos="689" w:val="left"/>
        </w:tabs>
        <w:numPr>
          <w:ilvl w:val="0"/>
          <w:numId w:val="1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3"/>
          <w:szCs w:val="13"/>
          <w:b w:val="1"/>
          <w:bCs w:val="1"/>
          <w:color w:val="auto"/>
        </w:rPr>
        <w:t>ITHHOLDING</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3"/>
          <w:szCs w:val="13"/>
          <w:b w:val="1"/>
          <w:bCs w:val="1"/>
          <w:color w:val="auto"/>
        </w:rPr>
        <w:t>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further provided in Section 8 of the Plan: (a) you may not exercise your Option unless the applicable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withholding obligations are satisfied, and (b) at the time you exercise your Option, in whole or in part, or at any time thereafter as requested by the Company, you hereby authorize withholding from payroll and any other amounts payable to you, and otherwise agree to make adequate provision for (including by means of a “cashless exercise” pursuant to a program developed under Regulation T as promulgated by the Federal Reserve Board to the extent permitted by the Company), any sums required to satisfy the federal, state, local and foreign tax withholding obligations, if any, which arise in connection with the exercise of your Option in accordance with the withholding procedures established by the Company. Accordingly, you may not be able to exercise your Option even though the Option is vested, and the Company shall have no obligation to issue shares of Common Stock subject to your Option, unless and until such obligations are satisfied. In the event that the amount of the Company’s withholding obligation in connection with your Option was greater than the amount actually withheld by the Company, you agree to indemnify and hold the Company harmless from any failure by the Company to withhold the proper amount.</w:t>
      </w:r>
    </w:p>
    <w:p>
      <w:pPr>
        <w:spacing w:after="0" w:line="69" w:lineRule="exact"/>
        <w:rPr>
          <w:rFonts w:ascii="Times New Roman" w:cs="Times New Roman" w:eastAsia="Times New Roman" w:hAnsi="Times New Roman"/>
          <w:sz w:val="18"/>
          <w:szCs w:val="18"/>
          <w:b w:val="1"/>
          <w:bCs w:val="1"/>
          <w:color w:val="auto"/>
        </w:rPr>
      </w:pPr>
    </w:p>
    <w:p>
      <w:pPr>
        <w:ind w:right="20" w:firstLine="517"/>
        <w:spacing w:after="0" w:line="260" w:lineRule="auto"/>
        <w:tabs>
          <w:tab w:leader="none" w:pos="689" w:val="left"/>
        </w:tabs>
        <w:numPr>
          <w:ilvl w:val="0"/>
          <w:numId w:val="1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3"/>
          <w:szCs w:val="13"/>
          <w:b w:val="1"/>
          <w:bCs w:val="1"/>
          <w:color w:val="auto"/>
        </w:rPr>
        <w:t>NCENTIVE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3"/>
          <w:szCs w:val="13"/>
          <w:b w:val="1"/>
          <w:bCs w:val="1"/>
          <w:color w:val="auto"/>
        </w:rPr>
        <w:t>PTION</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3"/>
          <w:szCs w:val="13"/>
          <w:b w:val="1"/>
          <w:bCs w:val="1"/>
          <w:color w:val="auto"/>
        </w:rPr>
        <w:t>ISPOSITION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3"/>
          <w:szCs w:val="13"/>
          <w:b w:val="1"/>
          <w:bCs w:val="1"/>
          <w:color w:val="auto"/>
        </w:rPr>
        <w:t>EQUIREMENT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your Option is an Incentive Stock Option, you must notify the Company in writing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within 15 days after the date of any disposition of any of the shares of the Common Stock issued upon exercise of your Option that occurs within two years after the date of your Option grant or within one year after such shares of Common Stock are transferred upon exercise of your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174625</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174" w:name="page175"/>
    <w:bookmarkEnd w:id="174"/>
    <w:p>
      <w:pPr>
        <w:ind w:left="-8" w:right="200" w:firstLine="517"/>
        <w:spacing w:after="0" w:line="286" w:lineRule="auto"/>
        <w:tabs>
          <w:tab w:leader="none" w:pos="681" w:val="left"/>
        </w:tabs>
        <w:numPr>
          <w:ilvl w:val="1"/>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3"/>
          <w:szCs w:val="13"/>
          <w:b w:val="1"/>
          <w:bCs w:val="1"/>
          <w:color w:val="auto"/>
        </w:rPr>
        <w:t>RANSFERABILITY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otherwise provided in Section 4(e) of the Plan, your Option is not transferable, except by will or by the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of descent and distribution, and is exercisable during your life only by you.</w:t>
      </w:r>
    </w:p>
    <w:p>
      <w:pPr>
        <w:spacing w:after="0" w:line="33" w:lineRule="exact"/>
        <w:rPr>
          <w:rFonts w:ascii="Times New Roman" w:cs="Times New Roman" w:eastAsia="Times New Roman" w:hAnsi="Times New Roman"/>
          <w:sz w:val="18"/>
          <w:szCs w:val="18"/>
          <w:b w:val="1"/>
          <w:bCs w:val="1"/>
          <w:color w:val="auto"/>
        </w:rPr>
      </w:pPr>
    </w:p>
    <w:p>
      <w:pPr>
        <w:jc w:val="both"/>
        <w:ind w:left="-8" w:right="320" w:firstLine="517"/>
        <w:spacing w:after="0" w:line="260" w:lineRule="auto"/>
        <w:tabs>
          <w:tab w:leader="none" w:pos="681" w:val="left"/>
        </w:tabs>
        <w:numPr>
          <w:ilvl w:val="1"/>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3"/>
          <w:szCs w:val="13"/>
          <w:b w:val="1"/>
          <w:bCs w:val="1"/>
          <w:color w:val="auto"/>
        </w:rPr>
        <w:t>ORPORATE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3"/>
          <w:szCs w:val="13"/>
          <w:b w:val="1"/>
          <w:bCs w:val="1"/>
          <w:color w:val="auto"/>
        </w:rPr>
        <w:t>RANSACTION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Option is subject to the terms of any agreement governing a Corporate Transaction involving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without limitation, a provision for the appointment of a stockholder representative that is authorized to act on your behalf with respect to any escrow, indemnities and any contingent consideration.</w:t>
      </w:r>
    </w:p>
    <w:p>
      <w:pPr>
        <w:spacing w:after="0" w:line="164" w:lineRule="exact"/>
        <w:rPr>
          <w:rFonts w:ascii="Times New Roman" w:cs="Times New Roman" w:eastAsia="Times New Roman" w:hAnsi="Times New Roman"/>
          <w:sz w:val="18"/>
          <w:szCs w:val="18"/>
          <w:b w:val="1"/>
          <w:bCs w:val="1"/>
          <w:color w:val="auto"/>
        </w:rPr>
      </w:pPr>
    </w:p>
    <w:p>
      <w:pPr>
        <w:ind w:left="-8" w:firstLine="517"/>
        <w:spacing w:after="0" w:line="244" w:lineRule="auto"/>
        <w:tabs>
          <w:tab w:leader="none" w:pos="681" w:val="left"/>
        </w:tabs>
        <w:numPr>
          <w:ilvl w:val="1"/>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3"/>
          <w:szCs w:val="13"/>
          <w:b w:val="1"/>
          <w:bCs w:val="1"/>
          <w:color w:val="auto"/>
        </w:rPr>
        <w:t>O</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3"/>
          <w:szCs w:val="13"/>
          <w:b w:val="1"/>
          <w:bCs w:val="1"/>
          <w:color w:val="auto"/>
        </w:rPr>
        <w:t>IABILITY FOR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3"/>
          <w:szCs w:val="13"/>
          <w:b w:val="1"/>
          <w:bCs w:val="1"/>
          <w:color w:val="auto"/>
        </w:rPr>
        <w:t>AXES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 condition to accepting the Option, you hereby (a) agree to not make any claim against the Company, or any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Directors, Employees or Affiliates related to tax liabilities arising from the Option or other Company compensation and (b) acknowledge that you were advised to consult with your own personal tax, financial and other legal advisors regarding the tax consequences of the Option and have either done so or knowingly and voluntarily declined to do so. Additionally, you acknowledge that the Option is exempt from Section 409A only if the exercise price is at least equal to the “fair market value” of the Common Stock on the date of grant as determined by the Internal Revenue Service and there is no other impermissible deferral of compensation associated with the Option. Additionally, as a condition to accepting the Option, you agree not make any claim against the Company, or any of its Officers, Directors, Employees or Affiliates in the event that the Internal Revenue Service asserts that such exercise is less than the “fair market value” of the Common Stock on the date of grant as subsequently determined by the Internal Revenue Service.</w:t>
      </w:r>
    </w:p>
    <w:p>
      <w:pPr>
        <w:spacing w:after="0" w:line="71" w:lineRule="exact"/>
        <w:rPr>
          <w:rFonts w:ascii="Times New Roman" w:cs="Times New Roman" w:eastAsia="Times New Roman" w:hAnsi="Times New Roman"/>
          <w:sz w:val="18"/>
          <w:szCs w:val="18"/>
          <w:b w:val="1"/>
          <w:bCs w:val="1"/>
          <w:color w:val="auto"/>
        </w:rPr>
      </w:pPr>
    </w:p>
    <w:p>
      <w:pPr>
        <w:ind w:left="-8" w:right="20" w:firstLine="517"/>
        <w:spacing w:after="0" w:line="252" w:lineRule="auto"/>
        <w:tabs>
          <w:tab w:leader="none" w:pos="681" w:val="left"/>
        </w:tabs>
        <w:numPr>
          <w:ilvl w:val="1"/>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3"/>
          <w:szCs w:val="13"/>
          <w:b w:val="1"/>
          <w:bCs w:val="1"/>
          <w:color w:val="auto"/>
        </w:rPr>
        <w:t>EVERABILITY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any part of this Option Agreement or the Plan is declared by any court or governmental authority to be unlawful or invalid,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unlawfulness or invalidity will not invalidate any portion of this Option Agreement or the Plan not declared to be unlawful or invalid. Any Section of this Option Agreement (or part of such a Section) so declared to be unlawful or invalid will, if possible, be construed in a manner which will give effect to the terms of such Section or part of a Section to the fullest extent possible while remaining lawful and valid</w:t>
      </w:r>
    </w:p>
    <w:p>
      <w:pPr>
        <w:spacing w:after="0" w:line="75" w:lineRule="exact"/>
        <w:rPr>
          <w:rFonts w:ascii="Times New Roman" w:cs="Times New Roman" w:eastAsia="Times New Roman" w:hAnsi="Times New Roman"/>
          <w:sz w:val="18"/>
          <w:szCs w:val="18"/>
          <w:b w:val="1"/>
          <w:bCs w:val="1"/>
          <w:color w:val="auto"/>
        </w:rPr>
      </w:pPr>
    </w:p>
    <w:p>
      <w:pPr>
        <w:ind w:left="772" w:hanging="263"/>
        <w:spacing w:after="0"/>
        <w:tabs>
          <w:tab w:leader="none" w:pos="772" w:val="left"/>
        </w:tabs>
        <w:numPr>
          <w:ilvl w:val="1"/>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3"/>
          <w:szCs w:val="13"/>
          <w:b w:val="1"/>
          <w:bCs w:val="1"/>
          <w:color w:val="auto"/>
        </w:rPr>
        <w:t>THER</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3"/>
          <w:szCs w:val="13"/>
          <w:b w:val="1"/>
          <w:bCs w:val="1"/>
          <w:color w:val="auto"/>
        </w:rPr>
        <w:t>OCUMENTS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hereby acknowledge receipt of or the right to receive a document providing the information required by Rule 428(b)</w:t>
      </w:r>
    </w:p>
    <w:p>
      <w:pPr>
        <w:spacing w:after="0" w:line="19" w:lineRule="exact"/>
        <w:rPr>
          <w:rFonts w:ascii="Times New Roman" w:cs="Times New Roman" w:eastAsia="Times New Roman" w:hAnsi="Times New Roman"/>
          <w:sz w:val="18"/>
          <w:szCs w:val="18"/>
          <w:b w:val="1"/>
          <w:bCs w:val="1"/>
          <w:color w:val="auto"/>
        </w:rPr>
      </w:pPr>
    </w:p>
    <w:p>
      <w:pPr>
        <w:ind w:left="252" w:hanging="252"/>
        <w:spacing w:after="0"/>
        <w:tabs>
          <w:tab w:leader="none" w:pos="252"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promulgated under the Securities Act, which includes the Prospectus. In addition, you acknowledge receipt of the Company’s Trading Policy.</w:t>
      </w:r>
    </w:p>
    <w:p>
      <w:pPr>
        <w:spacing w:after="0" w:line="79" w:lineRule="exact"/>
        <w:rPr>
          <w:rFonts w:ascii="Times New Roman" w:cs="Times New Roman" w:eastAsia="Times New Roman" w:hAnsi="Times New Roman"/>
          <w:sz w:val="18"/>
          <w:szCs w:val="18"/>
          <w:color w:val="auto"/>
        </w:rPr>
      </w:pPr>
    </w:p>
    <w:p>
      <w:pPr>
        <w:ind w:left="-8" w:right="440" w:firstLine="517"/>
        <w:spacing w:after="0" w:line="286" w:lineRule="auto"/>
        <w:tabs>
          <w:tab w:leader="none" w:pos="761" w:val="left"/>
        </w:tabs>
        <w:numPr>
          <w:ilvl w:val="1"/>
          <w:numId w:val="1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w:t>
      </w:r>
      <w:r>
        <w:rPr>
          <w:rFonts w:ascii="Times New Roman" w:cs="Times New Roman" w:eastAsia="Times New Roman" w:hAnsi="Times New Roman"/>
          <w:sz w:val="13"/>
          <w:szCs w:val="13"/>
          <w:b w:val="1"/>
          <w:bCs w:val="1"/>
          <w:color w:val="auto"/>
        </w:rPr>
        <w:t>UESTIONS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you have questions regarding these or any other terms and conditions applicable to your Option, including a summary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federal income tax consequences please see the Prospectus.</w:t>
      </w:r>
    </w:p>
    <w:p>
      <w:pPr>
        <w:spacing w:after="0" w:line="141" w:lineRule="exact"/>
        <w:rPr>
          <w:rFonts w:ascii="Times New Roman" w:cs="Times New Roman" w:eastAsia="Times New Roman" w:hAnsi="Times New Roman"/>
          <w:sz w:val="18"/>
          <w:szCs w:val="18"/>
          <w:b w:val="1"/>
          <w:bCs w:val="1"/>
          <w:color w:val="auto"/>
        </w:rPr>
      </w:pPr>
    </w:p>
    <w:p>
      <w:pPr>
        <w:ind w:left="537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332740</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428" w:right="339" w:bottom="1440" w:gutter="0" w:footer="0" w:header="0"/>
        </w:sectPr>
      </w:pPr>
    </w:p>
    <w:bookmarkStart w:id="175" w:name="page176"/>
    <w:bookmarkEnd w:id="17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3"/>
          <w:szCs w:val="13"/>
          <w:b w:val="1"/>
          <w:bCs w:val="1"/>
          <w:color w:val="auto"/>
        </w:rPr>
        <w:t>TTACHMENT</w:t>
      </w:r>
      <w:r>
        <w:rPr>
          <w:rFonts w:ascii="Times New Roman" w:cs="Times New Roman" w:eastAsia="Times New Roman" w:hAnsi="Times New Roman"/>
          <w:sz w:val="18"/>
          <w:szCs w:val="18"/>
          <w:b w:val="1"/>
          <w:bCs w:val="1"/>
          <w:color w:val="auto"/>
        </w:rPr>
        <w:t xml:space="preserve"> II</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2021 E</w:t>
      </w:r>
      <w:r>
        <w:rPr>
          <w:rFonts w:ascii="Times New Roman" w:cs="Times New Roman" w:eastAsia="Times New Roman" w:hAnsi="Times New Roman"/>
          <w:sz w:val="13"/>
          <w:szCs w:val="13"/>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3"/>
          <w:szCs w:val="13"/>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3"/>
          <w:szCs w:val="13"/>
          <w:b w:val="1"/>
          <w:bCs w:val="1"/>
          <w:color w:val="auto"/>
        </w:rPr>
        <w:t>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332740</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36" w:right="1440" w:bottom="1440" w:gutter="0" w:footer="0" w:header="0"/>
        </w:sectPr>
      </w:pPr>
    </w:p>
    <w:bookmarkStart w:id="176" w:name="page177"/>
    <w:bookmarkEnd w:id="176"/>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3"/>
          <w:szCs w:val="13"/>
          <w:b w:val="1"/>
          <w:bCs w:val="1"/>
          <w:color w:val="auto"/>
        </w:rPr>
        <w:t>TTACHMENT</w:t>
      </w:r>
      <w:r>
        <w:rPr>
          <w:rFonts w:ascii="Times New Roman" w:cs="Times New Roman" w:eastAsia="Times New Roman" w:hAnsi="Times New Roman"/>
          <w:sz w:val="18"/>
          <w:szCs w:val="18"/>
          <w:b w:val="1"/>
          <w:bCs w:val="1"/>
          <w:color w:val="auto"/>
        </w:rPr>
        <w:t xml:space="preserve"> III</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3"/>
          <w:szCs w:val="13"/>
          <w:b w:val="1"/>
          <w:bCs w:val="1"/>
          <w:color w:val="auto"/>
        </w:rPr>
        <w:t>OTICE OF</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3"/>
          <w:szCs w:val="13"/>
          <w:b w:val="1"/>
          <w:bCs w:val="1"/>
          <w:color w:val="auto"/>
        </w:rPr>
        <w:t>XERCISE</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(2021 E</w:t>
      </w:r>
      <w:r>
        <w:rPr>
          <w:rFonts w:ascii="Times New Roman" w:cs="Times New Roman" w:eastAsia="Times New Roman" w:hAnsi="Times New Roman"/>
          <w:sz w:val="13"/>
          <w:szCs w:val="13"/>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3"/>
          <w:szCs w:val="13"/>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3"/>
          <w:szCs w:val="13"/>
          <w:b w:val="1"/>
          <w:bCs w:val="1"/>
          <w:color w:val="auto"/>
        </w:rPr>
        <w:t>LAN</w:t>
      </w:r>
      <w:r>
        <w:rPr>
          <w:rFonts w:ascii="Times New Roman" w:cs="Times New Roman" w:eastAsia="Times New Roman" w:hAnsi="Times New Roman"/>
          <w:sz w:val="18"/>
          <w:szCs w:val="18"/>
          <w:b w:val="1"/>
          <w:bCs w:val="1"/>
          <w:color w:val="auto"/>
        </w:rPr>
        <w: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1601 TRAPELO RD. SUITE 178</w:t>
      </w:r>
    </w:p>
    <w:p>
      <w:pPr>
        <w:spacing w:after="0" w:line="7" w:lineRule="exact"/>
        <w:rPr>
          <w:sz w:val="20"/>
          <w:szCs w:val="20"/>
          <w:color w:val="auto"/>
        </w:rPr>
      </w:pPr>
    </w:p>
    <w:p>
      <w:pPr>
        <w:ind w:left="20"/>
        <w:spacing w:after="0"/>
        <w:tabs>
          <w:tab w:leader="none" w:pos="8480" w:val="left"/>
        </w:tabs>
        <w:rPr>
          <w:sz w:val="20"/>
          <w:szCs w:val="20"/>
          <w:color w:val="auto"/>
        </w:rPr>
      </w:pPr>
      <w:r>
        <w:rPr>
          <w:rFonts w:ascii="Times New Roman" w:cs="Times New Roman" w:eastAsia="Times New Roman" w:hAnsi="Times New Roman"/>
          <w:sz w:val="18"/>
          <w:szCs w:val="18"/>
          <w:color w:val="auto"/>
        </w:rPr>
        <w:t>W</w:t>
      </w:r>
      <w:r>
        <w:rPr>
          <w:rFonts w:ascii="Times New Roman" w:cs="Times New Roman" w:eastAsia="Times New Roman" w:hAnsi="Times New Roman"/>
          <w:sz w:val="13"/>
          <w:szCs w:val="13"/>
          <w:color w:val="auto"/>
        </w:rPr>
        <w:t>ALTHAM</w:t>
      </w:r>
      <w:r>
        <w:rPr>
          <w:rFonts w:ascii="Times New Roman" w:cs="Times New Roman" w:eastAsia="Times New Roman" w:hAnsi="Times New Roman"/>
          <w:sz w:val="18"/>
          <w:szCs w:val="18"/>
          <w:color w:val="auto"/>
        </w:rPr>
        <w:t>, MA 02451</w:t>
      </w:r>
      <w:r>
        <w:rPr>
          <w:sz w:val="20"/>
          <w:szCs w:val="20"/>
          <w:color w:val="auto"/>
        </w:rPr>
        <w:tab/>
      </w:r>
      <w:r>
        <w:rPr>
          <w:rFonts w:ascii="Times New Roman" w:cs="Times New Roman" w:eastAsia="Times New Roman" w:hAnsi="Times New Roman"/>
          <w:sz w:val="17"/>
          <w:szCs w:val="17"/>
          <w:color w:val="auto"/>
        </w:rPr>
        <w:t>Date of Exercise:</w:t>
      </w:r>
    </w:p>
    <w:p>
      <w:pPr>
        <w:spacing w:after="0" w:line="392" w:lineRule="exact"/>
        <w:rPr>
          <w:sz w:val="20"/>
          <w:szCs w:val="20"/>
          <w:color w:val="auto"/>
        </w:rPr>
      </w:pPr>
    </w:p>
    <w:p>
      <w:pPr>
        <w:ind w:right="40" w:firstLine="509"/>
        <w:spacing w:after="0" w:line="247" w:lineRule="auto"/>
        <w:rPr>
          <w:sz w:val="20"/>
          <w:szCs w:val="20"/>
          <w:color w:val="auto"/>
        </w:rPr>
      </w:pPr>
      <w:r>
        <w:rPr>
          <w:rFonts w:ascii="Times New Roman" w:cs="Times New Roman" w:eastAsia="Times New Roman" w:hAnsi="Times New Roman"/>
          <w:sz w:val="18"/>
          <w:szCs w:val="18"/>
          <w:color w:val="auto"/>
        </w:rPr>
        <w:t>This constitutes notice to Invivyd,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that I elect to purchase the below number of shares of Common Stock of the Company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by exercising my Option for the price set forth below. Capitalized terms not explicitly defined in this Notice of Exercise but defined in the Stock Option Grant Notice, Stock Option Agreement or 2021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shall have the meanings set forth in the Stock Option Grant Notice, Stock Option Agreement or Plan, as applicable. Use of certain payment methods is subject to Company and/or Committee consent and certain additional requirements set forth in the Stock Option Agreement and the Plan.</w:t>
      </w:r>
    </w:p>
    <w:p>
      <w:pPr>
        <w:spacing w:after="0" w:line="200" w:lineRule="exact"/>
        <w:rPr>
          <w:sz w:val="20"/>
          <w:szCs w:val="20"/>
          <w:color w:val="auto"/>
        </w:rPr>
      </w:pPr>
    </w:p>
    <w:p>
      <w:pPr>
        <w:spacing w:after="0" w:line="250" w:lineRule="exact"/>
        <w:rPr>
          <w:sz w:val="20"/>
          <w:szCs w:val="20"/>
          <w:color w:val="auto"/>
        </w:rPr>
      </w:pPr>
    </w:p>
    <w:p>
      <w:pPr>
        <w:ind w:left="20"/>
        <w:spacing w:after="0" w:line="161" w:lineRule="exact"/>
        <w:tabs>
          <w:tab w:leader="none" w:pos="8060" w:val="left"/>
          <w:tab w:leader="none" w:pos="10080" w:val="left"/>
        </w:tabs>
        <w:rPr>
          <w:sz w:val="20"/>
          <w:szCs w:val="20"/>
          <w:color w:val="auto"/>
        </w:rPr>
      </w:pPr>
      <w:r>
        <w:rPr>
          <w:rFonts w:ascii="Times New Roman" w:cs="Times New Roman" w:eastAsia="Times New Roman" w:hAnsi="Times New Roman"/>
          <w:sz w:val="14"/>
          <w:szCs w:val="14"/>
          <w:color w:val="auto"/>
        </w:rPr>
        <w:t>Type of option (check one):</w:t>
      </w:r>
      <w:r>
        <w:rPr>
          <w:sz w:val="20"/>
          <w:szCs w:val="20"/>
          <w:color w:val="auto"/>
        </w:rPr>
        <w:tab/>
      </w:r>
      <w:r>
        <w:rPr>
          <w:rFonts w:ascii="Times New Roman" w:cs="Times New Roman" w:eastAsia="Times New Roman" w:hAnsi="Times New Roman"/>
          <w:sz w:val="14"/>
          <w:szCs w:val="14"/>
          <w:color w:val="auto"/>
        </w:rPr>
        <w:t xml:space="preserve">Incentive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Nonstatutory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3716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Date of Grant:</w:t>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Number of Shares as to which Option is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460"/>
        <w:spacing w:after="0"/>
        <w:rPr>
          <w:sz w:val="20"/>
          <w:szCs w:val="20"/>
          <w:color w:val="auto"/>
        </w:rPr>
      </w:pPr>
      <w:r>
        <w:rPr>
          <w:rFonts w:ascii="Times New Roman" w:cs="Times New Roman" w:eastAsia="Times New Roman" w:hAnsi="Times New Roman"/>
          <w:sz w:val="18"/>
          <w:szCs w:val="18"/>
          <w:color w:val="auto"/>
        </w:rPr>
        <w:t>Certificates to be issued in name of:</w:t>
      </w:r>
    </w:p>
    <w:p>
      <w:pPr>
        <w:spacing w:after="0" w:line="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Total exercise price:</w:t>
      </w:r>
    </w:p>
    <w:p>
      <w:pPr>
        <w:ind w:left="75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25717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4">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880"/>
        <w:spacing w:after="0" w:line="229" w:lineRule="auto"/>
        <w:rPr>
          <w:sz w:val="20"/>
          <w:szCs w:val="20"/>
          <w:color w:val="auto"/>
        </w:rPr>
      </w:pPr>
      <w:r>
        <w:rPr>
          <w:rFonts w:ascii="Times New Roman" w:cs="Times New Roman" w:eastAsia="Times New Roman" w:hAnsi="Times New Roman"/>
          <w:sz w:val="18"/>
          <w:szCs w:val="18"/>
          <w:color w:val="auto"/>
        </w:rPr>
        <w:t>Cash, check, bank draft or money order delivered herewith:</w:t>
      </w:r>
    </w:p>
    <w:tbl>
      <w:tblPr>
        <w:tblLayout w:type="fixed"/>
        <w:tblInd w:w="0" w:type="dxa"/>
        <w:tblCellMar>
          <w:top w:w="0" w:type="dxa"/>
          <w:left w:w="0" w:type="dxa"/>
          <w:bottom w:w="0" w:type="dxa"/>
          <w:right w:w="0" w:type="dxa"/>
        </w:tblCellMar>
      </w:tblPr>
      <w:tr>
        <w:trPr>
          <w:trHeight w:val="197"/>
        </w:trPr>
        <w:tc>
          <w:tcPr>
            <w:tcW w:w="1540" w:type="dxa"/>
            <w:vAlign w:val="bottom"/>
          </w:tcPr>
          <w:p>
            <w:pPr>
              <w:spacing w:after="0"/>
              <w:rPr>
                <w:sz w:val="17"/>
                <w:szCs w:val="17"/>
                <w:color w:val="auto"/>
              </w:rPr>
            </w:pPr>
          </w:p>
        </w:tc>
        <w:tc>
          <w:tcPr>
            <w:tcW w:w="9700" w:type="dxa"/>
            <w:vAlign w:val="bottom"/>
            <w:gridSpan w:val="2"/>
          </w:tcPr>
          <w:p>
            <w:pPr>
              <w:jc w:val="right"/>
              <w:ind w:right="351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194"/>
        </w:trPr>
        <w:tc>
          <w:tcPr>
            <w:tcW w:w="1540" w:type="dxa"/>
            <w:vAlign w:val="bottom"/>
          </w:tcPr>
          <w:p>
            <w:pPr>
              <w:ind w:left="880"/>
              <w:spacing w:after="0" w:line="194" w:lineRule="exact"/>
              <w:rPr>
                <w:sz w:val="20"/>
                <w:szCs w:val="20"/>
                <w:color w:val="auto"/>
              </w:rPr>
            </w:pPr>
            <w:r>
              <w:rPr>
                <w:rFonts w:ascii="Times New Roman" w:cs="Times New Roman" w:eastAsia="Times New Roman" w:hAnsi="Times New Roman"/>
                <w:sz w:val="18"/>
                <w:szCs w:val="18"/>
                <w:color w:val="auto"/>
              </w:rPr>
              <w:t>Value of</w:t>
            </w:r>
          </w:p>
        </w:tc>
        <w:tc>
          <w:tcPr>
            <w:tcW w:w="900" w:type="dxa"/>
            <w:vAlign w:val="bottom"/>
            <w:tcBorders>
              <w:bottom w:val="single" w:sz="8" w:color="auto"/>
            </w:tcBorders>
          </w:tcPr>
          <w:p>
            <w:pPr>
              <w:spacing w:after="0"/>
              <w:rPr>
                <w:sz w:val="16"/>
                <w:szCs w:val="16"/>
                <w:color w:val="auto"/>
              </w:rPr>
            </w:pPr>
          </w:p>
        </w:tc>
        <w:tc>
          <w:tcPr>
            <w:tcW w:w="8800" w:type="dxa"/>
            <w:vAlign w:val="bottom"/>
          </w:tcPr>
          <w:p>
            <w:pPr>
              <w:ind w:left="40"/>
              <w:spacing w:after="0" w:line="194" w:lineRule="exact"/>
              <w:rPr>
                <w:sz w:val="20"/>
                <w:szCs w:val="20"/>
                <w:color w:val="auto"/>
              </w:rPr>
            </w:pPr>
            <w:r>
              <w:rPr>
                <w:rFonts w:ascii="Times New Roman" w:cs="Times New Roman" w:eastAsia="Times New Roman" w:hAnsi="Times New Roman"/>
                <w:sz w:val="18"/>
                <w:szCs w:val="18"/>
                <w:color w:val="auto"/>
              </w:rPr>
              <w:t>Shares delivered herewith:</w:t>
            </w:r>
          </w:p>
        </w:tc>
      </w:tr>
      <w:tr>
        <w:trPr>
          <w:trHeight w:val="209"/>
        </w:trPr>
        <w:tc>
          <w:tcPr>
            <w:tcW w:w="1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0" w:type="dxa"/>
            <w:vAlign w:val="bottom"/>
          </w:tcPr>
          <w:p>
            <w:pPr>
              <w:jc w:val="right"/>
              <w:ind w:right="3510"/>
              <w:spacing w:after="0"/>
              <w:rPr>
                <w:sz w:val="20"/>
                <w:szCs w:val="20"/>
                <w:color w:val="auto"/>
              </w:rPr>
            </w:pPr>
            <w:r>
              <w:rPr>
                <w:rFonts w:ascii="Times New Roman" w:cs="Times New Roman" w:eastAsia="Times New Roman" w:hAnsi="Times New Roman"/>
                <w:sz w:val="18"/>
                <w:szCs w:val="18"/>
                <w:color w:val="auto"/>
              </w:rPr>
              <w:t>$</w:t>
            </w:r>
          </w:p>
        </w:tc>
      </w:tr>
      <w:tr>
        <w:trPr>
          <w:trHeight w:val="171"/>
        </w:trPr>
        <w:tc>
          <w:tcPr>
            <w:tcW w:w="11240" w:type="dxa"/>
            <w:vAlign w:val="bottom"/>
            <w:gridSpan w:val="3"/>
            <w:shd w:val="clear" w:color="auto" w:fill="CCEEFF"/>
          </w:tcPr>
          <w:p>
            <w:pPr>
              <w:ind w:left="880"/>
              <w:spacing w:after="0" w:line="170" w:lineRule="exact"/>
              <w:rPr>
                <w:sz w:val="20"/>
                <w:szCs w:val="20"/>
                <w:color w:val="auto"/>
              </w:rPr>
            </w:pPr>
            <w:r>
              <w:rPr>
                <w:rFonts w:ascii="Times New Roman" w:cs="Times New Roman" w:eastAsia="Times New Roman" w:hAnsi="Times New Roman"/>
                <w:sz w:val="18"/>
                <w:szCs w:val="18"/>
                <w:color w:val="auto"/>
              </w:rPr>
              <w:t>Regulation T Program (cashless exercise)</w:t>
            </w:r>
          </w:p>
        </w:tc>
      </w:tr>
      <w:tr>
        <w:trPr>
          <w:trHeight w:val="234"/>
        </w:trPr>
        <w:tc>
          <w:tcPr>
            <w:tcW w:w="1540" w:type="dxa"/>
            <w:vAlign w:val="bottom"/>
            <w:shd w:val="clear" w:color="auto" w:fill="CCEEFF"/>
          </w:tcPr>
          <w:p>
            <w:pPr>
              <w:spacing w:after="0"/>
              <w:rPr>
                <w:sz w:val="20"/>
                <w:szCs w:val="20"/>
                <w:color w:val="auto"/>
              </w:rPr>
            </w:pPr>
          </w:p>
        </w:tc>
        <w:tc>
          <w:tcPr>
            <w:tcW w:w="9700" w:type="dxa"/>
            <w:vAlign w:val="bottom"/>
            <w:gridSpan w:val="2"/>
            <w:shd w:val="clear" w:color="auto" w:fill="CCEEFF"/>
          </w:tcPr>
          <w:p>
            <w:pPr>
              <w:jc w:val="right"/>
              <w:ind w:right="3510"/>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1540" w:type="dxa"/>
            <w:vAlign w:val="bottom"/>
          </w:tcPr>
          <w:p>
            <w:pPr>
              <w:ind w:left="880"/>
              <w:spacing w:after="0" w:line="176" w:lineRule="exact"/>
              <w:rPr>
                <w:sz w:val="20"/>
                <w:szCs w:val="20"/>
                <w:color w:val="auto"/>
              </w:rPr>
            </w:pPr>
            <w:r>
              <w:rPr>
                <w:rFonts w:ascii="Times New Roman" w:cs="Times New Roman" w:eastAsia="Times New Roman" w:hAnsi="Times New Roman"/>
                <w:sz w:val="18"/>
                <w:szCs w:val="18"/>
                <w:color w:val="auto"/>
              </w:rPr>
              <w:t>Value of</w:t>
            </w:r>
          </w:p>
        </w:tc>
        <w:tc>
          <w:tcPr>
            <w:tcW w:w="900" w:type="dxa"/>
            <w:vAlign w:val="bottom"/>
            <w:tcBorders>
              <w:bottom w:val="single" w:sz="8" w:color="auto"/>
            </w:tcBorders>
          </w:tcPr>
          <w:p>
            <w:pPr>
              <w:spacing w:after="0"/>
              <w:rPr>
                <w:sz w:val="15"/>
                <w:szCs w:val="15"/>
                <w:color w:val="auto"/>
              </w:rPr>
            </w:pPr>
          </w:p>
        </w:tc>
        <w:tc>
          <w:tcPr>
            <w:tcW w:w="880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Shares pursuant to net exercise:</w:t>
            </w:r>
          </w:p>
        </w:tc>
      </w:tr>
      <w:tr>
        <w:trPr>
          <w:trHeight w:val="219"/>
        </w:trPr>
        <w:tc>
          <w:tcPr>
            <w:tcW w:w="1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8800" w:type="dxa"/>
            <w:vAlign w:val="bottom"/>
            <w:tcBorders>
              <w:bottom w:val="single" w:sz="8" w:color="auto"/>
            </w:tcBorders>
          </w:tcPr>
          <w:p>
            <w:pPr>
              <w:jc w:val="right"/>
              <w:ind w:right="3510"/>
              <w:spacing w:after="0"/>
              <w:rPr>
                <w:sz w:val="20"/>
                <w:szCs w:val="20"/>
                <w:color w:val="auto"/>
              </w:rPr>
            </w:pPr>
            <w:r>
              <w:rPr>
                <w:rFonts w:ascii="Times New Roman" w:cs="Times New Roman" w:eastAsia="Times New Roman" w:hAnsi="Times New Roman"/>
                <w:sz w:val="18"/>
                <w:szCs w:val="18"/>
                <w:color w:val="auto"/>
              </w:rPr>
              <w:t>$</w:t>
            </w:r>
          </w:p>
        </w:tc>
      </w:tr>
    </w:tbl>
    <w:p>
      <w:pPr>
        <w:spacing w:after="0" w:line="184"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By this exercise, I agree (i) to provide such additional documents as you may require pursuant to the terms of the Plan, (ii) to satisfy the tax withholding obligations, if any, relating to the exercise of this Option as set forth in the Stock Option Agreement, and (iii) if this exercise relates to an incentive stock option, to notify you in writing within 15 days after the date of any disposition of any of the Shares issued upon exercise of this Option that occurs within two years after the Date of Grant or within one year after such Shares are issued upon exercise of this Option.</w:t>
      </w:r>
    </w:p>
    <w:p>
      <w:pPr>
        <w:spacing w:after="0" w:line="177"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I further agree that, if required by the Company (or a representative of the underwriters) in connection with the first underwritten registration of the offering of any securities of the Company under the Securities Act, I will not sell, dispose of, transfer, make any short sale of, grant any option for the purchase of, or enter into any hedging or similar transaction with the same economic effect as a sale with respect to any shares of Common Stock or other securities of the Company for a period of one hundred eighty (180) days following the effective date of a registration statement of the Company filed under the Securities Act (or such longer period as the underwriters or the Company shall request to facilitate compliance with FINRA Rule 2241 or any successor or similar rule or regulation) (the “</w:t>
      </w:r>
      <w:r>
        <w:rPr>
          <w:rFonts w:ascii="Times New Roman" w:cs="Times New Roman" w:eastAsia="Times New Roman" w:hAnsi="Times New Roman"/>
          <w:sz w:val="18"/>
          <w:szCs w:val="18"/>
          <w:b w:val="1"/>
          <w:bCs w:val="1"/>
          <w:i w:val="1"/>
          <w:iCs w:val="1"/>
          <w:color w:val="auto"/>
        </w:rPr>
        <w:t>Lock-Up Period</w:t>
      </w:r>
      <w:r>
        <w:rPr>
          <w:rFonts w:ascii="Times New Roman" w:cs="Times New Roman" w:eastAsia="Times New Roman" w:hAnsi="Times New Roman"/>
          <w:sz w:val="18"/>
          <w:szCs w:val="18"/>
          <w:color w:val="auto"/>
        </w:rPr>
        <w:t>”). I further agree to execute and deliver such other agreements as may be reasonably requested by the Company or the underwriters that are consistent with the foregoing or that are necessary to give further effect thereto. In order to enforce the foregoing covenant, the Company may impose stop-transfer instructions with respect to securities subject to the foregoing restrictions until the end of such period.</w:t>
      </w:r>
    </w:p>
    <w:p>
      <w:pPr>
        <w:spacing w:after="0" w:line="200" w:lineRule="exact"/>
        <w:rPr>
          <w:sz w:val="20"/>
          <w:szCs w:val="20"/>
          <w:color w:val="auto"/>
        </w:rPr>
      </w:pPr>
    </w:p>
    <w:p>
      <w:pPr>
        <w:spacing w:after="0" w:line="28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283210</wp:posOffset>
            </wp:positionV>
            <wp:extent cx="2828925"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5">
                      <a:extLst>
                        <a:ext uri="{28A0092B-C50C-407E-A947-70E740481C1C}"/>
                      </a:extLst>
                    </a:blip>
                    <a:srcRect/>
                    <a:stretch>
                      <a:fillRect/>
                    </a:stretch>
                  </pic:blipFill>
                  <pic:spPr bwMode="auto">
                    <a:xfrm>
                      <a:off x="0" y="0"/>
                      <a:ext cx="282892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77" w:name="page178"/>
    <w:bookmarkEnd w:id="177"/>
    <w:p>
      <w:pPr>
        <w:jc w:val="right"/>
        <w:spacing w:after="0"/>
        <w:rPr>
          <w:sz w:val="20"/>
          <w:szCs w:val="20"/>
          <w:color w:val="auto"/>
        </w:rPr>
      </w:pPr>
      <w:r>
        <w:rPr>
          <w:rFonts w:ascii="Times New Roman" w:cs="Times New Roman" w:eastAsia="Times New Roman" w:hAnsi="Times New Roman"/>
          <w:sz w:val="18"/>
          <w:szCs w:val="18"/>
          <w:i w:val="1"/>
          <w:iCs w:val="1"/>
          <w:color w:val="auto"/>
        </w:rPr>
        <w:t>Non-Employee Director</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2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3"/>
          <w:szCs w:val="13"/>
          <w:b w:val="1"/>
          <w:bCs w:val="1"/>
          <w:color w:val="auto"/>
        </w:rPr>
        <w:t>PTION</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3"/>
          <w:szCs w:val="13"/>
          <w:b w:val="1"/>
          <w:bCs w:val="1"/>
          <w:color w:val="auto"/>
        </w:rPr>
        <w:t>RANT</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3"/>
          <w:szCs w:val="13"/>
          <w:b w:val="1"/>
          <w:bCs w:val="1"/>
          <w:color w:val="auto"/>
        </w:rPr>
        <w:t>OTICE</w:t>
      </w:r>
    </w:p>
    <w:p>
      <w:pPr>
        <w:spacing w:after="0" w:line="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(2021 E</w:t>
      </w:r>
      <w:r>
        <w:rPr>
          <w:rFonts w:ascii="Times New Roman" w:cs="Times New Roman" w:eastAsia="Times New Roman" w:hAnsi="Times New Roman"/>
          <w:sz w:val="13"/>
          <w:szCs w:val="13"/>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3"/>
          <w:szCs w:val="13"/>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3"/>
          <w:szCs w:val="13"/>
          <w:b w:val="1"/>
          <w:bCs w:val="1"/>
          <w:color w:val="auto"/>
        </w:rPr>
        <w:t>LAN</w:t>
      </w:r>
      <w:r>
        <w:rPr>
          <w:rFonts w:ascii="Times New Roman" w:cs="Times New Roman" w:eastAsia="Times New Roman" w:hAnsi="Times New Roman"/>
          <w:sz w:val="18"/>
          <w:szCs w:val="18"/>
          <w:b w:val="1"/>
          <w:bCs w:val="1"/>
          <w:color w:val="auto"/>
        </w:rPr>
        <w:t>)</w:t>
      </w:r>
    </w:p>
    <w:p>
      <w:pPr>
        <w:spacing w:after="0" w:line="189"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8"/>
          <w:szCs w:val="18"/>
          <w:color w:val="auto"/>
        </w:rPr>
        <w:t>Invivyd,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pursuant to the Company’s 2021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has granted to you (“</w:t>
      </w:r>
      <w:r>
        <w:rPr>
          <w:rFonts w:ascii="Times New Roman" w:cs="Times New Roman" w:eastAsia="Times New Roman" w:hAnsi="Times New Roman"/>
          <w:sz w:val="18"/>
          <w:szCs w:val="18"/>
          <w:b w:val="1"/>
          <w:bCs w:val="1"/>
          <w:i w:val="1"/>
          <w:iCs w:val="1"/>
          <w:color w:val="auto"/>
        </w:rPr>
        <w:t>Optionholder</w:t>
      </w:r>
      <w:r>
        <w:rPr>
          <w:rFonts w:ascii="Times New Roman" w:cs="Times New Roman" w:eastAsia="Times New Roman" w:hAnsi="Times New Roman"/>
          <w:sz w:val="18"/>
          <w:szCs w:val="18"/>
          <w:color w:val="auto"/>
        </w:rPr>
        <w:t>”) an option to purchase the number of shares of the Common Stock set forth below (the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Your Option is subject to all of the terms and conditions as set forth herein and in the Plan, and the Stock Option Agreement and the Notice of Exercise, all of which are attached hereto and incorporated herein in their entirety. Capitalized terms not explicitly defined herein but defined in the Plan or the Stock Option Agreement shall have the meanings set forth in the Plan or the Stock Option Agreement, as applicable.</w:t>
      </w:r>
    </w:p>
    <w:p>
      <w:pPr>
        <w:spacing w:after="0" w:line="200" w:lineRule="exact"/>
        <w:rPr>
          <w:sz w:val="20"/>
          <w:szCs w:val="20"/>
          <w:color w:val="auto"/>
        </w:rPr>
      </w:pPr>
    </w:p>
    <w:p>
      <w:pPr>
        <w:spacing w:after="0" w:line="2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Optionholder: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8890</wp:posOffset>
            </wp:positionV>
            <wp:extent cx="347218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7">
                      <a:extLst>
                        <a:ext uri="{28A0092B-C50C-407E-A947-70E740481C1C}"/>
                      </a:extLst>
                    </a:blip>
                    <a:srcRect/>
                    <a:stretch>
                      <a:fillRect/>
                    </a:stretch>
                  </pic:blipFill>
                  <pic:spPr bwMode="auto">
                    <a:xfrm>
                      <a:off x="0" y="0"/>
                      <a:ext cx="3472180" cy="8890"/>
                    </a:xfrm>
                    <a:prstGeom prst="rect">
                      <a:avLst/>
                    </a:prstGeom>
                    <a:noFill/>
                  </pic:spPr>
                </pic:pic>
              </a:graphicData>
            </a:graphic>
          </wp:anchor>
        </w:drawing>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8890</wp:posOffset>
            </wp:positionV>
            <wp:extent cx="347218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8">
                      <a:extLst>
                        <a:ext uri="{28A0092B-C50C-407E-A947-70E740481C1C}"/>
                      </a:extLst>
                    </a:blip>
                    <a:srcRect/>
                    <a:stretch>
                      <a:fillRect/>
                    </a:stretch>
                  </pic:blipFill>
                  <pic:spPr bwMode="auto">
                    <a:xfrm>
                      <a:off x="0" y="0"/>
                      <a:ext cx="3472180" cy="8890"/>
                    </a:xfrm>
                    <a:prstGeom prst="rect">
                      <a:avLst/>
                    </a:prstGeom>
                    <a:noFill/>
                  </pic:spPr>
                </pic:pic>
              </a:graphicData>
            </a:graphic>
          </wp:anchor>
        </w:drawing>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Number of Shares of Common Stock Subject to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8890</wp:posOffset>
            </wp:positionV>
            <wp:extent cx="347218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9">
                      <a:extLst>
                        <a:ext uri="{28A0092B-C50C-407E-A947-70E740481C1C}"/>
                      </a:extLst>
                    </a:blip>
                    <a:srcRect/>
                    <a:stretch>
                      <a:fillRect/>
                    </a:stretch>
                  </pic:blipFill>
                  <pic:spPr bwMode="auto">
                    <a:xfrm>
                      <a:off x="0" y="0"/>
                      <a:ext cx="3472180" cy="8890"/>
                    </a:xfrm>
                    <a:prstGeom prst="rect">
                      <a:avLst/>
                    </a:prstGeom>
                    <a:noFill/>
                  </pic:spPr>
                </pic:pic>
              </a:graphicData>
            </a:graphic>
          </wp:anchor>
        </w:drawing>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Exercise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8890</wp:posOffset>
            </wp:positionV>
            <wp:extent cx="347218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0">
                      <a:extLst>
                        <a:ext uri="{28A0092B-C50C-407E-A947-70E740481C1C}"/>
                      </a:extLst>
                    </a:blip>
                    <a:srcRect/>
                    <a:stretch>
                      <a:fillRect/>
                    </a:stretch>
                  </pic:blipFill>
                  <pic:spPr bwMode="auto">
                    <a:xfrm>
                      <a:off x="0" y="0"/>
                      <a:ext cx="3472180" cy="8890"/>
                    </a:xfrm>
                    <a:prstGeom prst="rect">
                      <a:avLst/>
                    </a:prstGeom>
                    <a:noFill/>
                  </pic:spPr>
                </pic:pic>
              </a:graphicData>
            </a:graphic>
          </wp:anchor>
        </w:drawing>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8890</wp:posOffset>
            </wp:positionV>
            <wp:extent cx="347218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1">
                      <a:extLst>
                        <a:ext uri="{28A0092B-C50C-407E-A947-70E740481C1C}"/>
                      </a:extLst>
                    </a:blip>
                    <a:srcRect/>
                    <a:stretch>
                      <a:fillRect/>
                    </a:stretch>
                  </pic:blipFill>
                  <pic:spPr bwMode="auto">
                    <a:xfrm>
                      <a:off x="0" y="0"/>
                      <a:ext cx="3472180" cy="8890"/>
                    </a:xfrm>
                    <a:prstGeom prst="rect">
                      <a:avLst/>
                    </a:prstGeom>
                    <a:noFill/>
                  </pic:spPr>
                </pic:pic>
              </a:graphicData>
            </a:graphic>
          </wp:anchor>
        </w:drawing>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8890</wp:posOffset>
            </wp:positionV>
            <wp:extent cx="347218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2">
                      <a:extLst>
                        <a:ext uri="{28A0092B-C50C-407E-A947-70E740481C1C}"/>
                      </a:extLst>
                    </a:blip>
                    <a:srcRect/>
                    <a:stretch>
                      <a:fillRect/>
                    </a:stretch>
                  </pic:blipFill>
                  <pic:spPr bwMode="auto">
                    <a:xfrm>
                      <a:off x="0" y="0"/>
                      <a:ext cx="3472180" cy="8255"/>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Type of Grant: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Nonstatutory Stock Option</w:t>
      </w:r>
    </w:p>
    <w:p>
      <w:pPr>
        <w:spacing w:after="0" w:line="200" w:lineRule="exact"/>
        <w:rPr>
          <w:sz w:val="20"/>
          <w:szCs w:val="20"/>
          <w:color w:val="auto"/>
        </w:rPr>
      </w:pPr>
    </w:p>
    <w:p>
      <w:pPr>
        <w:sectPr>
          <w:pgSz w:w="11900" w:h="16838" w:orient="portrait"/>
          <w:cols w:equalWidth="0" w:num="2">
            <w:col w:w="3020" w:space="720"/>
            <w:col w:w="7500"/>
          </w:cols>
          <w:pgMar w:left="320" w:top="538" w:right="339" w:bottom="1440" w:gutter="0" w:footer="0" w:header="0"/>
          <w:type w:val="continuous"/>
        </w:sectPr>
      </w:pP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Exercise and Vesting Schedule: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both"/>
        <w:ind w:right="80"/>
        <w:spacing w:after="0" w:line="236" w:lineRule="auto"/>
        <w:rPr>
          <w:sz w:val="20"/>
          <w:szCs w:val="20"/>
          <w:color w:val="auto"/>
        </w:rPr>
      </w:pPr>
      <w:r>
        <w:rPr>
          <w:rFonts w:ascii="Times New Roman" w:cs="Times New Roman" w:eastAsia="Times New Roman" w:hAnsi="Times New Roman"/>
          <w:sz w:val="18"/>
          <w:szCs w:val="18"/>
          <w:color w:val="auto"/>
        </w:rPr>
        <w:t>Subject to the Optionholder’s Continuous Service through each applicable vesting date, the Option will vest as follows, subject to the potential vesting acceleration described in Section 2 of the Stock Option Agreement:</w:t>
      </w:r>
    </w:p>
    <w:p>
      <w:pPr>
        <w:spacing w:after="0" w:line="76" w:lineRule="exact"/>
        <w:rPr>
          <w:sz w:val="20"/>
          <w:szCs w:val="20"/>
          <w:color w:val="auto"/>
        </w:rPr>
      </w:pPr>
    </w:p>
    <w:p>
      <w:pPr>
        <w:sectPr>
          <w:pgSz w:w="11900" w:h="16838" w:orient="portrait"/>
          <w:cols w:equalWidth="0" w:num="2">
            <w:col w:w="3020" w:space="720"/>
            <w:col w:w="7500"/>
          </w:cols>
          <w:pgMar w:left="320" w:top="538" w:right="339" w:bottom="1440" w:gutter="0" w:footer="0" w:header="0"/>
          <w:type w:val="continuous"/>
        </w:sectPr>
      </w:pPr>
    </w:p>
    <w:p>
      <w:pPr>
        <w:ind w:left="3740" w:right="20"/>
        <w:spacing w:after="0" w:line="23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Initial Grant</w:t>
      </w:r>
      <w:r>
        <w:rPr>
          <w:rFonts w:ascii="Times New Roman" w:cs="Times New Roman" w:eastAsia="Times New Roman" w:hAnsi="Times New Roman"/>
          <w:sz w:val="18"/>
          <w:szCs w:val="18"/>
          <w:color w:val="auto"/>
        </w:rPr>
        <w:t>][One-third (1/3</w:t>
      </w:r>
      <w:r>
        <w:rPr>
          <w:rFonts w:ascii="Times New Roman" w:cs="Times New Roman" w:eastAsia="Times New Roman" w:hAnsi="Times New Roman"/>
          <w:sz w:val="10"/>
          <w:szCs w:val="10"/>
          <w:color w:val="auto"/>
        </w:rPr>
        <w:t>rd</w:t>
      </w:r>
      <w:r>
        <w:rPr>
          <w:rFonts w:ascii="Times New Roman" w:cs="Times New Roman" w:eastAsia="Times New Roman" w:hAnsi="Times New Roman"/>
          <w:sz w:val="18"/>
          <w:szCs w:val="18"/>
          <w:color w:val="auto"/>
        </w:rPr>
        <w:t>) of the shares subject to the Option shall vest and become exercisable on the first (1</w:t>
      </w:r>
      <w:r>
        <w:rPr>
          <w:rFonts w:ascii="Times New Roman" w:cs="Times New Roman" w:eastAsia="Times New Roman" w:hAnsi="Times New Roman"/>
          <w:sz w:val="10"/>
          <w:szCs w:val="10"/>
          <w:color w:val="auto"/>
        </w:rPr>
        <w:t>st</w:t>
      </w:r>
      <w:r>
        <w:rPr>
          <w:rFonts w:ascii="Times New Roman" w:cs="Times New Roman" w:eastAsia="Times New Roman" w:hAnsi="Times New Roman"/>
          <w:sz w:val="18"/>
          <w:szCs w:val="18"/>
          <w:color w:val="auto"/>
        </w:rPr>
        <w:t>) anniversary of the Date of Grant and one thirty-sixth (1/36</w:t>
      </w:r>
      <w:r>
        <w:rPr>
          <w:rFonts w:ascii="Times New Roman" w:cs="Times New Roman" w:eastAsia="Times New Roman" w:hAnsi="Times New Roman"/>
          <w:sz w:val="10"/>
          <w:szCs w:val="10"/>
          <w:color w:val="auto"/>
        </w:rPr>
        <w:t>th</w:t>
      </w:r>
      <w:r>
        <w:rPr>
          <w:rFonts w:ascii="Times New Roman" w:cs="Times New Roman" w:eastAsia="Times New Roman" w:hAnsi="Times New Roman"/>
          <w:sz w:val="18"/>
          <w:szCs w:val="18"/>
          <w:color w:val="auto"/>
        </w:rPr>
        <w:t>) of the shares subject to the Option shall vest and become exercisable each month thereafter on the same day of the month as the Date of Grant (and if there is no corresponding day, on the last day of the month), such that the Option shall be fully vested and exercisable on the third (3</w:t>
      </w:r>
      <w:r>
        <w:rPr>
          <w:rFonts w:ascii="Times New Roman" w:cs="Times New Roman" w:eastAsia="Times New Roman" w:hAnsi="Times New Roman"/>
          <w:sz w:val="10"/>
          <w:szCs w:val="10"/>
          <w:color w:val="auto"/>
        </w:rPr>
        <w:t>rd</w:t>
      </w:r>
      <w:r>
        <w:rPr>
          <w:rFonts w:ascii="Times New Roman" w:cs="Times New Roman" w:eastAsia="Times New Roman" w:hAnsi="Times New Roman"/>
          <w:sz w:val="18"/>
          <w:szCs w:val="18"/>
          <w:color w:val="auto"/>
        </w:rPr>
        <w:t>) anniversary of the Date of Grant.]</w:t>
      </w:r>
    </w:p>
    <w:p>
      <w:pPr>
        <w:spacing w:after="0" w:line="61" w:lineRule="exact"/>
        <w:rPr>
          <w:sz w:val="20"/>
          <w:szCs w:val="20"/>
          <w:color w:val="auto"/>
        </w:rPr>
      </w:pPr>
    </w:p>
    <w:p>
      <w:pPr>
        <w:ind w:left="3740" w:right="60"/>
        <w:spacing w:after="0" w:line="23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Annual Grant</w:t>
      </w:r>
      <w:r>
        <w:rPr>
          <w:rFonts w:ascii="Times New Roman" w:cs="Times New Roman" w:eastAsia="Times New Roman" w:hAnsi="Times New Roman"/>
          <w:sz w:val="18"/>
          <w:szCs w:val="18"/>
          <w:color w:val="auto"/>
        </w:rPr>
        <w:t>][The shares subject to the Option shall vest and become exercisable upon the earlier to occur of (i) the first (1</w:t>
      </w:r>
      <w:r>
        <w:rPr>
          <w:rFonts w:ascii="Times New Roman" w:cs="Times New Roman" w:eastAsia="Times New Roman" w:hAnsi="Times New Roman"/>
          <w:sz w:val="10"/>
          <w:szCs w:val="10"/>
          <w:color w:val="auto"/>
        </w:rPr>
        <w:t>st</w:t>
      </w:r>
      <w:r>
        <w:rPr>
          <w:rFonts w:ascii="Times New Roman" w:cs="Times New Roman" w:eastAsia="Times New Roman" w:hAnsi="Times New Roman"/>
          <w:sz w:val="18"/>
          <w:szCs w:val="18"/>
          <w:color w:val="auto"/>
        </w:rPr>
        <w:t>) anniversary of the Date of Grant and (ii) the date of the next annual meeting of the stockholders of the Company.]</w:t>
      </w:r>
    </w:p>
    <w:p>
      <w:pPr>
        <w:sectPr>
          <w:pgSz w:w="11900" w:h="16838" w:orient="portrait"/>
          <w:cols w:equalWidth="0" w:num="1">
            <w:col w:w="11240"/>
          </w:cols>
          <w:pgMar w:left="320" w:top="538" w:right="339" w:bottom="1440" w:gutter="0" w:footer="0" w:header="0"/>
          <w:type w:val="continuous"/>
        </w:sectPr>
      </w:pPr>
    </w:p>
    <w:p>
      <w:pPr>
        <w:spacing w:after="0" w:line="208" w:lineRule="exact"/>
        <w:rPr>
          <w:sz w:val="20"/>
          <w:szCs w:val="20"/>
          <w:color w:val="auto"/>
        </w:rPr>
      </w:pPr>
    </w:p>
    <w:p>
      <w:pPr>
        <w:ind w:right="420"/>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Optionholder Acknowledgements: </w:t>
      </w:r>
      <w:r>
        <w:rPr>
          <w:rFonts w:ascii="Times New Roman" w:cs="Times New Roman" w:eastAsia="Times New Roman" w:hAnsi="Times New Roman"/>
          <w:sz w:val="18"/>
          <w:szCs w:val="18"/>
          <w:color w:val="auto"/>
        </w:rPr>
        <w:t>By your signature below or by electronic acceptance or authentication in a form authorized by the Company,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understand and agree that:</w:t>
      </w:r>
    </w:p>
    <w:p>
      <w:pPr>
        <w:spacing w:after="0" w:line="144" w:lineRule="exact"/>
        <w:rPr>
          <w:sz w:val="20"/>
          <w:szCs w:val="20"/>
          <w:color w:val="auto"/>
        </w:rPr>
      </w:pPr>
    </w:p>
    <w:p>
      <w:pPr>
        <w:ind w:left="1500" w:right="160" w:hanging="345"/>
        <w:spacing w:after="0" w:line="232" w:lineRule="auto"/>
        <w:tabs>
          <w:tab w:leader="none" w:pos="150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is governed by this Stock Option Grant Notice, and the provisions of the Plan and the Stock Option Agreement and the Notice of Exercise, all of which are made a part of this document. Unless otherwise provided in the Plan, this Grant Notice and the Stock Option Agreement (together, the “</w:t>
      </w:r>
      <w:r>
        <w:rPr>
          <w:rFonts w:ascii="Times New Roman" w:cs="Times New Roman" w:eastAsia="Times New Roman" w:hAnsi="Times New Roman"/>
          <w:sz w:val="18"/>
          <w:szCs w:val="18"/>
          <w:b w:val="1"/>
          <w:bCs w:val="1"/>
          <w:i w:val="1"/>
          <w:iCs w:val="1"/>
          <w:color w:val="auto"/>
        </w:rPr>
        <w:t>Option Agreement</w:t>
      </w:r>
      <w:r>
        <w:rPr>
          <w:rFonts w:ascii="Times New Roman" w:cs="Times New Roman" w:eastAsia="Times New Roman" w:hAnsi="Times New Roman"/>
          <w:sz w:val="18"/>
          <w:szCs w:val="18"/>
          <w:color w:val="auto"/>
        </w:rPr>
        <w:t>”) may not be modified, amended or revised except in a writing signed by you and a duly authorized officer of the Company.</w:t>
      </w:r>
    </w:p>
    <w:p>
      <w:pPr>
        <w:spacing w:after="0" w:line="198" w:lineRule="exact"/>
        <w:rPr>
          <w:rFonts w:ascii="Times New Roman" w:cs="Times New Roman" w:eastAsia="Times New Roman" w:hAnsi="Times New Roman"/>
          <w:sz w:val="18"/>
          <w:szCs w:val="18"/>
          <w:color w:val="auto"/>
        </w:rPr>
      </w:pPr>
    </w:p>
    <w:p>
      <w:pPr>
        <w:ind w:left="1500" w:right="100" w:hanging="345"/>
        <w:spacing w:after="0" w:line="236" w:lineRule="auto"/>
        <w:tabs>
          <w:tab w:leader="none" w:pos="150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consent to receive this Grant Notice, the Stock Option Agreement, the Plan, the Prospectus and any other Plan-related documents by electronic delivery and to participate in the Plan through an on-line or electronic system established and maintained by the Company or another third party designated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314325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type w:val="continuous"/>
        </w:sectPr>
      </w:pPr>
    </w:p>
    <w:bookmarkStart w:id="178" w:name="page179"/>
    <w:bookmarkEnd w:id="178"/>
    <w:p>
      <w:pPr>
        <w:ind w:left="1500" w:right="100" w:hanging="345"/>
        <w:spacing w:after="0" w:line="236" w:lineRule="auto"/>
        <w:tabs>
          <w:tab w:leader="none" w:pos="15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have read and are familiar with the provisions of the Plan, the Stock Option Agreement, the Notice of Exercise and the Prospectus. In the event of any conflict between the provisions in this Grant Notice, the Option Agreement, the Notice of Exercise, or the Prospectus and the terms of the Plan, the terms of the Plan shall control.</w:t>
      </w:r>
    </w:p>
    <w:p>
      <w:pPr>
        <w:spacing w:after="0" w:line="199" w:lineRule="exact"/>
        <w:rPr>
          <w:rFonts w:ascii="Times New Roman" w:cs="Times New Roman" w:eastAsia="Times New Roman" w:hAnsi="Times New Roman"/>
          <w:sz w:val="18"/>
          <w:szCs w:val="18"/>
          <w:color w:val="auto"/>
        </w:rPr>
      </w:pPr>
    </w:p>
    <w:p>
      <w:pPr>
        <w:ind w:left="1500" w:right="20" w:hanging="345"/>
        <w:spacing w:after="0" w:line="247" w:lineRule="auto"/>
        <w:tabs>
          <w:tab w:leader="none" w:pos="1500"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Option Agreement sets forth the entire understanding between you and the Company regarding the acquisition of Common Stock and supersedes all prior oral and written agreements, promises and/or representations on that subject with the exception of other equity awards previously granted to you and any written employment agreement, offer letter, severance agreement, written severance plan or policy, or other written agreement between the Company and you in each case that specifies the terms that should govern this Option.</w:t>
      </w:r>
    </w:p>
    <w:p>
      <w:pPr>
        <w:spacing w:after="0" w:line="180" w:lineRule="exact"/>
        <w:rPr>
          <w:rFonts w:ascii="Times New Roman" w:cs="Times New Roman" w:eastAsia="Times New Roman" w:hAnsi="Times New Roman"/>
          <w:sz w:val="17"/>
          <w:szCs w:val="17"/>
          <w:color w:val="auto"/>
        </w:rPr>
      </w:pPr>
    </w:p>
    <w:p>
      <w:pPr>
        <w:ind w:left="1500" w:hanging="345"/>
        <w:spacing w:after="0" w:line="236" w:lineRule="auto"/>
        <w:tabs>
          <w:tab w:leader="none" w:pos="15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w:t>
      </w:r>
    </w:p>
    <w:p>
      <w:pPr>
        <w:spacing w:after="0" w:line="200" w:lineRule="exact"/>
        <w:rPr>
          <w:sz w:val="20"/>
          <w:szCs w:val="20"/>
          <w:color w:val="auto"/>
        </w:rPr>
      </w:pPr>
    </w:p>
    <w:p>
      <w:pPr>
        <w:spacing w:after="0" w:line="2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INVIVYD, INC.</w:t>
      </w:r>
    </w:p>
    <w:p>
      <w:pPr>
        <w:spacing w:after="0" w:line="3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592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3"/>
                <w:szCs w:val="13"/>
                <w:b w:val="1"/>
                <w:bCs w:val="1"/>
                <w:color w:val="auto"/>
              </w:rPr>
              <w:t>PTIONHOLDER</w:t>
            </w:r>
            <w:r>
              <w:rPr>
                <w:rFonts w:ascii="Times New Roman" w:cs="Times New Roman" w:eastAsia="Times New Roman" w:hAnsi="Times New Roman"/>
                <w:sz w:val="18"/>
                <w:szCs w:val="18"/>
                <w:b w:val="1"/>
                <w:bCs w:val="1"/>
                <w:color w:val="auto"/>
              </w:rPr>
              <w:t>:</w:t>
            </w:r>
          </w:p>
        </w:tc>
      </w:tr>
      <w:tr>
        <w:trPr>
          <w:trHeight w:val="418"/>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5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By:</w:t>
            </w:r>
          </w:p>
        </w:tc>
      </w:tr>
      <w:tr>
        <w:trPr>
          <w:trHeight w:val="399"/>
        </w:trPr>
        <w:tc>
          <w:tcPr>
            <w:tcW w:w="640" w:type="dxa"/>
            <w:vAlign w:val="bottom"/>
          </w:tcPr>
          <w:p>
            <w:pPr>
              <w:spacing w:after="0"/>
              <w:rPr>
                <w:sz w:val="24"/>
                <w:szCs w:val="24"/>
                <w:color w:val="auto"/>
              </w:rPr>
            </w:pPr>
          </w:p>
        </w:tc>
        <w:tc>
          <w:tcPr>
            <w:tcW w:w="4640" w:type="dxa"/>
            <w:vAlign w:val="bottom"/>
            <w:tcBorders>
              <w:top w:val="single" w:sz="8" w:color="auto"/>
            </w:tcBorders>
          </w:tcPr>
          <w:p>
            <w:pPr>
              <w:ind w:left="1980"/>
              <w:spacing w:after="0"/>
              <w:rPr>
                <w:sz w:val="20"/>
                <w:szCs w:val="20"/>
                <w:color w:val="auto"/>
              </w:rPr>
            </w:pPr>
            <w:r>
              <w:rPr>
                <w:rFonts w:ascii="Times New Roman" w:cs="Times New Roman" w:eastAsia="Times New Roman" w:hAnsi="Times New Roman"/>
                <w:sz w:val="18"/>
                <w:szCs w:val="18"/>
                <w:color w:val="auto"/>
              </w:rPr>
              <w:t>Signature</w:t>
            </w:r>
          </w:p>
        </w:tc>
        <w:tc>
          <w:tcPr>
            <w:tcW w:w="1280" w:type="dxa"/>
            <w:vAlign w:val="bottom"/>
          </w:tcPr>
          <w:p>
            <w:pPr>
              <w:spacing w:after="0"/>
              <w:rPr>
                <w:sz w:val="24"/>
                <w:szCs w:val="24"/>
                <w:color w:val="auto"/>
              </w:rPr>
            </w:pPr>
          </w:p>
        </w:tc>
        <w:tc>
          <w:tcPr>
            <w:tcW w:w="4640" w:type="dxa"/>
            <w:vAlign w:val="bottom"/>
            <w:tcBorders>
              <w:top w:val="single" w:sz="8" w:color="auto"/>
            </w:tcBorders>
          </w:tcPr>
          <w:p>
            <w:pPr>
              <w:ind w:left="1980"/>
              <w:spacing w:after="0"/>
              <w:rPr>
                <w:sz w:val="20"/>
                <w:szCs w:val="20"/>
                <w:color w:val="auto"/>
              </w:rPr>
            </w:pPr>
            <w:r>
              <w:rPr>
                <w:rFonts w:ascii="Times New Roman" w:cs="Times New Roman" w:eastAsia="Times New Roman" w:hAnsi="Times New Roman"/>
                <w:sz w:val="18"/>
                <w:szCs w:val="18"/>
                <w:color w:val="auto"/>
              </w:rPr>
              <w:t>Signature</w:t>
            </w:r>
          </w:p>
        </w:tc>
      </w:tr>
      <w:tr>
        <w:trPr>
          <w:trHeight w:val="608"/>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40" w:type="dxa"/>
            <w:vAlign w:val="bottom"/>
            <w:tcBorders>
              <w:bottom w:val="single" w:sz="8" w:color="auto"/>
            </w:tcBorders>
          </w:tcPr>
          <w:p>
            <w:pPr>
              <w:spacing w:after="0"/>
              <w:rPr>
                <w:sz w:val="24"/>
                <w:szCs w:val="24"/>
                <w:color w:val="auto"/>
              </w:rPr>
            </w:pPr>
          </w:p>
        </w:tc>
        <w:tc>
          <w:tcPr>
            <w:tcW w:w="1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Date:</w:t>
            </w:r>
          </w:p>
        </w:tc>
        <w:tc>
          <w:tcPr>
            <w:tcW w:w="4640" w:type="dxa"/>
            <w:vAlign w:val="bottom"/>
            <w:tcBorders>
              <w:bottom w:val="single" w:sz="8" w:color="auto"/>
            </w:tcBorders>
          </w:tcPr>
          <w:p>
            <w:pPr>
              <w:spacing w:after="0"/>
              <w:rPr>
                <w:sz w:val="24"/>
                <w:szCs w:val="24"/>
                <w:color w:val="auto"/>
              </w:rPr>
            </w:pPr>
          </w:p>
        </w:tc>
      </w:tr>
      <w:tr>
        <w:trPr>
          <w:trHeight w:val="601"/>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640" w:type="dxa"/>
            <w:vAlign w:val="bottom"/>
            <w:tcBorders>
              <w:bottom w:val="single" w:sz="8" w:color="auto"/>
            </w:tcBorders>
          </w:tcPr>
          <w:p>
            <w:pPr>
              <w:spacing w:after="0"/>
              <w:rPr>
                <w:sz w:val="24"/>
                <w:szCs w:val="24"/>
                <w:color w:val="auto"/>
              </w:rPr>
            </w:pPr>
          </w:p>
        </w:tc>
        <w:tc>
          <w:tcPr>
            <w:tcW w:w="1280" w:type="dxa"/>
            <w:vAlign w:val="bottom"/>
          </w:tcPr>
          <w:p>
            <w:pPr>
              <w:spacing w:after="0"/>
              <w:rPr>
                <w:sz w:val="24"/>
                <w:szCs w:val="24"/>
                <w:color w:val="auto"/>
              </w:rPr>
            </w:pPr>
          </w:p>
        </w:tc>
        <w:tc>
          <w:tcPr>
            <w:tcW w:w="4640" w:type="dxa"/>
            <w:vAlign w:val="bottom"/>
          </w:tcPr>
          <w:p>
            <w:pPr>
              <w:spacing w:after="0"/>
              <w:rPr>
                <w:sz w:val="24"/>
                <w:szCs w:val="24"/>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3"/>
          <w:szCs w:val="13"/>
          <w:b w:val="1"/>
          <w:bCs w:val="1"/>
          <w:color w:val="auto"/>
        </w:rPr>
        <w:t>TTACHMENTS</w:t>
      </w:r>
      <w:r>
        <w:rPr>
          <w:rFonts w:ascii="Times New Roman" w:cs="Times New Roman" w:eastAsia="Times New Roman" w:hAnsi="Times New Roman"/>
          <w:sz w:val="18"/>
          <w:szCs w:val="18"/>
          <w:color w:val="auto"/>
        </w:rPr>
        <w:t>: Stock Option Agreement, 2021 Equity Incentive Plan, Notice of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18"/>
          <w:szCs w:val="18"/>
          <w:i w:val="1"/>
          <w:iCs w:val="1"/>
          <w:color w:val="auto"/>
        </w:rPr>
        <w:t>Non-Employee Director</w:t>
      </w:r>
    </w:p>
    <w:p>
      <w:pPr>
        <w:spacing w:after="0" w:line="21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3"/>
          <w:szCs w:val="13"/>
          <w:b w:val="1"/>
          <w:bCs w:val="1"/>
          <w:color w:val="auto"/>
        </w:rPr>
        <w:t>TTACHMENT</w:t>
      </w:r>
      <w:r>
        <w:rPr>
          <w:rFonts w:ascii="Times New Roman" w:cs="Times New Roman" w:eastAsia="Times New Roman" w:hAnsi="Times New Roman"/>
          <w:sz w:val="18"/>
          <w:szCs w:val="18"/>
          <w:b w:val="1"/>
          <w:bCs w:val="1"/>
          <w:color w:val="auto"/>
        </w:rPr>
        <w:t xml:space="preserve"> I</w:t>
      </w:r>
    </w:p>
    <w:p>
      <w:pPr>
        <w:spacing w:after="0" w:line="21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3"/>
          <w:szCs w:val="13"/>
          <w:b w:val="1"/>
          <w:bCs w:val="1"/>
          <w:color w:val="auto"/>
        </w:rPr>
        <w:t>PTION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3"/>
          <w:szCs w:val="13"/>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332740</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538" w:right="339" w:bottom="1440" w:gutter="0" w:footer="0" w:header="0"/>
        </w:sectPr>
      </w:pPr>
    </w:p>
    <w:bookmarkStart w:id="180" w:name="page181"/>
    <w:bookmarkEnd w:id="180"/>
    <w:p>
      <w:pPr>
        <w:jc w:val="right"/>
        <w:spacing w:after="0"/>
        <w:rPr>
          <w:sz w:val="20"/>
          <w:szCs w:val="20"/>
          <w:color w:val="auto"/>
        </w:rPr>
      </w:pPr>
      <w:r>
        <w:rPr>
          <w:rFonts w:ascii="Times New Roman" w:cs="Times New Roman" w:eastAsia="Times New Roman" w:hAnsi="Times New Roman"/>
          <w:sz w:val="18"/>
          <w:szCs w:val="18"/>
          <w:i w:val="1"/>
          <w:iCs w:val="1"/>
          <w:color w:val="auto"/>
        </w:rPr>
        <w:t>Non-Employee Director</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2021 E</w:t>
      </w:r>
      <w:r>
        <w:rPr>
          <w:rFonts w:ascii="Times New Roman" w:cs="Times New Roman" w:eastAsia="Times New Roman" w:hAnsi="Times New Roman"/>
          <w:sz w:val="13"/>
          <w:szCs w:val="13"/>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3"/>
          <w:szCs w:val="13"/>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3"/>
          <w:szCs w:val="13"/>
          <w:b w:val="1"/>
          <w:bCs w:val="1"/>
          <w:color w:val="auto"/>
        </w:rPr>
        <w:t>LAN</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3"/>
          <w:szCs w:val="13"/>
          <w:b w:val="1"/>
          <w:bCs w:val="1"/>
          <w:color w:val="auto"/>
        </w:rPr>
        <w:t>PTION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3"/>
          <w:szCs w:val="13"/>
          <w:b w:val="1"/>
          <w:bCs w:val="1"/>
          <w:color w:val="auto"/>
        </w:rPr>
        <w:t>GREEMENT</w:t>
      </w:r>
    </w:p>
    <w:p>
      <w:pPr>
        <w:spacing w:after="0" w:line="212" w:lineRule="exact"/>
        <w:rPr>
          <w:sz w:val="20"/>
          <w:szCs w:val="20"/>
          <w:color w:val="auto"/>
        </w:rPr>
      </w:pPr>
    </w:p>
    <w:p>
      <w:pPr>
        <w:ind w:right="100" w:firstLine="509"/>
        <w:spacing w:after="0" w:line="252" w:lineRule="auto"/>
        <w:rPr>
          <w:sz w:val="20"/>
          <w:szCs w:val="20"/>
          <w:color w:val="auto"/>
        </w:rPr>
      </w:pPr>
      <w:r>
        <w:rPr>
          <w:rFonts w:ascii="Times New Roman" w:cs="Times New Roman" w:eastAsia="Times New Roman" w:hAnsi="Times New Roman"/>
          <w:sz w:val="18"/>
          <w:szCs w:val="18"/>
          <w:color w:val="auto"/>
        </w:rPr>
        <w:t>As reflected by your Stock Option Grant Notice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Invivyd,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granted you an option under its 2021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to purchase a number of shares of Common Stock at the exercise price indicated in your Grant Notice (the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Capitalized terms not explicitly defined in this Agreement but defined in the Grant Notice or the Plan shall have the meanings set forth in the Grant Notice or Plan, as applicable. The terms of your Option as specified in the Grant Notice and this Stock Option Agreement constitute your Option Agreement.</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general terms and conditions applicable to your Option are as follows:</w:t>
      </w:r>
    </w:p>
    <w:p>
      <w:pPr>
        <w:spacing w:after="0" w:line="100" w:lineRule="exact"/>
        <w:rPr>
          <w:sz w:val="20"/>
          <w:szCs w:val="20"/>
          <w:color w:val="auto"/>
        </w:rPr>
      </w:pPr>
    </w:p>
    <w:p>
      <w:pPr>
        <w:ind w:left="700" w:hanging="183"/>
        <w:spacing w:after="0"/>
        <w:tabs>
          <w:tab w:leader="none" w:pos="700" w:val="left"/>
        </w:tabs>
        <w:numPr>
          <w:ilvl w:val="0"/>
          <w:numId w:val="1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3"/>
          <w:szCs w:val="13"/>
          <w:b w:val="1"/>
          <w:bCs w:val="1"/>
          <w:color w:val="auto"/>
        </w:rPr>
        <w:t>OVERNING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3"/>
          <w:szCs w:val="13"/>
          <w:b w:val="1"/>
          <w:bCs w:val="1"/>
          <w:color w:val="auto"/>
        </w:rPr>
        <w:t>LAN</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3"/>
          <w:szCs w:val="13"/>
          <w:b w:val="1"/>
          <w:bCs w:val="1"/>
          <w:color w:val="auto"/>
        </w:rPr>
        <w:t>OCUMENT</w:t>
      </w:r>
      <w:r>
        <w:rPr>
          <w:rFonts w:ascii="Times New Roman" w:cs="Times New Roman" w:eastAsia="Times New Roman" w:hAnsi="Times New Roman"/>
          <w:sz w:val="18"/>
          <w:szCs w:val="18"/>
          <w:color w:val="auto"/>
        </w:rPr>
        <w:t>. Your Option is subject to all the provisions of the Plan, including but not limited to the provisions in:</w:t>
      </w:r>
    </w:p>
    <w:p>
      <w:pPr>
        <w:spacing w:after="0" w:line="121" w:lineRule="exact"/>
        <w:rPr>
          <w:rFonts w:ascii="Times New Roman" w:cs="Times New Roman" w:eastAsia="Times New Roman" w:hAnsi="Times New Roman"/>
          <w:sz w:val="18"/>
          <w:szCs w:val="18"/>
          <w:b w:val="1"/>
          <w:bCs w:val="1"/>
          <w:color w:val="auto"/>
        </w:rPr>
      </w:pPr>
    </w:p>
    <w:p>
      <w:pPr>
        <w:ind w:left="1400" w:hanging="246"/>
        <w:spacing w:after="0"/>
        <w:tabs>
          <w:tab w:leader="none" w:pos="1400" w:val="left"/>
        </w:tabs>
        <w:numPr>
          <w:ilvl w:val="1"/>
          <w:numId w:val="1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6 regarding the impact of a Capitalization Adjustment, dissolution, liquidation, or Corporate Transaction on your Option;</w:t>
      </w:r>
    </w:p>
    <w:p>
      <w:pPr>
        <w:spacing w:after="0" w:line="103" w:lineRule="exact"/>
        <w:rPr>
          <w:rFonts w:ascii="Times New Roman" w:cs="Times New Roman" w:eastAsia="Times New Roman" w:hAnsi="Times New Roman"/>
          <w:sz w:val="18"/>
          <w:szCs w:val="18"/>
          <w:b w:val="1"/>
          <w:bCs w:val="1"/>
          <w:color w:val="auto"/>
        </w:rPr>
      </w:pPr>
    </w:p>
    <w:p>
      <w:pPr>
        <w:ind w:left="1420" w:hanging="266"/>
        <w:spacing w:after="0"/>
        <w:tabs>
          <w:tab w:leader="none" w:pos="1420" w:val="left"/>
        </w:tabs>
        <w:numPr>
          <w:ilvl w:val="1"/>
          <w:numId w:val="1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9(e) regarding the Company’s retained rights to terminate your Continuous Service notwithstanding the grant of the Option; and</w:t>
      </w:r>
    </w:p>
    <w:p>
      <w:pPr>
        <w:spacing w:after="0" w:line="103" w:lineRule="exact"/>
        <w:rPr>
          <w:rFonts w:ascii="Times New Roman" w:cs="Times New Roman" w:eastAsia="Times New Roman" w:hAnsi="Times New Roman"/>
          <w:sz w:val="18"/>
          <w:szCs w:val="18"/>
          <w:b w:val="1"/>
          <w:bCs w:val="1"/>
          <w:color w:val="auto"/>
        </w:rPr>
      </w:pPr>
    </w:p>
    <w:p>
      <w:pPr>
        <w:ind w:left="1400" w:hanging="246"/>
        <w:spacing w:after="0"/>
        <w:tabs>
          <w:tab w:leader="none" w:pos="1400" w:val="left"/>
        </w:tabs>
        <w:numPr>
          <w:ilvl w:val="1"/>
          <w:numId w:val="1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8 regarding the tax consequences of your Option.</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Your Option is further subject to all interpretations, amendments, rules and regulations, which may from time to time be promulgated and adopted pursuant to the Plan. In the event of any conflict between the Option Agreement and the provisions of the Plan, the provisions of the Plan shall control.</w:t>
      </w:r>
    </w:p>
    <w:p>
      <w:pPr>
        <w:spacing w:after="0" w:line="50" w:lineRule="exact"/>
        <w:rPr>
          <w:sz w:val="20"/>
          <w:szCs w:val="20"/>
          <w:color w:val="auto"/>
        </w:rPr>
      </w:pPr>
    </w:p>
    <w:p>
      <w:pPr>
        <w:ind w:left="700" w:hanging="183"/>
        <w:spacing w:after="0"/>
        <w:tabs>
          <w:tab w:leader="none" w:pos="700" w:val="left"/>
        </w:tabs>
        <w:numPr>
          <w:ilvl w:val="0"/>
          <w:numId w:val="1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3"/>
          <w:szCs w:val="13"/>
          <w:b w:val="1"/>
          <w:bCs w:val="1"/>
          <w:color w:val="auto"/>
        </w:rPr>
        <w:t>ESTING</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firstLine="1154"/>
        <w:spacing w:after="0" w:line="250" w:lineRule="auto"/>
        <w:tabs>
          <w:tab w:leader="none" w:pos="1400" w:val="left"/>
        </w:tabs>
        <w:numPr>
          <w:ilvl w:val="1"/>
          <w:numId w:val="1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Your Option will vest as provided in your Grant Notice, subject to the provisions contained herein and the terms of the Plan. Vesting will cease upon the termination of your Continuous Service. Notwithstanding the foregoing, if a Change in Control occurs and your Continuous Service has not terminated as of immediately prior to such Change in Control, then the vesting and exercisability of your Option will be accelerated in full upon such Change in Control.</w:t>
      </w:r>
    </w:p>
    <w:p>
      <w:pPr>
        <w:spacing w:after="0" w:line="69" w:lineRule="exact"/>
        <w:rPr>
          <w:rFonts w:ascii="Times New Roman" w:cs="Times New Roman" w:eastAsia="Times New Roman" w:hAnsi="Times New Roman"/>
          <w:sz w:val="18"/>
          <w:szCs w:val="18"/>
          <w:b w:val="1"/>
          <w:bCs w:val="1"/>
          <w:color w:val="auto"/>
        </w:rPr>
      </w:pPr>
    </w:p>
    <w:p>
      <w:pPr>
        <w:ind w:right="20" w:firstLine="1154"/>
        <w:spacing w:after="0" w:line="242" w:lineRule="auto"/>
        <w:tabs>
          <w:tab w:leader="none" w:pos="1410" w:val="left"/>
        </w:tabs>
        <w:numPr>
          <w:ilvl w:val="1"/>
          <w:numId w:val="1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any payment or benefit you would receive from the Company or otherwise in connection with a Change in Control or other similar transaction (a “</w:t>
      </w:r>
      <w:r>
        <w:rPr>
          <w:rFonts w:ascii="Times New Roman" w:cs="Times New Roman" w:eastAsia="Times New Roman" w:hAnsi="Times New Roman"/>
          <w:sz w:val="18"/>
          <w:szCs w:val="18"/>
          <w:b w:val="1"/>
          <w:bCs w:val="1"/>
          <w:i w:val="1"/>
          <w:iCs w:val="1"/>
          <w:color w:val="auto"/>
        </w:rPr>
        <w:t>280G Payment</w:t>
      </w:r>
      <w:r>
        <w:rPr>
          <w:rFonts w:ascii="Times New Roman" w:cs="Times New Roman" w:eastAsia="Times New Roman" w:hAnsi="Times New Roman"/>
          <w:sz w:val="18"/>
          <w:szCs w:val="18"/>
          <w:color w:val="auto"/>
        </w:rPr>
        <w:t>”) would (i) constitute a “parachute payment” within the meaning of Section 280G of the Code, and (ii) but for this sentence, be subject to the excise tax imposed by Section 4999 of the Code (the “</w:t>
      </w:r>
      <w:r>
        <w:rPr>
          <w:rFonts w:ascii="Times New Roman" w:cs="Times New Roman" w:eastAsia="Times New Roman" w:hAnsi="Times New Roman"/>
          <w:sz w:val="18"/>
          <w:szCs w:val="18"/>
          <w:b w:val="1"/>
          <w:bCs w:val="1"/>
          <w:i w:val="1"/>
          <w:iCs w:val="1"/>
          <w:color w:val="auto"/>
        </w:rPr>
        <w:t>Excise Tax</w:t>
      </w:r>
      <w:r>
        <w:rPr>
          <w:rFonts w:ascii="Times New Roman" w:cs="Times New Roman" w:eastAsia="Times New Roman" w:hAnsi="Times New Roman"/>
          <w:sz w:val="18"/>
          <w:szCs w:val="18"/>
          <w:color w:val="auto"/>
        </w:rPr>
        <w:t>”), then any such 280G Payment (a “</w:t>
      </w:r>
      <w:r>
        <w:rPr>
          <w:rFonts w:ascii="Times New Roman" w:cs="Times New Roman" w:eastAsia="Times New Roman" w:hAnsi="Times New Roman"/>
          <w:sz w:val="18"/>
          <w:szCs w:val="18"/>
          <w:b w:val="1"/>
          <w:bCs w:val="1"/>
          <w:i w:val="1"/>
          <w:iCs w:val="1"/>
          <w:color w:val="auto"/>
        </w:rPr>
        <w:t>Payment</w:t>
      </w:r>
      <w:r>
        <w:rPr>
          <w:rFonts w:ascii="Times New Roman" w:cs="Times New Roman" w:eastAsia="Times New Roman" w:hAnsi="Times New Roman"/>
          <w:sz w:val="18"/>
          <w:szCs w:val="18"/>
          <w:color w:val="auto"/>
        </w:rPr>
        <w:t>”) shall be equal to the Reduced Amount. The “</w:t>
      </w:r>
      <w:r>
        <w:rPr>
          <w:rFonts w:ascii="Times New Roman" w:cs="Times New Roman" w:eastAsia="Times New Roman" w:hAnsi="Times New Roman"/>
          <w:sz w:val="18"/>
          <w:szCs w:val="18"/>
          <w:b w:val="1"/>
          <w:bCs w:val="1"/>
          <w:i w:val="1"/>
          <w:iCs w:val="1"/>
          <w:color w:val="auto"/>
        </w:rPr>
        <w:t>Reduced Amount</w:t>
      </w:r>
      <w:r>
        <w:rPr>
          <w:rFonts w:ascii="Times New Roman" w:cs="Times New Roman" w:eastAsia="Times New Roman" w:hAnsi="Times New Roman"/>
          <w:sz w:val="18"/>
          <w:szCs w:val="18"/>
          <w:color w:val="auto"/>
        </w:rPr>
        <w:t>” shall be either (x) the largest portion of the Payment that would result in no portion of the Payment (after reduction) being subject to the Excise Tax or (y) 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your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w:t>
      </w:r>
      <w:r>
        <w:rPr>
          <w:rFonts w:ascii="Times New Roman" w:cs="Times New Roman" w:eastAsia="Times New Roman" w:hAnsi="Times New Roman"/>
          <w:sz w:val="18"/>
          <w:szCs w:val="18"/>
          <w:b w:val="1"/>
          <w:bCs w:val="1"/>
          <w:i w:val="1"/>
          <w:iCs w:val="1"/>
          <w:color w:val="auto"/>
        </w:rPr>
        <w:t>Reduction Method</w:t>
      </w:r>
      <w:r>
        <w:rPr>
          <w:rFonts w:ascii="Times New Roman" w:cs="Times New Roman" w:eastAsia="Times New Roman" w:hAnsi="Times New Roman"/>
          <w:sz w:val="18"/>
          <w:szCs w:val="18"/>
          <w:color w:val="auto"/>
        </w:rPr>
        <w:t>”) that results in the greatest economic benefit for you. If more than one method of reduction will result in the same economic benefit, the items so reduced will be reduced pro rata (the “</w:t>
      </w:r>
      <w:r>
        <w:rPr>
          <w:rFonts w:ascii="Times New Roman" w:cs="Times New Roman" w:eastAsia="Times New Roman" w:hAnsi="Times New Roman"/>
          <w:sz w:val="18"/>
          <w:szCs w:val="18"/>
          <w:b w:val="1"/>
          <w:bCs w:val="1"/>
          <w:i w:val="1"/>
          <w:iCs w:val="1"/>
          <w:color w:val="auto"/>
        </w:rPr>
        <w:t>Pro Rata Reduction Method</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Notwithstanding the foregoing, if the Reduction Method or the Pro Rata Reduction Method would result in any portion of the Payment being subject to taxes pursuant to Section 409A of the Code that would not otherwise be subject to taxes pursuant to Section 409A of the Code, then the Reduction Method and/or the Pro Rata Reduction Method, as the case may be, shall be modified so as to avoid the imposition of taxes pursuant to Section 409A of the Code as follows: (A) as a first priority, the modification shall preserve to the greatest extent possible, the greatest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181" w:name="page182"/>
    <w:bookmarkEnd w:id="181"/>
    <w:p>
      <w:pPr>
        <w:ind w:right="40"/>
        <w:spacing w:after="0" w:line="250" w:lineRule="auto"/>
        <w:rPr>
          <w:sz w:val="20"/>
          <w:szCs w:val="20"/>
          <w:color w:val="auto"/>
        </w:rPr>
      </w:pPr>
      <w:r>
        <w:rPr>
          <w:rFonts w:ascii="Times New Roman" w:cs="Times New Roman" w:eastAsia="Times New Roman" w:hAnsi="Times New Roman"/>
          <w:sz w:val="18"/>
          <w:szCs w:val="18"/>
          <w:color w:val="auto"/>
        </w:rPr>
        <w:t>economic benefit for you as determined on an after-tax basis; (B) as a second priority, Payments that are contingent on future events (e.g., being terminated without cause), shall be reduced (or eliminated) before Payments that are not contingent on future events; and (C) as a third priority, Payments that are “deferred compensation” within the meaning of Section 409A of the Code shall be reduced (or eliminated) before Payments that are not deferred compensation within the meaning of Section 409A of the Code.</w:t>
      </w:r>
    </w:p>
    <w:p>
      <w:pPr>
        <w:spacing w:after="0" w:line="191"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Unless you and the Company agree on an alternative accounting firm, the accounting firm engaged by the Company for general tax compliance purposes as of the day prior to the effective date of the change of control transaction triggering the Payment shall perform the foregoing calculations. If the accounting firm so engaged by the Company is serving as accountant or auditor for the individual, entity or group effecting the change of control transaction, the Company shall appoint a nationally recognized accounting firm to make the determinations required hereunder. The Company shall bear all expenses with respect to the determinations by such accounting firm required to be made hereunder. The Company shall use commercially reasonable efforts to cause the accounting firm engaged to make the determinations hereunder to provide its calculations, together with detailed supporting documentation, to you and the Company within fifteen (15) calendar days after the date on which your right to a 280G Payment becomes reasonably likely to occur (if requested at that time by you or the Company) or such other time as requested by you or the Company.</w:t>
      </w:r>
    </w:p>
    <w:p>
      <w:pPr>
        <w:spacing w:after="0" w:line="186" w:lineRule="exact"/>
        <w:rPr>
          <w:sz w:val="20"/>
          <w:szCs w:val="20"/>
          <w:color w:val="auto"/>
        </w:rPr>
      </w:pPr>
    </w:p>
    <w:p>
      <w:pPr>
        <w:ind w:right="140" w:firstLine="509"/>
        <w:spacing w:after="0" w:line="246" w:lineRule="auto"/>
        <w:rPr>
          <w:sz w:val="20"/>
          <w:szCs w:val="20"/>
          <w:color w:val="auto"/>
        </w:rPr>
      </w:pPr>
      <w:r>
        <w:rPr>
          <w:rFonts w:ascii="Times New Roman" w:cs="Times New Roman" w:eastAsia="Times New Roman" w:hAnsi="Times New Roman"/>
          <w:sz w:val="18"/>
          <w:szCs w:val="18"/>
          <w:color w:val="auto"/>
        </w:rPr>
        <w:t>If you receive a Payment for which the Reduced Amount was determined pursuant to clause (x) of the first paragraph of this Section 2(b) and the Internal Revenue Service determines thereafter that some portion of the Payment is subject to the Excise Tax, you shall promptly return to the Company a sufficient amount of the Payment (after reduction pursuant to clause (x) of the first paragraph of this Section 2(b) so that no portion of the remaining Payment is subject to the Excise Tax. For the avoidance of doubt, if the Reduced Amount was determined pursuant to clause (y) in the first paragraph of this Section 2(b), you shall have no obligation to return any portion of the Payment pursuant to the preceding sentence.</w:t>
      </w:r>
    </w:p>
    <w:p>
      <w:pPr>
        <w:spacing w:after="0" w:line="177" w:lineRule="exact"/>
        <w:rPr>
          <w:sz w:val="20"/>
          <w:szCs w:val="20"/>
          <w:color w:val="auto"/>
        </w:rPr>
      </w:pPr>
    </w:p>
    <w:p>
      <w:pPr>
        <w:ind w:left="700" w:hanging="183"/>
        <w:spacing w:after="0"/>
        <w:tabs>
          <w:tab w:leader="none" w:pos="700" w:val="left"/>
        </w:tabs>
        <w:numPr>
          <w:ilvl w:val="0"/>
          <w:numId w:val="1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3"/>
          <w:szCs w:val="13"/>
          <w:b w:val="1"/>
          <w:bCs w:val="1"/>
          <w:color w:val="auto"/>
        </w:rPr>
        <w:t>XERCISE</w:t>
      </w:r>
      <w:r>
        <w:rPr>
          <w:rFonts w:ascii="Times New Roman" w:cs="Times New Roman" w:eastAsia="Times New Roman" w:hAnsi="Times New Roman"/>
          <w:sz w:val="18"/>
          <w:szCs w:val="18"/>
          <w:b w:val="1"/>
          <w:bCs w:val="1"/>
          <w:color w:val="auto"/>
        </w:rPr>
        <w:t>.</w:t>
      </w:r>
    </w:p>
    <w:p>
      <w:pPr>
        <w:spacing w:after="0" w:line="107" w:lineRule="exact"/>
        <w:rPr>
          <w:rFonts w:ascii="Times New Roman" w:cs="Times New Roman" w:eastAsia="Times New Roman" w:hAnsi="Times New Roman"/>
          <w:sz w:val="18"/>
          <w:szCs w:val="18"/>
          <w:b w:val="1"/>
          <w:bCs w:val="1"/>
          <w:color w:val="auto"/>
        </w:rPr>
      </w:pPr>
    </w:p>
    <w:p>
      <w:pPr>
        <w:ind w:right="40" w:firstLine="1154"/>
        <w:spacing w:after="0" w:line="250" w:lineRule="auto"/>
        <w:tabs>
          <w:tab w:leader="none" w:pos="1400" w:val="left"/>
        </w:tabs>
        <w:numPr>
          <w:ilvl w:val="1"/>
          <w:numId w:val="1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may generally exercise the vested portion of your Option for whole shares of Common Stock at any time during its term by delivery of payment of the exercise price and applicable withholding taxes and other required documentation to the Plan Administrator in accordance with the exercise procedures established by the Plan Administrator, which may include an electronic submission. Please review Sections 4(i), 4(j) and 7(b)(v) of the Plan, which may restrict or prohibit your ability to exercise your Option during certain periods.</w:t>
      </w:r>
    </w:p>
    <w:p>
      <w:pPr>
        <w:spacing w:after="0" w:line="82" w:lineRule="exact"/>
        <w:rPr>
          <w:rFonts w:ascii="Times New Roman" w:cs="Times New Roman" w:eastAsia="Times New Roman" w:hAnsi="Times New Roman"/>
          <w:sz w:val="18"/>
          <w:szCs w:val="18"/>
          <w:b w:val="1"/>
          <w:bCs w:val="1"/>
          <w:color w:val="auto"/>
        </w:rPr>
      </w:pPr>
    </w:p>
    <w:p>
      <w:pPr>
        <w:ind w:left="1420" w:hanging="266"/>
        <w:spacing w:after="0"/>
        <w:tabs>
          <w:tab w:leader="none" w:pos="1420" w:val="left"/>
        </w:tabs>
        <w:numPr>
          <w:ilvl w:val="1"/>
          <w:numId w:val="1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the extent permitted by Applicable Law, you may pay your Option exercise price as follows:</w:t>
      </w:r>
    </w:p>
    <w:p>
      <w:pPr>
        <w:spacing w:after="0" w:line="103" w:lineRule="exact"/>
        <w:rPr>
          <w:rFonts w:ascii="Times New Roman" w:cs="Times New Roman" w:eastAsia="Times New Roman" w:hAnsi="Times New Roman"/>
          <w:sz w:val="18"/>
          <w:szCs w:val="18"/>
          <w:b w:val="1"/>
          <w:bCs w:val="1"/>
          <w:color w:val="auto"/>
        </w:rPr>
      </w:pPr>
    </w:p>
    <w:p>
      <w:pPr>
        <w:ind w:left="1880" w:hanging="217"/>
        <w:spacing w:after="0"/>
        <w:tabs>
          <w:tab w:leader="none" w:pos="1880" w:val="left"/>
        </w:tabs>
        <w:numPr>
          <w:ilvl w:val="2"/>
          <w:numId w:val="1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cash, check, bank draft or money order;</w:t>
      </w:r>
    </w:p>
    <w:p>
      <w:pPr>
        <w:spacing w:after="0" w:line="103" w:lineRule="exact"/>
        <w:rPr>
          <w:rFonts w:ascii="Times New Roman" w:cs="Times New Roman" w:eastAsia="Times New Roman" w:hAnsi="Times New Roman"/>
          <w:sz w:val="18"/>
          <w:szCs w:val="18"/>
          <w:b w:val="1"/>
          <w:bCs w:val="1"/>
          <w:color w:val="auto"/>
        </w:rPr>
      </w:pPr>
    </w:p>
    <w:p>
      <w:pPr>
        <w:ind w:right="440" w:firstLine="1663"/>
        <w:spacing w:after="0" w:line="266" w:lineRule="auto"/>
        <w:tabs>
          <w:tab w:leader="none" w:pos="1920" w:val="left"/>
        </w:tabs>
        <w:numPr>
          <w:ilvl w:val="2"/>
          <w:numId w:val="1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Company and/or Committee consent at the time of exercise, pursuant to a “cashless exercise” program as further described in Section 4(c)(ii) of the Plan if at the time of exercise the Common Stock is publicly traded;</w:t>
      </w:r>
    </w:p>
    <w:p>
      <w:pPr>
        <w:spacing w:after="0" w:line="67" w:lineRule="exact"/>
        <w:rPr>
          <w:rFonts w:ascii="Times New Roman" w:cs="Times New Roman" w:eastAsia="Times New Roman" w:hAnsi="Times New Roman"/>
          <w:sz w:val="18"/>
          <w:szCs w:val="18"/>
          <w:b w:val="1"/>
          <w:bCs w:val="1"/>
          <w:color w:val="auto"/>
        </w:rPr>
      </w:pPr>
    </w:p>
    <w:p>
      <w:pPr>
        <w:ind w:right="400" w:firstLine="1663"/>
        <w:spacing w:after="0" w:line="266" w:lineRule="auto"/>
        <w:tabs>
          <w:tab w:leader="none" w:pos="1970" w:val="left"/>
        </w:tabs>
        <w:numPr>
          <w:ilvl w:val="2"/>
          <w:numId w:val="1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Company and/or Committee consent at the time of exercise, by delivery of previously owned shares of Common Stock as further described in Section 4(c)(iii) of the Plan; or</w:t>
      </w:r>
    </w:p>
    <w:p>
      <w:pPr>
        <w:spacing w:after="0" w:line="54" w:lineRule="exact"/>
        <w:rPr>
          <w:rFonts w:ascii="Times New Roman" w:cs="Times New Roman" w:eastAsia="Times New Roman" w:hAnsi="Times New Roman"/>
          <w:sz w:val="18"/>
          <w:szCs w:val="18"/>
          <w:b w:val="1"/>
          <w:bCs w:val="1"/>
          <w:color w:val="auto"/>
        </w:rPr>
      </w:pPr>
    </w:p>
    <w:p>
      <w:pPr>
        <w:ind w:right="220" w:firstLine="1663"/>
        <w:spacing w:after="0" w:line="282" w:lineRule="auto"/>
        <w:tabs>
          <w:tab w:leader="none" w:pos="1959" w:val="left"/>
        </w:tabs>
        <w:numPr>
          <w:ilvl w:val="2"/>
          <w:numId w:val="1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Company and/or Committee consent at the time of exercise, if the Option is a Nonstatutory Stock Option, by a “net exercise” arrangement as further described in Section 4(c)(iv) of the Plan.</w:t>
      </w:r>
    </w:p>
    <w:p>
      <w:pPr>
        <w:spacing w:after="0" w:line="36" w:lineRule="exact"/>
        <w:rPr>
          <w:rFonts w:ascii="Times New Roman" w:cs="Times New Roman" w:eastAsia="Times New Roman" w:hAnsi="Times New Roman"/>
          <w:sz w:val="18"/>
          <w:szCs w:val="18"/>
          <w:b w:val="1"/>
          <w:bCs w:val="1"/>
          <w:color w:val="auto"/>
        </w:rPr>
      </w:pPr>
    </w:p>
    <w:p>
      <w:pPr>
        <w:ind w:left="700" w:hanging="183"/>
        <w:spacing w:after="0"/>
        <w:tabs>
          <w:tab w:leader="none" w:pos="700" w:val="left"/>
        </w:tabs>
        <w:numPr>
          <w:ilvl w:val="0"/>
          <w:numId w:val="1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3"/>
          <w:szCs w:val="13"/>
          <w:b w:val="1"/>
          <w:bCs w:val="1"/>
          <w:color w:val="auto"/>
        </w:rPr>
        <w:t>ERM</w:t>
      </w:r>
      <w:r>
        <w:rPr>
          <w:rFonts w:ascii="Times New Roman" w:cs="Times New Roman" w:eastAsia="Times New Roman" w:hAnsi="Times New Roman"/>
          <w:sz w:val="18"/>
          <w:szCs w:val="18"/>
          <w:color w:val="auto"/>
        </w:rPr>
        <w:t>. You may not exercise your Option before the commencement of its term or after its term expires. The term of your Option commences on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Date of Grant and expires upon the earliest of the following:</w:t>
      </w:r>
    </w:p>
    <w:p>
      <w:pPr>
        <w:spacing w:after="0" w:line="97" w:lineRule="exact"/>
        <w:rPr>
          <w:sz w:val="20"/>
          <w:szCs w:val="20"/>
          <w:color w:val="auto"/>
        </w:rPr>
      </w:pPr>
    </w:p>
    <w:p>
      <w:pPr>
        <w:ind w:left="1400" w:hanging="246"/>
        <w:spacing w:after="0"/>
        <w:tabs>
          <w:tab w:leader="none" w:pos="1400" w:val="left"/>
        </w:tabs>
        <w:numPr>
          <w:ilvl w:val="0"/>
          <w:numId w:val="1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immediately upon the termination of your Continuous Service for Cause;</w:t>
      </w:r>
    </w:p>
    <w:p>
      <w:pPr>
        <w:spacing w:after="0" w:line="103" w:lineRule="exact"/>
        <w:rPr>
          <w:rFonts w:ascii="Times New Roman" w:cs="Times New Roman" w:eastAsia="Times New Roman" w:hAnsi="Times New Roman"/>
          <w:sz w:val="18"/>
          <w:szCs w:val="18"/>
          <w:b w:val="1"/>
          <w:bCs w:val="1"/>
          <w:color w:val="auto"/>
        </w:rPr>
      </w:pPr>
    </w:p>
    <w:p>
      <w:pPr>
        <w:ind w:left="1420" w:hanging="266"/>
        <w:spacing w:after="0"/>
        <w:tabs>
          <w:tab w:leader="none" w:pos="1420" w:val="left"/>
        </w:tabs>
        <w:numPr>
          <w:ilvl w:val="0"/>
          <w:numId w:val="1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 months after the termination of your Continuous Service;</w:t>
      </w:r>
    </w:p>
    <w:p>
      <w:pPr>
        <w:spacing w:after="0" w:line="103" w:lineRule="exact"/>
        <w:rPr>
          <w:rFonts w:ascii="Times New Roman" w:cs="Times New Roman" w:eastAsia="Times New Roman" w:hAnsi="Times New Roman"/>
          <w:sz w:val="18"/>
          <w:szCs w:val="18"/>
          <w:b w:val="1"/>
          <w:bCs w:val="1"/>
          <w:color w:val="auto"/>
        </w:rPr>
      </w:pPr>
    </w:p>
    <w:p>
      <w:pPr>
        <w:ind w:left="1400" w:hanging="246"/>
        <w:spacing w:after="0"/>
        <w:tabs>
          <w:tab w:leader="none" w:pos="1400" w:val="left"/>
        </w:tabs>
        <w:numPr>
          <w:ilvl w:val="0"/>
          <w:numId w:val="1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immediately upon a Corporate Transaction if the Board has determined that the Option will terminate in connection with a Corporate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w:t>
      </w:r>
    </w:p>
    <w:p>
      <w:pPr>
        <w:spacing w:after="0" w:line="85" w:lineRule="exact"/>
        <w:rPr>
          <w:sz w:val="20"/>
          <w:szCs w:val="20"/>
          <w:color w:val="auto"/>
        </w:rPr>
      </w:pPr>
    </w:p>
    <w:p>
      <w:pPr>
        <w:ind w:left="1420" w:hanging="266"/>
        <w:spacing w:after="0"/>
        <w:tabs>
          <w:tab w:leader="none" w:pos="1420" w:val="left"/>
        </w:tabs>
        <w:numPr>
          <w:ilvl w:val="0"/>
          <w:numId w:val="1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Expiration Date indicated in your Grant Notice; or</w:t>
      </w:r>
    </w:p>
    <w:p>
      <w:pPr>
        <w:spacing w:after="0" w:line="103" w:lineRule="exact"/>
        <w:rPr>
          <w:rFonts w:ascii="Times New Roman" w:cs="Times New Roman" w:eastAsia="Times New Roman" w:hAnsi="Times New Roman"/>
          <w:sz w:val="18"/>
          <w:szCs w:val="18"/>
          <w:b w:val="1"/>
          <w:bCs w:val="1"/>
          <w:color w:val="auto"/>
        </w:rPr>
      </w:pPr>
    </w:p>
    <w:p>
      <w:pPr>
        <w:ind w:left="1400" w:hanging="246"/>
        <w:spacing w:after="0"/>
        <w:tabs>
          <w:tab w:leader="none" w:pos="1400" w:val="left"/>
        </w:tabs>
        <w:numPr>
          <w:ilvl w:val="0"/>
          <w:numId w:val="1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day before the 10th anniversary of the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82" w:name="page183"/>
    <w:bookmarkEnd w:id="182"/>
    <w:p>
      <w:pPr>
        <w:jc w:val="both"/>
        <w:ind w:right="160"/>
        <w:spacing w:after="0" w:line="250" w:lineRule="auto"/>
        <w:rPr>
          <w:sz w:val="20"/>
          <w:szCs w:val="20"/>
          <w:color w:val="auto"/>
        </w:rPr>
      </w:pPr>
      <w:r>
        <w:rPr>
          <w:rFonts w:ascii="Times New Roman" w:cs="Times New Roman" w:eastAsia="Times New Roman" w:hAnsi="Times New Roman"/>
          <w:sz w:val="18"/>
          <w:szCs w:val="18"/>
          <w:color w:val="auto"/>
        </w:rPr>
        <w:t>Notwithstanding the foregoing, if you die during the period provided in Section 4(b) above, the term of your Option shall not expire until the earlier of (i) 12 months after your death, (ii) upon any termination of the Option in connection with a Corporate Transaction, (iii) the Expiration Date indicated in your Grant Notice, or (iv) the day before the tenth anniversary of the Date of Grant. Additionally, the Post-Termination Exercise Period of your Option may be extended as provided in Section 4(i) of the Plan.</w:t>
      </w:r>
    </w:p>
    <w:p>
      <w:pPr>
        <w:spacing w:after="0" w:line="173" w:lineRule="exact"/>
        <w:rPr>
          <w:sz w:val="20"/>
          <w:szCs w:val="20"/>
          <w:color w:val="auto"/>
        </w:rPr>
      </w:pPr>
    </w:p>
    <w:p>
      <w:pPr>
        <w:ind w:right="60" w:firstLine="517"/>
        <w:spacing w:after="0" w:line="244" w:lineRule="auto"/>
        <w:tabs>
          <w:tab w:leader="none" w:pos="689" w:val="left"/>
        </w:tabs>
        <w:numPr>
          <w:ilvl w:val="1"/>
          <w:numId w:val="1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3"/>
          <w:szCs w:val="13"/>
          <w:b w:val="1"/>
          <w:bCs w:val="1"/>
          <w:color w:val="auto"/>
        </w:rPr>
        <w:t>ITHHOLDING</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3"/>
          <w:szCs w:val="13"/>
          <w:b w:val="1"/>
          <w:bCs w:val="1"/>
          <w:color w:val="auto"/>
        </w:rPr>
        <w:t>BLIGATIONS</w:t>
      </w:r>
      <w:r>
        <w:rPr>
          <w:rFonts w:ascii="Times New Roman" w:cs="Times New Roman" w:eastAsia="Times New Roman" w:hAnsi="Times New Roman"/>
          <w:sz w:val="18"/>
          <w:szCs w:val="18"/>
          <w:color w:val="auto"/>
        </w:rPr>
        <w:t>. As further provided in Section 8 of the Plan: (a) you may not exercise your Option unless the applicable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withholding obligations are satisfied, and (b) at the time you exercise your Option, in whole or in part, or at any time thereafter as requested by the Company, you hereby authorize withholding from payroll and any other amounts payable to you, and otherwise agree to make adequate provision for (including by means of a “cashless exercise” pursuant to a program developed under Regulation T as promulgated by the Federal Reserve Board to the extent permitted by the Company), any sums required to satisfy the federal, state, local and foreign tax withholding obligations, if any, which arise in connection with the exercise of your Option in accordance with the withholding procedures established by the Company. Accordingly, you may not be able to exercise your Option even though the Option is vested, and the Company shall have no obligation to issue shares of Common Stock subject to your Option, unless and until such obligations are satisfied. In the event that the amount of the Company’s withholding obligation in connection with your Option was greater than the amount actually withheld by the Company, you agree to indemnify and hold the Company harmless from any failure by the Company to withhold the proper amount.</w:t>
      </w:r>
    </w:p>
    <w:p>
      <w:pPr>
        <w:spacing w:after="0" w:line="177" w:lineRule="exact"/>
        <w:rPr>
          <w:rFonts w:ascii="Times New Roman" w:cs="Times New Roman" w:eastAsia="Times New Roman" w:hAnsi="Times New Roman"/>
          <w:sz w:val="18"/>
          <w:szCs w:val="18"/>
          <w:b w:val="1"/>
          <w:bCs w:val="1"/>
          <w:color w:val="auto"/>
        </w:rPr>
      </w:pPr>
    </w:p>
    <w:p>
      <w:pPr>
        <w:ind w:right="580" w:firstLine="517"/>
        <w:spacing w:after="0" w:line="271" w:lineRule="auto"/>
        <w:tabs>
          <w:tab w:leader="none" w:pos="689" w:val="left"/>
        </w:tabs>
        <w:numPr>
          <w:ilvl w:val="1"/>
          <w:numId w:val="1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TRANSFERABILITY</w:t>
      </w:r>
      <w:r>
        <w:rPr>
          <w:rFonts w:ascii="Times New Roman" w:cs="Times New Roman" w:eastAsia="Times New Roman" w:hAnsi="Times New Roman"/>
          <w:sz w:val="18"/>
          <w:szCs w:val="18"/>
          <w:color w:val="auto"/>
        </w:rPr>
        <w:t>. Except as otherwise provided in Section 4(e) of the Plan, your Option is not transferable, except by will or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laws of descent and distribution, and is exercisable during your life only by you.</w:t>
      </w:r>
    </w:p>
    <w:p>
      <w:pPr>
        <w:spacing w:after="0" w:line="167" w:lineRule="exact"/>
        <w:rPr>
          <w:rFonts w:ascii="Times New Roman" w:cs="Times New Roman" w:eastAsia="Times New Roman" w:hAnsi="Times New Roman"/>
          <w:sz w:val="18"/>
          <w:szCs w:val="18"/>
          <w:b w:val="1"/>
          <w:bCs w:val="1"/>
          <w:color w:val="auto"/>
        </w:rPr>
      </w:pPr>
    </w:p>
    <w:p>
      <w:pPr>
        <w:ind w:right="40" w:firstLine="517"/>
        <w:spacing w:after="0" w:line="252" w:lineRule="auto"/>
        <w:tabs>
          <w:tab w:leader="none" w:pos="689" w:val="left"/>
        </w:tabs>
        <w:numPr>
          <w:ilvl w:val="1"/>
          <w:numId w:val="1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CORPORATE TRANSACTION</w:t>
      </w:r>
      <w:r>
        <w:rPr>
          <w:rFonts w:ascii="Times New Roman" w:cs="Times New Roman" w:eastAsia="Times New Roman" w:hAnsi="Times New Roman"/>
          <w:sz w:val="18"/>
          <w:szCs w:val="18"/>
          <w:color w:val="auto"/>
        </w:rPr>
        <w:t>. Your Option is subject to the terms of any agreement governing a Corporate Transaction involving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including, without limitation, a provision for the appointment of a stockholder representative that is authorized to act on your behalf with respect to any escrow, indemnities and any contingent consideration.</w:t>
      </w:r>
    </w:p>
    <w:p>
      <w:pPr>
        <w:spacing w:after="0" w:line="185" w:lineRule="exact"/>
        <w:rPr>
          <w:rFonts w:ascii="Times New Roman" w:cs="Times New Roman" w:eastAsia="Times New Roman" w:hAnsi="Times New Roman"/>
          <w:sz w:val="18"/>
          <w:szCs w:val="18"/>
          <w:b w:val="1"/>
          <w:bCs w:val="1"/>
          <w:color w:val="auto"/>
        </w:rPr>
      </w:pPr>
    </w:p>
    <w:p>
      <w:pPr>
        <w:ind w:firstLine="517"/>
        <w:spacing w:after="0" w:line="244" w:lineRule="auto"/>
        <w:tabs>
          <w:tab w:leader="none" w:pos="689" w:val="left"/>
        </w:tabs>
        <w:numPr>
          <w:ilvl w:val="1"/>
          <w:numId w:val="1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3"/>
          <w:szCs w:val="13"/>
          <w:b w:val="1"/>
          <w:bCs w:val="1"/>
          <w:color w:val="auto"/>
        </w:rPr>
        <w:t>O</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3"/>
          <w:szCs w:val="13"/>
          <w:b w:val="1"/>
          <w:bCs w:val="1"/>
          <w:color w:val="auto"/>
        </w:rPr>
        <w:t>IABILITY</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3"/>
          <w:szCs w:val="13"/>
          <w:b w:val="1"/>
          <w:bCs w:val="1"/>
          <w:color w:val="auto"/>
        </w:rPr>
        <w:t>OR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3"/>
          <w:szCs w:val="13"/>
          <w:b w:val="1"/>
          <w:bCs w:val="1"/>
          <w:color w:val="auto"/>
        </w:rPr>
        <w:t>AXES</w:t>
      </w:r>
      <w:r>
        <w:rPr>
          <w:rFonts w:ascii="Times New Roman" w:cs="Times New Roman" w:eastAsia="Times New Roman" w:hAnsi="Times New Roman"/>
          <w:sz w:val="18"/>
          <w:szCs w:val="18"/>
          <w:color w:val="auto"/>
        </w:rPr>
        <w:t>. As a condition to accepting the Option, you hereby (a) agree to not make any claim against the Company, or any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Directors, Employees or Affiliates related to tax liabilities arising from the Option or other Company compensation and (b) acknowledge that you were advised to consult with your own personal tax, financial and other legal advisors regarding the tax consequences of the Option and have either done so or knowingly and voluntarily declined to do so. Additionally, you acknowledge that the Option is exempt from Section 409A only if the exercise price is at least equal to the “fair market value” of the Common Stock on the date of grant as determined by the Internal Revenue Service and there is no other impermissible deferral of compensation associated with the Option. Additionally, as a condition to accepting the Option, you agree not make any claim against the Company, or any of its Officers, Directors, Employees or Affiliates in the event that the Internal Revenue Service asserts that such exercise is less than the “fair market value” of the Common Stock on the date of grant as subsequently determined by the Internal Revenue Service.</w:t>
      </w:r>
    </w:p>
    <w:p>
      <w:pPr>
        <w:spacing w:after="0" w:line="179" w:lineRule="exact"/>
        <w:rPr>
          <w:rFonts w:ascii="Times New Roman" w:cs="Times New Roman" w:eastAsia="Times New Roman" w:hAnsi="Times New Roman"/>
          <w:sz w:val="18"/>
          <w:szCs w:val="18"/>
          <w:b w:val="1"/>
          <w:bCs w:val="1"/>
          <w:color w:val="auto"/>
        </w:rPr>
      </w:pPr>
    </w:p>
    <w:p>
      <w:pPr>
        <w:ind w:right="20" w:firstLine="517"/>
        <w:spacing w:after="0" w:line="252" w:lineRule="auto"/>
        <w:tabs>
          <w:tab w:leader="none" w:pos="689" w:val="left"/>
        </w:tabs>
        <w:numPr>
          <w:ilvl w:val="1"/>
          <w:numId w:val="1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3"/>
          <w:szCs w:val="13"/>
          <w:b w:val="1"/>
          <w:bCs w:val="1"/>
          <w:color w:val="auto"/>
        </w:rPr>
        <w:t>EVERABILITY</w:t>
      </w:r>
      <w:r>
        <w:rPr>
          <w:rFonts w:ascii="Times New Roman" w:cs="Times New Roman" w:eastAsia="Times New Roman" w:hAnsi="Times New Roman"/>
          <w:sz w:val="18"/>
          <w:szCs w:val="18"/>
          <w:color w:val="auto"/>
        </w:rPr>
        <w:t>. If any part of this Option Agreement or the Plan is declared by any court or governmental authority to be unlawful or invalid,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unlawfulness or invalidity will not invalidate any portion of this Option Agreement or the Plan not declared to be unlawful or invalid. Any Section of this Option Agreement (or part of such a Section) so declared to be unlawful or invalid will, if possible, be construed in a manner which will give effect to the terms of such Section or part of a Section to the fullest extent possible while remaining lawful and valid</w:t>
      </w:r>
    </w:p>
    <w:p>
      <w:pPr>
        <w:spacing w:after="0" w:line="170" w:lineRule="exact"/>
        <w:rPr>
          <w:rFonts w:ascii="Times New Roman" w:cs="Times New Roman" w:eastAsia="Times New Roman" w:hAnsi="Times New Roman"/>
          <w:sz w:val="18"/>
          <w:szCs w:val="18"/>
          <w:b w:val="1"/>
          <w:bCs w:val="1"/>
          <w:color w:val="auto"/>
        </w:rPr>
      </w:pPr>
    </w:p>
    <w:p>
      <w:pPr>
        <w:ind w:left="780" w:hanging="263"/>
        <w:spacing w:after="0"/>
        <w:tabs>
          <w:tab w:leader="none" w:pos="780" w:val="left"/>
        </w:tabs>
        <w:numPr>
          <w:ilvl w:val="1"/>
          <w:numId w:val="1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3"/>
          <w:szCs w:val="13"/>
          <w:b w:val="1"/>
          <w:bCs w:val="1"/>
          <w:color w:val="auto"/>
        </w:rPr>
        <w:t>THER</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3"/>
          <w:szCs w:val="13"/>
          <w:b w:val="1"/>
          <w:bCs w:val="1"/>
          <w:color w:val="auto"/>
        </w:rPr>
        <w:t>OCUMENTS</w:t>
      </w:r>
      <w:r>
        <w:rPr>
          <w:rFonts w:ascii="Times New Roman" w:cs="Times New Roman" w:eastAsia="Times New Roman" w:hAnsi="Times New Roman"/>
          <w:sz w:val="18"/>
          <w:szCs w:val="18"/>
          <w:color w:val="auto"/>
        </w:rPr>
        <w:t>. You hereby acknowledge receipt of or the right to receive a document providing the information required by Rule 428(b)</w:t>
      </w:r>
    </w:p>
    <w:p>
      <w:pPr>
        <w:spacing w:after="0" w:line="19" w:lineRule="exact"/>
        <w:rPr>
          <w:rFonts w:ascii="Times New Roman" w:cs="Times New Roman" w:eastAsia="Times New Roman" w:hAnsi="Times New Roman"/>
          <w:sz w:val="18"/>
          <w:szCs w:val="18"/>
          <w:b w:val="1"/>
          <w:bCs w:val="1"/>
          <w:color w:val="auto"/>
        </w:rPr>
      </w:pPr>
    </w:p>
    <w:p>
      <w:pPr>
        <w:ind w:left="260" w:hanging="252"/>
        <w:spacing w:after="0"/>
        <w:tabs>
          <w:tab w:leader="none" w:pos="26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promulgated under the Securities Act, which includes the Prospectus. In addition, you acknowledge receipt of the Company’s Trading Policy.</w:t>
      </w:r>
    </w:p>
    <w:p>
      <w:pPr>
        <w:spacing w:after="0" w:line="187" w:lineRule="exact"/>
        <w:rPr>
          <w:rFonts w:ascii="Times New Roman" w:cs="Times New Roman" w:eastAsia="Times New Roman" w:hAnsi="Times New Roman"/>
          <w:sz w:val="18"/>
          <w:szCs w:val="18"/>
          <w:color w:val="auto"/>
        </w:rPr>
      </w:pPr>
    </w:p>
    <w:p>
      <w:pPr>
        <w:ind w:right="440" w:firstLine="517"/>
        <w:spacing w:after="0" w:line="286" w:lineRule="auto"/>
        <w:tabs>
          <w:tab w:leader="none" w:pos="769" w:val="left"/>
        </w:tabs>
        <w:numPr>
          <w:ilvl w:val="1"/>
          <w:numId w:val="1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w:t>
      </w:r>
      <w:r>
        <w:rPr>
          <w:rFonts w:ascii="Times New Roman" w:cs="Times New Roman" w:eastAsia="Times New Roman" w:hAnsi="Times New Roman"/>
          <w:sz w:val="13"/>
          <w:szCs w:val="13"/>
          <w:b w:val="1"/>
          <w:bCs w:val="1"/>
          <w:color w:val="auto"/>
        </w:rPr>
        <w:t>UESTIONS</w:t>
      </w:r>
      <w:r>
        <w:rPr>
          <w:rFonts w:ascii="Times New Roman" w:cs="Times New Roman" w:eastAsia="Times New Roman" w:hAnsi="Times New Roman"/>
          <w:sz w:val="18"/>
          <w:szCs w:val="18"/>
          <w:color w:val="auto"/>
        </w:rPr>
        <w:t>. If you have questions regarding these or any other terms and conditions applicable to your Option, including a summary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federal income tax consequences please see the Prospectus.</w:t>
      </w:r>
    </w:p>
    <w:p>
      <w:pPr>
        <w:spacing w:after="0" w:line="145" w:lineRule="exact"/>
        <w:rPr>
          <w:rFonts w:ascii="Times New Roman" w:cs="Times New Roman" w:eastAsia="Times New Roman" w:hAnsi="Times New Roman"/>
          <w:sz w:val="18"/>
          <w:szCs w:val="18"/>
          <w:b w:val="1"/>
          <w:bCs w:val="1"/>
          <w:color w:val="auto"/>
        </w:rPr>
      </w:pPr>
    </w:p>
    <w:p>
      <w:pPr>
        <w:ind w:left="5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459105</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18"/>
          <w:szCs w:val="18"/>
          <w:i w:val="1"/>
          <w:iCs w:val="1"/>
          <w:color w:val="auto"/>
        </w:rPr>
        <w:t>Non-Employee Director</w:t>
      </w:r>
    </w:p>
    <w:p>
      <w:pPr>
        <w:spacing w:after="0" w:line="2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3"/>
          <w:szCs w:val="13"/>
          <w:b w:val="1"/>
          <w:bCs w:val="1"/>
          <w:color w:val="auto"/>
        </w:rPr>
        <w:t>TTACHMENT</w:t>
      </w:r>
      <w:r>
        <w:rPr>
          <w:rFonts w:ascii="Times New Roman" w:cs="Times New Roman" w:eastAsia="Times New Roman" w:hAnsi="Times New Roman"/>
          <w:sz w:val="18"/>
          <w:szCs w:val="18"/>
          <w:b w:val="1"/>
          <w:bCs w:val="1"/>
          <w:color w:val="auto"/>
        </w:rPr>
        <w:t xml:space="preserve"> II</w:t>
      </w:r>
    </w:p>
    <w:p>
      <w:pPr>
        <w:spacing w:after="0" w:line="21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2021 E</w:t>
      </w:r>
      <w:r>
        <w:rPr>
          <w:rFonts w:ascii="Times New Roman" w:cs="Times New Roman" w:eastAsia="Times New Roman" w:hAnsi="Times New Roman"/>
          <w:sz w:val="13"/>
          <w:szCs w:val="13"/>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3"/>
          <w:szCs w:val="13"/>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3"/>
          <w:szCs w:val="13"/>
          <w:b w:val="1"/>
          <w:bCs w:val="1"/>
          <w:color w:val="auto"/>
        </w:rPr>
        <w:t>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332740</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22" w:right="339" w:bottom="1440"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18"/>
          <w:szCs w:val="18"/>
          <w:i w:val="1"/>
          <w:iCs w:val="1"/>
          <w:color w:val="auto"/>
        </w:rPr>
        <w:t>Non-Employee Director</w:t>
      </w:r>
    </w:p>
    <w:p>
      <w:pPr>
        <w:spacing w:after="0" w:line="21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3"/>
          <w:szCs w:val="13"/>
          <w:b w:val="1"/>
          <w:bCs w:val="1"/>
          <w:color w:val="auto"/>
        </w:rPr>
        <w:t>TTACHMENT</w:t>
      </w:r>
      <w:r>
        <w:rPr>
          <w:rFonts w:ascii="Times New Roman" w:cs="Times New Roman" w:eastAsia="Times New Roman" w:hAnsi="Times New Roman"/>
          <w:sz w:val="18"/>
          <w:szCs w:val="18"/>
          <w:b w:val="1"/>
          <w:bCs w:val="1"/>
          <w:color w:val="auto"/>
        </w:rPr>
        <w:t xml:space="preserve"> III</w:t>
      </w:r>
    </w:p>
    <w:p>
      <w:pPr>
        <w:spacing w:after="0" w:line="21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3"/>
          <w:szCs w:val="13"/>
          <w:b w:val="1"/>
          <w:bCs w:val="1"/>
          <w:color w:val="auto"/>
        </w:rPr>
        <w:t>OTICE OF</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3"/>
          <w:szCs w:val="13"/>
          <w:b w:val="1"/>
          <w:bCs w:val="1"/>
          <w:color w:val="auto"/>
        </w:rPr>
        <w:t>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332740</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538" w:right="339" w:bottom="1440" w:gutter="0" w:footer="0" w:header="0"/>
        </w:sectPr>
      </w:pPr>
    </w:p>
    <w:bookmarkStart w:id="185" w:name="page186"/>
    <w:bookmarkEnd w:id="185"/>
    <w:p>
      <w:pPr>
        <w:jc w:val="right"/>
        <w:spacing w:after="0"/>
        <w:rPr>
          <w:sz w:val="20"/>
          <w:szCs w:val="20"/>
          <w:color w:val="auto"/>
        </w:rPr>
      </w:pPr>
      <w:r>
        <w:rPr>
          <w:rFonts w:ascii="Times New Roman" w:cs="Times New Roman" w:eastAsia="Times New Roman" w:hAnsi="Times New Roman"/>
          <w:sz w:val="18"/>
          <w:szCs w:val="18"/>
          <w:i w:val="1"/>
          <w:iCs w:val="1"/>
          <w:color w:val="auto"/>
        </w:rPr>
        <w:t>Non-Employee Director</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580" w:type="dxa"/>
            <w:vAlign w:val="bottom"/>
          </w:tcPr>
          <w:p>
            <w:pPr>
              <w:spacing w:after="0"/>
              <w:rPr>
                <w:sz w:val="17"/>
                <w:szCs w:val="17"/>
                <w:color w:val="auto"/>
              </w:rPr>
            </w:pPr>
          </w:p>
        </w:tc>
        <w:tc>
          <w:tcPr>
            <w:tcW w:w="6140" w:type="dxa"/>
            <w:vAlign w:val="bottom"/>
          </w:tcPr>
          <w:p>
            <w:pPr>
              <w:jc w:val="center"/>
              <w:ind w:right="1990"/>
              <w:spacing w:after="0"/>
              <w:rPr>
                <w:sz w:val="20"/>
                <w:szCs w:val="20"/>
                <w:color w:val="auto"/>
              </w:rPr>
            </w:pPr>
            <w:r>
              <w:rPr>
                <w:rFonts w:ascii="Times New Roman" w:cs="Times New Roman" w:eastAsia="Times New Roman" w:hAnsi="Times New Roman"/>
                <w:sz w:val="18"/>
                <w:szCs w:val="18"/>
                <w:b w:val="1"/>
                <w:bCs w:val="1"/>
                <w:color w:val="auto"/>
              </w:rPr>
              <w:t>INVIVYD, INC.</w:t>
            </w:r>
          </w:p>
        </w:tc>
      </w:tr>
      <w:tr>
        <w:trPr>
          <w:trHeight w:val="238"/>
        </w:trPr>
        <w:tc>
          <w:tcPr>
            <w:tcW w:w="3580" w:type="dxa"/>
            <w:vAlign w:val="bottom"/>
          </w:tcPr>
          <w:p>
            <w:pPr>
              <w:spacing w:after="0"/>
              <w:rPr>
                <w:sz w:val="20"/>
                <w:szCs w:val="20"/>
                <w:color w:val="auto"/>
              </w:rPr>
            </w:pPr>
          </w:p>
        </w:tc>
        <w:tc>
          <w:tcPr>
            <w:tcW w:w="6140" w:type="dxa"/>
            <w:vAlign w:val="bottom"/>
          </w:tcPr>
          <w:p>
            <w:pPr>
              <w:jc w:val="center"/>
              <w:ind w:right="2010"/>
              <w:spacing w:after="0"/>
              <w:rPr>
                <w:sz w:val="20"/>
                <w:szCs w:val="20"/>
                <w:color w:val="auto"/>
              </w:rPr>
            </w:pPr>
            <w:r>
              <w:rPr>
                <w:rFonts w:ascii="Times New Roman" w:cs="Times New Roman" w:eastAsia="Times New Roman" w:hAnsi="Times New Roman"/>
                <w:sz w:val="18"/>
                <w:szCs w:val="18"/>
                <w:b w:val="1"/>
                <w:bCs w:val="1"/>
                <w:color w:val="auto"/>
              </w:rPr>
              <w:t>2021 E</w:t>
            </w:r>
            <w:r>
              <w:rPr>
                <w:rFonts w:ascii="Times New Roman" w:cs="Times New Roman" w:eastAsia="Times New Roman" w:hAnsi="Times New Roman"/>
                <w:sz w:val="13"/>
                <w:szCs w:val="13"/>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3"/>
                <w:szCs w:val="13"/>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3"/>
                <w:szCs w:val="13"/>
                <w:b w:val="1"/>
                <w:bCs w:val="1"/>
                <w:color w:val="auto"/>
              </w:rPr>
              <w:t>LAN</w:t>
            </w:r>
          </w:p>
        </w:tc>
      </w:tr>
      <w:tr>
        <w:trPr>
          <w:trHeight w:val="432"/>
        </w:trPr>
        <w:tc>
          <w:tcPr>
            <w:tcW w:w="3580" w:type="dxa"/>
            <w:vAlign w:val="bottom"/>
          </w:tcPr>
          <w:p>
            <w:pPr>
              <w:spacing w:after="0"/>
              <w:rPr>
                <w:sz w:val="24"/>
                <w:szCs w:val="24"/>
                <w:color w:val="auto"/>
              </w:rPr>
            </w:pPr>
          </w:p>
        </w:tc>
        <w:tc>
          <w:tcPr>
            <w:tcW w:w="6140" w:type="dxa"/>
            <w:vAlign w:val="bottom"/>
          </w:tcPr>
          <w:p>
            <w:pPr>
              <w:jc w:val="center"/>
              <w:ind w:right="201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3"/>
                <w:szCs w:val="13"/>
                <w:b w:val="1"/>
                <w:bCs w:val="1"/>
                <w:color w:val="auto"/>
              </w:rPr>
              <w:t>OTICE</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3"/>
                <w:szCs w:val="13"/>
                <w:b w:val="1"/>
                <w:bCs w:val="1"/>
                <w:color w:val="auto"/>
              </w:rPr>
              <w:t>F</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3"/>
                <w:szCs w:val="13"/>
                <w:b w:val="1"/>
                <w:bCs w:val="1"/>
                <w:color w:val="auto"/>
              </w:rPr>
              <w:t>XERCISE</w:t>
            </w:r>
          </w:p>
        </w:tc>
      </w:tr>
      <w:tr>
        <w:trPr>
          <w:trHeight w:val="657"/>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INVIVYD, INC.</w:t>
            </w:r>
          </w:p>
        </w:tc>
        <w:tc>
          <w:tcPr>
            <w:tcW w:w="6140" w:type="dxa"/>
            <w:vAlign w:val="bottom"/>
          </w:tcPr>
          <w:p>
            <w:pPr>
              <w:spacing w:after="0"/>
              <w:rPr>
                <w:sz w:val="24"/>
                <w:szCs w:val="24"/>
                <w:color w:val="auto"/>
              </w:rPr>
            </w:pPr>
          </w:p>
        </w:tc>
      </w:tr>
      <w:tr>
        <w:trPr>
          <w:trHeight w:val="189"/>
        </w:trPr>
        <w:tc>
          <w:tcPr>
            <w:tcW w:w="35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1601 TRAPELO ROAD, SUITE 178</w:t>
            </w:r>
          </w:p>
        </w:tc>
        <w:tc>
          <w:tcPr>
            <w:tcW w:w="6140" w:type="dxa"/>
            <w:vAlign w:val="bottom"/>
          </w:tcPr>
          <w:p>
            <w:pPr>
              <w:spacing w:after="0"/>
              <w:rPr>
                <w:sz w:val="16"/>
                <w:szCs w:val="16"/>
                <w:color w:val="auto"/>
              </w:rPr>
            </w:pPr>
          </w:p>
        </w:tc>
      </w:tr>
      <w:tr>
        <w:trPr>
          <w:trHeight w:val="248"/>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WALTHAM, MA 02451</w:t>
            </w:r>
          </w:p>
        </w:tc>
        <w:tc>
          <w:tcPr>
            <w:tcW w:w="6140" w:type="dxa"/>
            <w:vAlign w:val="bottom"/>
          </w:tcPr>
          <w:p>
            <w:pPr>
              <w:ind w:left="4900"/>
              <w:spacing w:after="0"/>
              <w:rPr>
                <w:sz w:val="20"/>
                <w:szCs w:val="20"/>
                <w:color w:val="auto"/>
              </w:rPr>
            </w:pPr>
            <w:r>
              <w:rPr>
                <w:rFonts w:ascii="Times New Roman" w:cs="Times New Roman" w:eastAsia="Times New Roman" w:hAnsi="Times New Roman"/>
                <w:sz w:val="18"/>
                <w:szCs w:val="18"/>
                <w:color w:val="auto"/>
                <w:w w:val="97"/>
              </w:rPr>
              <w:t>Date of Exercise:</w:t>
            </w:r>
          </w:p>
        </w:tc>
      </w:tr>
    </w:tbl>
    <w:p>
      <w:pPr>
        <w:spacing w:after="0" w:line="194" w:lineRule="exact"/>
        <w:rPr>
          <w:sz w:val="20"/>
          <w:szCs w:val="20"/>
          <w:color w:val="auto"/>
        </w:rPr>
      </w:pPr>
    </w:p>
    <w:p>
      <w:pPr>
        <w:ind w:right="40" w:firstLine="509"/>
        <w:spacing w:after="0" w:line="251" w:lineRule="auto"/>
        <w:rPr>
          <w:sz w:val="20"/>
          <w:szCs w:val="20"/>
          <w:color w:val="auto"/>
        </w:rPr>
      </w:pPr>
      <w:r>
        <w:rPr>
          <w:rFonts w:ascii="Times New Roman" w:cs="Times New Roman" w:eastAsia="Times New Roman" w:hAnsi="Times New Roman"/>
          <w:sz w:val="18"/>
          <w:szCs w:val="18"/>
          <w:color w:val="auto"/>
        </w:rPr>
        <w:t>This constitutes notice to Invivyd,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that I elect to purchase the below number of shares of Common Stock of the Company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by exercising my Option for the price set forth below. Capitalized terms not explicitly defined in this Notice of Exercise but defined in the Stock Option Grant Notice, Stock Option Agreement or 2021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shall have the meanings set forth in the Stock Option Grant Notice, Stock Option Agreement or Plan, as applicable. Use of certain payment methods is subject to Company and/or Committee consent and certain additional requirements set forth in the Stock Option Agreement and the Plan.</w:t>
      </w:r>
    </w:p>
    <w:p>
      <w:pPr>
        <w:spacing w:after="0" w:line="200" w:lineRule="exact"/>
        <w:rPr>
          <w:sz w:val="20"/>
          <w:szCs w:val="20"/>
          <w:color w:val="auto"/>
        </w:rPr>
      </w:pPr>
    </w:p>
    <w:p>
      <w:pPr>
        <w:spacing w:after="0" w:line="2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Type of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25717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1">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744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Date of Grant:</w:t>
            </w:r>
          </w:p>
        </w:tc>
        <w:tc>
          <w:tcPr>
            <w:tcW w:w="38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Nonstatutory</w:t>
            </w:r>
          </w:p>
        </w:tc>
        <w:tc>
          <w:tcPr>
            <w:tcW w:w="0" w:type="dxa"/>
            <w:vAlign w:val="bottom"/>
          </w:tcPr>
          <w:p>
            <w:pPr>
              <w:spacing w:after="0"/>
              <w:rPr>
                <w:sz w:val="1"/>
                <w:szCs w:val="1"/>
                <w:color w:val="auto"/>
              </w:rPr>
            </w:pPr>
          </w:p>
        </w:tc>
      </w:tr>
      <w:tr>
        <w:trPr>
          <w:trHeight w:val="196"/>
        </w:trPr>
        <w:tc>
          <w:tcPr>
            <w:tcW w:w="7440" w:type="dxa"/>
            <w:vAlign w:val="bottom"/>
            <w:vMerge w:val="continue"/>
          </w:tcPr>
          <w:p>
            <w:pPr>
              <w:spacing w:after="0"/>
              <w:rPr>
                <w:sz w:val="17"/>
                <w:szCs w:val="17"/>
                <w:color w:val="auto"/>
              </w:rPr>
            </w:pPr>
          </w:p>
        </w:tc>
        <w:tc>
          <w:tcPr>
            <w:tcW w:w="3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Number of Shares as to which Option is exercised:</w:t>
            </w:r>
          </w:p>
        </w:tc>
        <w:tc>
          <w:tcPr>
            <w:tcW w:w="3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Certificates to be issued in name of:</w:t>
            </w:r>
          </w:p>
        </w:tc>
        <w:tc>
          <w:tcPr>
            <w:tcW w:w="3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exercise price:</w:t>
            </w:r>
          </w:p>
        </w:tc>
        <w:tc>
          <w:tcPr>
            <w:tcW w:w="3800" w:type="dxa"/>
            <w:vAlign w:val="bottom"/>
            <w:vMerge w:val="restart"/>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1"/>
        </w:trPr>
        <w:tc>
          <w:tcPr>
            <w:tcW w:w="7440" w:type="dxa"/>
            <w:vAlign w:val="bottom"/>
            <w:shd w:val="clear" w:color="auto" w:fill="CCEEFF"/>
          </w:tcPr>
          <w:p>
            <w:pPr>
              <w:spacing w:after="0"/>
              <w:rPr>
                <w:sz w:val="14"/>
                <w:szCs w:val="14"/>
                <w:color w:val="auto"/>
              </w:rPr>
            </w:pPr>
          </w:p>
        </w:tc>
        <w:tc>
          <w:tcPr>
            <w:tcW w:w="3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74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Cash, check, bank draft or money order delivered herewith:</w:t>
            </w:r>
          </w:p>
        </w:tc>
        <w:tc>
          <w:tcPr>
            <w:tcW w:w="3800" w:type="dxa"/>
            <w:vAlign w:val="bottom"/>
            <w:vMerge w:val="restart"/>
          </w:tcPr>
          <w:p>
            <w:pPr>
              <w:jc w:val="right"/>
              <w:ind w:right="13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1"/>
        </w:trPr>
        <w:tc>
          <w:tcPr>
            <w:tcW w:w="7440" w:type="dxa"/>
            <w:vAlign w:val="bottom"/>
          </w:tcPr>
          <w:p>
            <w:pPr>
              <w:spacing w:after="0"/>
              <w:rPr>
                <w:sz w:val="14"/>
                <w:szCs w:val="14"/>
                <w:color w:val="auto"/>
              </w:rPr>
            </w:pPr>
          </w:p>
        </w:tc>
        <w:tc>
          <w:tcPr>
            <w:tcW w:w="3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440" w:type="dxa"/>
            <w:vAlign w:val="bottom"/>
            <w:shd w:val="clear" w:color="auto" w:fill="CCEEFF"/>
          </w:tcPr>
          <w:p>
            <w:pPr>
              <w:ind w:left="880"/>
              <w:spacing w:after="0" w:line="170" w:lineRule="exact"/>
              <w:rPr>
                <w:sz w:val="20"/>
                <w:szCs w:val="20"/>
                <w:color w:val="auto"/>
              </w:rPr>
            </w:pPr>
            <w:r>
              <w:rPr>
                <w:rFonts w:ascii="Times New Roman" w:cs="Times New Roman" w:eastAsia="Times New Roman" w:hAnsi="Times New Roman"/>
                <w:sz w:val="18"/>
                <w:szCs w:val="18"/>
                <w:color w:val="auto"/>
              </w:rPr>
              <w:t>Value of</w:t>
            </w:r>
          </w:p>
        </w:tc>
        <w:tc>
          <w:tcPr>
            <w:tcW w:w="3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74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Shares delivered herewith:</w:t>
            </w:r>
          </w:p>
        </w:tc>
        <w:tc>
          <w:tcPr>
            <w:tcW w:w="380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74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Regulation T Program (cashless exercise)</w:t>
            </w:r>
          </w:p>
        </w:tc>
        <w:tc>
          <w:tcPr>
            <w:tcW w:w="3800" w:type="dxa"/>
            <w:vAlign w:val="bottom"/>
            <w:vMerge w:val="restart"/>
          </w:tcPr>
          <w:p>
            <w:pPr>
              <w:jc w:val="right"/>
              <w:ind w:right="13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1"/>
        </w:trPr>
        <w:tc>
          <w:tcPr>
            <w:tcW w:w="7440" w:type="dxa"/>
            <w:vAlign w:val="bottom"/>
          </w:tcPr>
          <w:p>
            <w:pPr>
              <w:spacing w:after="0"/>
              <w:rPr>
                <w:sz w:val="14"/>
                <w:szCs w:val="14"/>
                <w:color w:val="auto"/>
              </w:rPr>
            </w:pPr>
          </w:p>
        </w:tc>
        <w:tc>
          <w:tcPr>
            <w:tcW w:w="3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440" w:type="dxa"/>
            <w:vAlign w:val="bottom"/>
            <w:shd w:val="clear" w:color="auto" w:fill="CCEEFF"/>
          </w:tcPr>
          <w:p>
            <w:pPr>
              <w:ind w:left="880"/>
              <w:spacing w:after="0" w:line="170" w:lineRule="exact"/>
              <w:rPr>
                <w:sz w:val="20"/>
                <w:szCs w:val="20"/>
                <w:color w:val="auto"/>
              </w:rPr>
            </w:pPr>
            <w:r>
              <w:rPr>
                <w:rFonts w:ascii="Times New Roman" w:cs="Times New Roman" w:eastAsia="Times New Roman" w:hAnsi="Times New Roman"/>
                <w:sz w:val="18"/>
                <w:szCs w:val="18"/>
                <w:color w:val="auto"/>
              </w:rPr>
              <w:t>Value of</w:t>
            </w:r>
          </w:p>
        </w:tc>
        <w:tc>
          <w:tcPr>
            <w:tcW w:w="3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744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Shares pursuant to net exercise:</w:t>
            </w:r>
          </w:p>
        </w:tc>
        <w:tc>
          <w:tcPr>
            <w:tcW w:w="3800" w:type="dxa"/>
            <w:vAlign w:val="bottom"/>
            <w:tcBorders>
              <w:bottom w:val="single" w:sz="8" w:color="auto"/>
            </w:tcBorders>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By this exercise, I agree (i) to provide such additional documents as you may require pursuant to the terms of the Plan and (ii) to satisfy the tax withholding obligations, if any, relating to the exercise of this Option as set forth in the Stock Option Agreement.</w:t>
      </w:r>
    </w:p>
    <w:p>
      <w:pPr>
        <w:spacing w:after="0" w:line="200" w:lineRule="exact"/>
        <w:rPr>
          <w:sz w:val="20"/>
          <w:szCs w:val="20"/>
          <w:color w:val="auto"/>
        </w:rPr>
      </w:pPr>
    </w:p>
    <w:p>
      <w:pPr>
        <w:spacing w:after="0" w:line="25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283210</wp:posOffset>
            </wp:positionV>
            <wp:extent cx="2828925"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2">
                      <a:extLst>
                        <a:ext uri="{28A0092B-C50C-407E-A947-70E740481C1C}"/>
                      </a:extLst>
                    </a:blip>
                    <a:srcRect/>
                    <a:stretch>
                      <a:fillRect/>
                    </a:stretch>
                  </pic:blipFill>
                  <pic:spPr bwMode="auto">
                    <a:xfrm>
                      <a:off x="0" y="0"/>
                      <a:ext cx="282892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186" w:name="page187"/>
    <w:bookmarkEnd w:id="18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3"/>
          <w:szCs w:val="13"/>
          <w:b w:val="1"/>
          <w:bCs w:val="1"/>
          <w:color w:val="auto"/>
        </w:rPr>
        <w:t>SU</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3"/>
          <w:szCs w:val="13"/>
          <w:b w:val="1"/>
          <w:bCs w:val="1"/>
          <w:color w:val="auto"/>
        </w:rPr>
        <w:t>WARD</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3"/>
          <w:szCs w:val="13"/>
          <w:b w:val="1"/>
          <w:bCs w:val="1"/>
          <w:color w:val="auto"/>
        </w:rPr>
        <w:t>RANT</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3"/>
          <w:szCs w:val="13"/>
          <w:b w:val="1"/>
          <w:bCs w:val="1"/>
          <w:color w:val="auto"/>
        </w:rPr>
        <w:t>OTICE</w:t>
      </w: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(2021 E</w:t>
      </w:r>
      <w:r>
        <w:rPr>
          <w:rFonts w:ascii="Times New Roman" w:cs="Times New Roman" w:eastAsia="Times New Roman" w:hAnsi="Times New Roman"/>
          <w:sz w:val="13"/>
          <w:szCs w:val="13"/>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3"/>
          <w:szCs w:val="13"/>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3"/>
          <w:szCs w:val="13"/>
          <w:b w:val="1"/>
          <w:bCs w:val="1"/>
          <w:color w:val="auto"/>
        </w:rPr>
        <w:t>LAN</w:t>
      </w:r>
      <w:r>
        <w:rPr>
          <w:rFonts w:ascii="Times New Roman" w:cs="Times New Roman" w:eastAsia="Times New Roman" w:hAnsi="Times New Roman"/>
          <w:sz w:val="18"/>
          <w:szCs w:val="18"/>
          <w:b w:val="1"/>
          <w:bCs w:val="1"/>
          <w:color w:val="auto"/>
        </w:rPr>
        <w:t>)</w:t>
      </w:r>
    </w:p>
    <w:p>
      <w:pPr>
        <w:spacing w:after="0" w:line="201"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7"/>
          <w:szCs w:val="17"/>
          <w:color w:val="auto"/>
        </w:rPr>
        <w:t>Invivyd, Inc.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has awarded to you (the “</w:t>
      </w:r>
      <w:r>
        <w:rPr>
          <w:rFonts w:ascii="Times New Roman" w:cs="Times New Roman" w:eastAsia="Times New Roman" w:hAnsi="Times New Roman"/>
          <w:sz w:val="17"/>
          <w:szCs w:val="17"/>
          <w:b w:val="1"/>
          <w:bCs w:val="1"/>
          <w:i w:val="1"/>
          <w:iCs w:val="1"/>
          <w:color w:val="auto"/>
        </w:rPr>
        <w:t>Participant</w:t>
      </w:r>
      <w:r>
        <w:rPr>
          <w:rFonts w:ascii="Times New Roman" w:cs="Times New Roman" w:eastAsia="Times New Roman" w:hAnsi="Times New Roman"/>
          <w:sz w:val="17"/>
          <w:szCs w:val="17"/>
          <w:color w:val="auto"/>
        </w:rPr>
        <w:t>”) the number of restricted stock units specified and on the terms set forth below in consideration of your services (the “</w:t>
      </w:r>
      <w:r>
        <w:rPr>
          <w:rFonts w:ascii="Times New Roman" w:cs="Times New Roman" w:eastAsia="Times New Roman" w:hAnsi="Times New Roman"/>
          <w:sz w:val="17"/>
          <w:szCs w:val="17"/>
          <w:b w:val="1"/>
          <w:bCs w:val="1"/>
          <w:i w:val="1"/>
          <w:iCs w:val="1"/>
          <w:color w:val="auto"/>
        </w:rPr>
        <w:t>RSU Award</w:t>
      </w:r>
      <w:r>
        <w:rPr>
          <w:rFonts w:ascii="Times New Roman" w:cs="Times New Roman" w:eastAsia="Times New Roman" w:hAnsi="Times New Roman"/>
          <w:sz w:val="17"/>
          <w:szCs w:val="17"/>
          <w:color w:val="auto"/>
        </w:rPr>
        <w:t>”). Your RSU Award is subject to all of the terms and conditions as set forth herein and in the Invivyd, Inc. 2021 Equity Incentive Plan (the “</w:t>
      </w:r>
      <w:r>
        <w:rPr>
          <w:rFonts w:ascii="Times New Roman" w:cs="Times New Roman" w:eastAsia="Times New Roman" w:hAnsi="Times New Roman"/>
          <w:sz w:val="17"/>
          <w:szCs w:val="17"/>
          <w:b w:val="1"/>
          <w:bCs w:val="1"/>
          <w:i w:val="1"/>
          <w:iCs w:val="1"/>
          <w:color w:val="auto"/>
        </w:rPr>
        <w:t>Plan</w:t>
      </w:r>
      <w:r>
        <w:rPr>
          <w:rFonts w:ascii="Times New Roman" w:cs="Times New Roman" w:eastAsia="Times New Roman" w:hAnsi="Times New Roman"/>
          <w:sz w:val="17"/>
          <w:szCs w:val="17"/>
          <w:color w:val="auto"/>
        </w:rPr>
        <w:t>”) and the Award Agreement (the “</w:t>
      </w:r>
      <w:r>
        <w:rPr>
          <w:rFonts w:ascii="Times New Roman" w:cs="Times New Roman" w:eastAsia="Times New Roman" w:hAnsi="Times New Roman"/>
          <w:sz w:val="17"/>
          <w:szCs w:val="17"/>
          <w:b w:val="1"/>
          <w:bCs w:val="1"/>
          <w:i w:val="1"/>
          <w:iCs w:val="1"/>
          <w:color w:val="auto"/>
        </w:rPr>
        <w:t>Agreement</w:t>
      </w:r>
      <w:r>
        <w:rPr>
          <w:rFonts w:ascii="Times New Roman" w:cs="Times New Roman" w:eastAsia="Times New Roman" w:hAnsi="Times New Roman"/>
          <w:sz w:val="17"/>
          <w:szCs w:val="17"/>
          <w:color w:val="auto"/>
        </w:rPr>
        <w:t>”), which are attached hereto and incorporated herein in their entirety. Capitalized terms not explicitly defined herein but defined in the Plan or the Agreement shall have the meanings set forth in the Plan or the Agreement.</w:t>
      </w: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8890</wp:posOffset>
            </wp:positionV>
            <wp:extent cx="233172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4">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1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8890</wp:posOffset>
            </wp:positionV>
            <wp:extent cx="233172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5">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1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8890</wp:posOffset>
            </wp:positionV>
            <wp:extent cx="233172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6">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1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Number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8890</wp:posOffset>
            </wp:positionV>
            <wp:extent cx="233172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7">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tabs>
          <w:tab w:leader="none" w:pos="2060" w:val="left"/>
          <w:tab w:leader="none" w:pos="6580" w:val="left"/>
        </w:tabs>
        <w:rPr>
          <w:sz w:val="20"/>
          <w:szCs w:val="20"/>
          <w:color w:val="auto"/>
        </w:rPr>
      </w:pPr>
      <w:r>
        <w:rPr>
          <w:rFonts w:ascii="Times New Roman" w:cs="Times New Roman" w:eastAsia="Times New Roman" w:hAnsi="Times New Roman"/>
          <w:sz w:val="18"/>
          <w:szCs w:val="18"/>
          <w:b w:val="1"/>
          <w:bCs w:val="1"/>
          <w:color w:val="auto"/>
        </w:rPr>
        <w:t>Vesting Schedule: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1363345</wp:posOffset>
            </wp:positionH>
            <wp:positionV relativeFrom="paragraph">
              <wp:posOffset>-5080</wp:posOffset>
            </wp:positionV>
            <wp:extent cx="282765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8">
                      <a:extLst>
                        <a:ext uri="{28A0092B-C50C-407E-A947-70E740481C1C}"/>
                      </a:extLst>
                    </a:blip>
                    <a:srcRect/>
                    <a:stretch>
                      <a:fillRect/>
                    </a:stretch>
                  </pic:blipFill>
                  <pic:spPr bwMode="auto">
                    <a:xfrm>
                      <a:off x="0" y="0"/>
                      <a:ext cx="2827655" cy="8255"/>
                    </a:xfrm>
                    <a:prstGeom prst="rect">
                      <a:avLst/>
                    </a:prstGeom>
                    <a:noFill/>
                  </pic:spPr>
                </pic:pic>
              </a:graphicData>
            </a:graphic>
          </wp:anchor>
        </w:drawing>
      </w:r>
    </w:p>
    <w:p>
      <w:pPr>
        <w:spacing w:after="0" w:line="182"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Notwithstanding the foregoing, vesting shall terminate upon the Participant’s termination of Continuous Service.</w:t>
      </w:r>
    </w:p>
    <w:p>
      <w:pPr>
        <w:spacing w:after="0" w:line="200" w:lineRule="exact"/>
        <w:rPr>
          <w:sz w:val="20"/>
          <w:szCs w:val="20"/>
          <w:color w:val="auto"/>
        </w:rPr>
      </w:pPr>
    </w:p>
    <w:p>
      <w:pPr>
        <w:spacing w:after="0" w:line="210" w:lineRule="exact"/>
        <w:rPr>
          <w:sz w:val="20"/>
          <w:szCs w:val="20"/>
          <w:color w:val="auto"/>
        </w:rPr>
      </w:pPr>
    </w:p>
    <w:p>
      <w:pPr>
        <w:ind w:left="2080" w:right="240" w:hanging="2065"/>
        <w:spacing w:after="0" w:line="250" w:lineRule="auto"/>
        <w:tabs>
          <w:tab w:leader="none" w:pos="2060" w:val="left"/>
        </w:tabs>
        <w:rPr>
          <w:sz w:val="20"/>
          <w:szCs w:val="20"/>
          <w:color w:val="auto"/>
        </w:rPr>
      </w:pPr>
      <w:r>
        <w:rPr>
          <w:rFonts w:ascii="Times New Roman" w:cs="Times New Roman" w:eastAsia="Times New Roman" w:hAnsi="Times New Roman"/>
          <w:sz w:val="18"/>
          <w:szCs w:val="18"/>
          <w:b w:val="1"/>
          <w:bCs w:val="1"/>
          <w:color w:val="auto"/>
        </w:rPr>
        <w:t>Issuance Schedule:</w:t>
      </w:r>
      <w:r>
        <w:rPr>
          <w:sz w:val="20"/>
          <w:szCs w:val="20"/>
          <w:color w:val="auto"/>
        </w:rPr>
        <w:tab/>
      </w:r>
      <w:r>
        <w:rPr>
          <w:rFonts w:ascii="Times New Roman" w:cs="Times New Roman" w:eastAsia="Times New Roman" w:hAnsi="Times New Roman"/>
          <w:sz w:val="18"/>
          <w:szCs w:val="18"/>
          <w:color w:val="auto"/>
        </w:rPr>
        <w:t>One share of Common Stock will be issued at the time set forth in Section 5 of the Agreement for each restricted stock unit which vests.</w:t>
      </w:r>
    </w:p>
    <w:p>
      <w:pPr>
        <w:spacing w:after="0" w:line="190" w:lineRule="exact"/>
        <w:rPr>
          <w:sz w:val="20"/>
          <w:szCs w:val="20"/>
          <w:color w:val="auto"/>
        </w:rPr>
      </w:pPr>
    </w:p>
    <w:p>
      <w:pPr>
        <w:ind w:right="560"/>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Participant Acknowledgements: </w:t>
      </w:r>
      <w:r>
        <w:rPr>
          <w:rFonts w:ascii="Times New Roman" w:cs="Times New Roman" w:eastAsia="Times New Roman" w:hAnsi="Times New Roman"/>
          <w:sz w:val="18"/>
          <w:szCs w:val="18"/>
          <w:color w:val="auto"/>
        </w:rPr>
        <w:t>By your signature below or by electronic acceptance or authentication in a form authorized by the Company,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understand and agree that:</w:t>
      </w:r>
    </w:p>
    <w:p>
      <w:pPr>
        <w:spacing w:after="0" w:line="140" w:lineRule="exact"/>
        <w:rPr>
          <w:sz w:val="20"/>
          <w:szCs w:val="20"/>
          <w:color w:val="auto"/>
        </w:rPr>
      </w:pPr>
    </w:p>
    <w:p>
      <w:pPr>
        <w:ind w:left="1040" w:hanging="452"/>
        <w:spacing w:after="0" w:line="233" w:lineRule="auto"/>
        <w:tabs>
          <w:tab w:leader="none" w:pos="104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 Award is governed by this RSU Award Grant Notice (the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and the provisions of the Plan and the Agreement, all of which are made a part of this document. Unless otherwise provided in the Plan, this Grant Notice and the Agreement (together, the “</w:t>
      </w:r>
      <w:r>
        <w:rPr>
          <w:rFonts w:ascii="Times New Roman" w:cs="Times New Roman" w:eastAsia="Times New Roman" w:hAnsi="Times New Roman"/>
          <w:sz w:val="18"/>
          <w:szCs w:val="18"/>
          <w:b w:val="1"/>
          <w:bCs w:val="1"/>
          <w:i w:val="1"/>
          <w:iCs w:val="1"/>
          <w:color w:val="auto"/>
        </w:rPr>
        <w:t>RSU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may not be modified, amended or revised except in a writing signed by you and a duly authorized officer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w:t>
      </w:r>
    </w:p>
    <w:p>
      <w:pPr>
        <w:spacing w:after="0" w:line="199" w:lineRule="exact"/>
        <w:rPr>
          <w:rFonts w:ascii="Times New Roman" w:cs="Times New Roman" w:eastAsia="Times New Roman" w:hAnsi="Times New Roman"/>
          <w:sz w:val="18"/>
          <w:szCs w:val="18"/>
          <w:color w:val="auto"/>
        </w:rPr>
      </w:pPr>
    </w:p>
    <w:p>
      <w:pPr>
        <w:ind w:left="1040" w:right="200" w:hanging="452"/>
        <w:spacing w:after="0" w:line="279" w:lineRule="auto"/>
        <w:tabs>
          <w:tab w:leader="none" w:pos="1040" w:val="left"/>
        </w:tabs>
        <w:numPr>
          <w:ilvl w:val="0"/>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have read and are familiar with the provisions of the Plan, the RSU Award Agreement and the Prospectus. In the event of any conflict between the provisions in the RSU Award Agreement, or the Prospectus and the terms of the Plan, the terms of the Plan shall control.</w:t>
      </w:r>
    </w:p>
    <w:p>
      <w:pPr>
        <w:spacing w:after="0" w:line="153" w:lineRule="exact"/>
        <w:rPr>
          <w:rFonts w:ascii="Times New Roman" w:cs="Times New Roman" w:eastAsia="Times New Roman" w:hAnsi="Times New Roman"/>
          <w:sz w:val="17"/>
          <w:szCs w:val="17"/>
          <w:color w:val="auto"/>
        </w:rPr>
      </w:pPr>
    </w:p>
    <w:p>
      <w:pPr>
        <w:jc w:val="both"/>
        <w:ind w:left="1040" w:right="160" w:hanging="452"/>
        <w:spacing w:after="0" w:line="247" w:lineRule="auto"/>
        <w:tabs>
          <w:tab w:leader="none" w:pos="1040" w:val="left"/>
        </w:tabs>
        <w:numPr>
          <w:ilvl w:val="0"/>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RSU Award Agreement sets forth the entire understanding between you and the Company regarding the acquisition of Common Stock and supersedes all prior oral and written agreements, promises and/or representations on that subject with the exception of: (i) other equity awards previously granted to you, and (ii) any written employment agreement, offer letter, severance agreement, written severance plan or policy, or other written agreement between the Company and you in each case that specifies the terms that should govern this RSU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36" w:right="379" w:bottom="1440" w:gutter="0" w:footer="0" w:header="0"/>
        </w:sectPr>
      </w:pPr>
    </w:p>
    <w:bookmarkStart w:id="187" w:name="page188"/>
    <w:bookmarkEnd w:id="187"/>
    <w:tbl>
      <w:tblPr>
        <w:tblLayout w:type="fixed"/>
        <w:tblInd w:w="0" w:type="dxa"/>
        <w:tblCellMar>
          <w:top w:w="0" w:type="dxa"/>
          <w:left w:w="0" w:type="dxa"/>
          <w:bottom w:w="0" w:type="dxa"/>
          <w:right w:w="0" w:type="dxa"/>
        </w:tblCellMar>
      </w:tblPr>
      <w:tr>
        <w:trPr>
          <w:trHeight w:val="238"/>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INVIVYD, INC.</w:t>
            </w:r>
          </w:p>
        </w:tc>
        <w:tc>
          <w:tcPr>
            <w:tcW w:w="5900" w:type="dxa"/>
            <w:vAlign w:val="bottom"/>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3"/>
                <w:szCs w:val="13"/>
                <w:b w:val="1"/>
                <w:bCs w:val="1"/>
                <w:color w:val="auto"/>
              </w:rPr>
              <w:t>ARTICIPANT</w:t>
            </w:r>
            <w:r>
              <w:rPr>
                <w:rFonts w:ascii="Times New Roman" w:cs="Times New Roman" w:eastAsia="Times New Roman" w:hAnsi="Times New Roman"/>
                <w:sz w:val="18"/>
                <w:szCs w:val="18"/>
                <w:b w:val="1"/>
                <w:bCs w:val="1"/>
                <w:color w:val="auto"/>
              </w:rPr>
              <w:t>:</w:t>
            </w:r>
          </w:p>
        </w:tc>
        <w:tc>
          <w:tcPr>
            <w:tcW w:w="20" w:type="dxa"/>
            <w:vAlign w:val="bottom"/>
          </w:tcPr>
          <w:p>
            <w:pPr>
              <w:spacing w:after="0"/>
              <w:rPr>
                <w:sz w:val="20"/>
                <w:szCs w:val="20"/>
                <w:color w:val="auto"/>
              </w:rPr>
            </w:pPr>
          </w:p>
        </w:tc>
      </w:tr>
      <w:tr>
        <w:trPr>
          <w:trHeight w:val="608"/>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8"/>
        </w:trPr>
        <w:tc>
          <w:tcPr>
            <w:tcW w:w="660" w:type="dxa"/>
            <w:vAlign w:val="bottom"/>
          </w:tcPr>
          <w:p>
            <w:pPr>
              <w:spacing w:after="0"/>
              <w:rPr>
                <w:sz w:val="24"/>
                <w:szCs w:val="24"/>
                <w:color w:val="auto"/>
              </w:rPr>
            </w:pPr>
          </w:p>
        </w:tc>
        <w:tc>
          <w:tcPr>
            <w:tcW w:w="4660" w:type="dxa"/>
            <w:vAlign w:val="bottom"/>
            <w:tcBorders>
              <w:top w:val="single" w:sz="8" w:color="auto"/>
            </w:tcBorders>
          </w:tcPr>
          <w:p>
            <w:pPr>
              <w:ind w:left="1980"/>
              <w:spacing w:after="0"/>
              <w:rPr>
                <w:sz w:val="20"/>
                <w:szCs w:val="20"/>
                <w:color w:val="auto"/>
              </w:rPr>
            </w:pPr>
            <w:r>
              <w:rPr>
                <w:rFonts w:ascii="Times New Roman" w:cs="Times New Roman" w:eastAsia="Times New Roman" w:hAnsi="Times New Roman"/>
                <w:sz w:val="18"/>
                <w:szCs w:val="18"/>
                <w:color w:val="auto"/>
              </w:rPr>
              <w:t>Signature</w:t>
            </w:r>
          </w:p>
        </w:tc>
        <w:tc>
          <w:tcPr>
            <w:tcW w:w="64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4640" w:type="dxa"/>
            <w:vAlign w:val="bottom"/>
            <w:tcBorders>
              <w:top w:val="single" w:sz="8" w:color="auto"/>
            </w:tcBorders>
          </w:tcPr>
          <w:p>
            <w:pPr>
              <w:ind w:left="1980"/>
              <w:spacing w:after="0"/>
              <w:rPr>
                <w:sz w:val="20"/>
                <w:szCs w:val="20"/>
                <w:color w:val="auto"/>
              </w:rPr>
            </w:pPr>
            <w:r>
              <w:rPr>
                <w:rFonts w:ascii="Times New Roman" w:cs="Times New Roman" w:eastAsia="Times New Roman" w:hAnsi="Times New Roman"/>
                <w:sz w:val="18"/>
                <w:szCs w:val="18"/>
                <w:color w:val="auto"/>
              </w:rPr>
              <w:t>Signature</w:t>
            </w:r>
          </w:p>
        </w:tc>
        <w:tc>
          <w:tcPr>
            <w:tcW w:w="20" w:type="dxa"/>
            <w:vAlign w:val="bottom"/>
          </w:tcPr>
          <w:p>
            <w:pPr>
              <w:spacing w:after="0"/>
              <w:rPr>
                <w:sz w:val="24"/>
                <w:szCs w:val="24"/>
                <w:color w:val="auto"/>
              </w:rPr>
            </w:pPr>
          </w:p>
        </w:tc>
      </w:tr>
      <w:tr>
        <w:trPr>
          <w:trHeight w:val="608"/>
        </w:trPr>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660" w:type="dxa"/>
            <w:vAlign w:val="bottom"/>
            <w:tcBorders>
              <w:bottom w:val="single" w:sz="8" w:color="auto"/>
            </w:tcBorders>
          </w:tcPr>
          <w:p>
            <w:pPr>
              <w:spacing w:after="0"/>
              <w:rPr>
                <w:sz w:val="24"/>
                <w:szCs w:val="24"/>
                <w:color w:val="auto"/>
              </w:rPr>
            </w:pPr>
          </w:p>
        </w:tc>
        <w:tc>
          <w:tcPr>
            <w:tcW w:w="12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Date:</w:t>
            </w:r>
          </w:p>
        </w:tc>
        <w:tc>
          <w:tcPr>
            <w:tcW w:w="46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601"/>
        </w:trPr>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4660" w:type="dxa"/>
            <w:vAlign w:val="bottom"/>
            <w:tcBorders>
              <w:bottom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15"/>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3"/>
                <w:szCs w:val="13"/>
                <w:b w:val="1"/>
                <w:bCs w:val="1"/>
                <w:color w:val="auto"/>
              </w:rPr>
              <w:t>TTACHMENTS</w:t>
            </w:r>
            <w:r>
              <w:rPr>
                <w:rFonts w:ascii="Times New Roman" w:cs="Times New Roman" w:eastAsia="Times New Roman" w:hAnsi="Times New Roman"/>
                <w:sz w:val="18"/>
                <w:szCs w:val="18"/>
                <w:color w:val="auto"/>
              </w:rPr>
              <w:t>: Award Agreement, 2021 Equity Incentive Plan</w:t>
            </w: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20"/>
        </w:trPr>
        <w:tc>
          <w:tcPr>
            <w:tcW w:w="66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88" w:name="page189"/>
    <w:bookmarkEnd w:id="188"/>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3"/>
          <w:szCs w:val="13"/>
          <w:b w:val="1"/>
          <w:bCs w:val="1"/>
          <w:color w:val="auto"/>
        </w:rPr>
        <w:t>TTACHMENT</w:t>
      </w:r>
      <w:r>
        <w:rPr>
          <w:rFonts w:ascii="Times New Roman" w:cs="Times New Roman" w:eastAsia="Times New Roman" w:hAnsi="Times New Roman"/>
          <w:sz w:val="18"/>
          <w:szCs w:val="18"/>
          <w:b w:val="1"/>
          <w:bCs w:val="1"/>
          <w:color w:val="auto"/>
        </w:rPr>
        <w:t xml:space="preserve"> I</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3"/>
          <w:szCs w:val="13"/>
          <w:b w:val="1"/>
          <w:bCs w:val="1"/>
          <w:color w:val="auto"/>
        </w:rPr>
        <w:t>WARD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3"/>
          <w:szCs w:val="13"/>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317500</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36" w:right="1440" w:bottom="1440" w:gutter="0" w:footer="0" w:header="0"/>
        </w:sectPr>
      </w:pPr>
    </w:p>
    <w:bookmarkStart w:id="189" w:name="page190"/>
    <w:bookmarkEnd w:id="18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AWARD AGREEMENT</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(2021 EQUITY INCENTIVE PLAN)</w:t>
      </w:r>
    </w:p>
    <w:p>
      <w:pPr>
        <w:spacing w:after="0" w:line="201" w:lineRule="exact"/>
        <w:rPr>
          <w:sz w:val="20"/>
          <w:szCs w:val="20"/>
          <w:color w:val="auto"/>
        </w:rPr>
      </w:pPr>
    </w:p>
    <w:p>
      <w:pPr>
        <w:ind w:right="140" w:firstLine="509"/>
        <w:spacing w:after="0" w:line="247" w:lineRule="auto"/>
        <w:rPr>
          <w:sz w:val="20"/>
          <w:szCs w:val="20"/>
          <w:color w:val="auto"/>
        </w:rPr>
      </w:pPr>
      <w:r>
        <w:rPr>
          <w:rFonts w:ascii="Times New Roman" w:cs="Times New Roman" w:eastAsia="Times New Roman" w:hAnsi="Times New Roman"/>
          <w:sz w:val="18"/>
          <w:szCs w:val="18"/>
          <w:color w:val="auto"/>
        </w:rPr>
        <w:t>As reflected by your RSU Award Grant Notice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Invivyd,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granted you a RSU Award under the Invivyd, Inc. 2021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for the number of restricted stock units as indicated in your Grant Notice (the “</w:t>
      </w:r>
      <w:r>
        <w:rPr>
          <w:rFonts w:ascii="Times New Roman" w:cs="Times New Roman" w:eastAsia="Times New Roman" w:hAnsi="Times New Roman"/>
          <w:sz w:val="18"/>
          <w:szCs w:val="18"/>
          <w:b w:val="1"/>
          <w:bCs w:val="1"/>
          <w:i w:val="1"/>
          <w:iCs w:val="1"/>
          <w:color w:val="auto"/>
        </w:rPr>
        <w:t>RSU Award</w:t>
      </w:r>
      <w:r>
        <w:rPr>
          <w:rFonts w:ascii="Times New Roman" w:cs="Times New Roman" w:eastAsia="Times New Roman" w:hAnsi="Times New Roman"/>
          <w:sz w:val="18"/>
          <w:szCs w:val="18"/>
          <w:color w:val="auto"/>
        </w:rPr>
        <w:t>”). The terms of your RSU Award as specified in this Award Agreement for your RSU Award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and the Grant Notice constitute your “</w:t>
      </w:r>
      <w:r>
        <w:rPr>
          <w:rFonts w:ascii="Times New Roman" w:cs="Times New Roman" w:eastAsia="Times New Roman" w:hAnsi="Times New Roman"/>
          <w:sz w:val="18"/>
          <w:szCs w:val="18"/>
          <w:b w:val="1"/>
          <w:bCs w:val="1"/>
          <w:i w:val="1"/>
          <w:iCs w:val="1"/>
          <w:color w:val="auto"/>
        </w:rPr>
        <w:t>RSU Award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Defined terms not explicitly defined in this Agreement but defined in the Grant Notice or the Plan shall have the same definitions as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Grant Notice or Plan, as applicable.</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general terms applicable to your RSU Award are as follows:</w:t>
      </w:r>
    </w:p>
    <w:p>
      <w:pPr>
        <w:spacing w:after="0" w:line="100" w:lineRule="exact"/>
        <w:rPr>
          <w:sz w:val="20"/>
          <w:szCs w:val="20"/>
          <w:color w:val="auto"/>
        </w:rPr>
      </w:pPr>
    </w:p>
    <w:p>
      <w:pPr>
        <w:ind w:left="700" w:hanging="183"/>
        <w:spacing w:after="0"/>
        <w:tabs>
          <w:tab w:leader="none" w:pos="700" w:val="left"/>
        </w:tabs>
        <w:numPr>
          <w:ilvl w:val="0"/>
          <w:numId w:val="1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3"/>
          <w:szCs w:val="13"/>
          <w:b w:val="1"/>
          <w:bCs w:val="1"/>
          <w:color w:val="auto"/>
        </w:rPr>
        <w:t>OVERNING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3"/>
          <w:szCs w:val="13"/>
          <w:b w:val="1"/>
          <w:bCs w:val="1"/>
          <w:color w:val="auto"/>
        </w:rPr>
        <w:t>LAN</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3"/>
          <w:szCs w:val="13"/>
          <w:b w:val="1"/>
          <w:bCs w:val="1"/>
          <w:color w:val="auto"/>
        </w:rPr>
        <w:t>OCUMENT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RSU Award is subject to all the provisions of the Plan, including but not limited to the provisions in:</w:t>
      </w:r>
    </w:p>
    <w:p>
      <w:pPr>
        <w:spacing w:after="0" w:line="121" w:lineRule="exact"/>
        <w:rPr>
          <w:rFonts w:ascii="Times New Roman" w:cs="Times New Roman" w:eastAsia="Times New Roman" w:hAnsi="Times New Roman"/>
          <w:sz w:val="18"/>
          <w:szCs w:val="18"/>
          <w:b w:val="1"/>
          <w:bCs w:val="1"/>
          <w:color w:val="auto"/>
        </w:rPr>
      </w:pPr>
    </w:p>
    <w:p>
      <w:pPr>
        <w:ind w:left="1400" w:hanging="246"/>
        <w:spacing w:after="0"/>
        <w:tabs>
          <w:tab w:leader="none" w:pos="1400" w:val="left"/>
        </w:tabs>
        <w:numPr>
          <w:ilvl w:val="1"/>
          <w:numId w:val="1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6 of the Plan regarding the impact of a Capitalization Adjustment, dissolution, liquidation, or Corporate Transaction on your</w:t>
      </w:r>
    </w:p>
    <w:p>
      <w:pPr>
        <w:spacing w:after="0" w:line="1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RSU Award;</w:t>
      </w:r>
    </w:p>
    <w:p>
      <w:pPr>
        <w:spacing w:after="0" w:line="83" w:lineRule="exact"/>
        <w:rPr>
          <w:rFonts w:ascii="Times New Roman" w:cs="Times New Roman" w:eastAsia="Times New Roman" w:hAnsi="Times New Roman"/>
          <w:sz w:val="18"/>
          <w:szCs w:val="18"/>
          <w:b w:val="1"/>
          <w:bCs w:val="1"/>
          <w:color w:val="auto"/>
        </w:rPr>
      </w:pPr>
    </w:p>
    <w:p>
      <w:pPr>
        <w:ind w:left="1420" w:hanging="266"/>
        <w:spacing w:after="0"/>
        <w:tabs>
          <w:tab w:leader="none" w:pos="1420" w:val="left"/>
        </w:tabs>
        <w:numPr>
          <w:ilvl w:val="1"/>
          <w:numId w:val="1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9(e) of the Plan regarding the Company’s retained rights to terminate your Continuous Service notwithstanding the grant of the</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RSU Award; and</w:t>
      </w:r>
    </w:p>
    <w:p>
      <w:pPr>
        <w:spacing w:after="0" w:line="85" w:lineRule="exact"/>
        <w:rPr>
          <w:rFonts w:ascii="Times New Roman" w:cs="Times New Roman" w:eastAsia="Times New Roman" w:hAnsi="Times New Roman"/>
          <w:sz w:val="18"/>
          <w:szCs w:val="18"/>
          <w:b w:val="1"/>
          <w:bCs w:val="1"/>
          <w:color w:val="auto"/>
        </w:rPr>
      </w:pPr>
    </w:p>
    <w:p>
      <w:pPr>
        <w:ind w:left="1400" w:hanging="246"/>
        <w:spacing w:after="0"/>
        <w:tabs>
          <w:tab w:leader="none" w:pos="1400" w:val="left"/>
        </w:tabs>
        <w:numPr>
          <w:ilvl w:val="1"/>
          <w:numId w:val="1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8 of the Plan regarding the tax consequences of your RSU Award.</w:t>
      </w:r>
    </w:p>
    <w:p>
      <w:pPr>
        <w:spacing w:after="0" w:line="212"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Your RSU Award is further subject to all interpretations, amendments, rules and regulations, which may from time to time be promulgated and adopted pursuant to the Plan. In the event of any conflict between the RSU Award Agreement and the provisions of the Plan, the provisions of the Plan shall control.</w:t>
      </w:r>
    </w:p>
    <w:p>
      <w:pPr>
        <w:spacing w:after="0" w:line="165" w:lineRule="exact"/>
        <w:rPr>
          <w:sz w:val="20"/>
          <w:szCs w:val="20"/>
          <w:color w:val="auto"/>
        </w:rPr>
      </w:pPr>
    </w:p>
    <w:p>
      <w:pPr>
        <w:ind w:right="40" w:firstLine="517"/>
        <w:spacing w:after="0" w:line="248" w:lineRule="auto"/>
        <w:tabs>
          <w:tab w:leader="none" w:pos="689" w:val="left"/>
        </w:tabs>
        <w:numPr>
          <w:ilvl w:val="0"/>
          <w:numId w:val="1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3"/>
          <w:szCs w:val="13"/>
          <w:b w:val="1"/>
          <w:bCs w:val="1"/>
          <w:color w:val="auto"/>
        </w:rPr>
        <w:t>RANT</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3"/>
          <w:szCs w:val="13"/>
          <w:b w:val="1"/>
          <w:bCs w:val="1"/>
          <w:color w:val="auto"/>
        </w:rPr>
        <w:t>F</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3"/>
          <w:szCs w:val="13"/>
          <w:b w:val="1"/>
          <w:bCs w:val="1"/>
          <w:color w:val="auto"/>
        </w:rPr>
        <w:t>HE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3"/>
          <w:szCs w:val="13"/>
          <w:b w:val="1"/>
          <w:bCs w:val="1"/>
          <w:color w:val="auto"/>
        </w:rPr>
        <w:t>SU</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3"/>
          <w:szCs w:val="13"/>
          <w:b w:val="1"/>
          <w:bCs w:val="1"/>
          <w:color w:val="auto"/>
        </w:rPr>
        <w:t>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RSU Award represents your right to be issued on a future date the number of shares of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that is equal to the number of restricted stock units indicated in the Grant Notice as modified to reflect any Capitalization Adjustment and subject to your satisfaction of the vesting conditions set forth therein (the “</w:t>
      </w:r>
      <w:r>
        <w:rPr>
          <w:rFonts w:ascii="Times New Roman" w:cs="Times New Roman" w:eastAsia="Times New Roman" w:hAnsi="Times New Roman"/>
          <w:sz w:val="18"/>
          <w:szCs w:val="18"/>
          <w:b w:val="1"/>
          <w:bCs w:val="1"/>
          <w:i w:val="1"/>
          <w:iCs w:val="1"/>
          <w:color w:val="auto"/>
        </w:rPr>
        <w:t>Restricted Stock Units</w:t>
      </w:r>
      <w:r>
        <w:rPr>
          <w:rFonts w:ascii="Times New Roman" w:cs="Times New Roman" w:eastAsia="Times New Roman" w:hAnsi="Times New Roman"/>
          <w:sz w:val="18"/>
          <w:szCs w:val="18"/>
          <w:color w:val="auto"/>
        </w:rPr>
        <w:t>”). Any additional Restricted Stock Units that become subject to the RSU Award pursuant to Capitalization Adjustments as set forth in the Plan and the provisions of Section 3 below, if any, shall be subject, in a manner determined by the Board, to the same forfeiture restrictions, restrictions on transferability, and time and manner of delivery as applicable to the other Restricted Stock Units covered by your RSU Award.</w:t>
      </w:r>
    </w:p>
    <w:p>
      <w:pPr>
        <w:spacing w:after="0" w:line="174" w:lineRule="exact"/>
        <w:rPr>
          <w:rFonts w:ascii="Times New Roman" w:cs="Times New Roman" w:eastAsia="Times New Roman" w:hAnsi="Times New Roman"/>
          <w:sz w:val="18"/>
          <w:szCs w:val="18"/>
          <w:b w:val="1"/>
          <w:bCs w:val="1"/>
          <w:color w:val="auto"/>
        </w:rPr>
      </w:pPr>
    </w:p>
    <w:p>
      <w:pPr>
        <w:ind w:firstLine="517"/>
        <w:spacing w:after="0" w:line="260" w:lineRule="auto"/>
        <w:tabs>
          <w:tab w:leader="none" w:pos="689" w:val="left"/>
        </w:tabs>
        <w:numPr>
          <w:ilvl w:val="0"/>
          <w:numId w:val="1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3"/>
          <w:szCs w:val="13"/>
          <w:b w:val="1"/>
          <w:bCs w:val="1"/>
          <w:color w:val="auto"/>
        </w:rPr>
        <w:t>IVIDENDS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shall receive no benefit or adjustment to this RSU Award with respect to any cash dividend, stock dividend or other distribution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does not result from a Capitalization Adjustment; provided, however, that this sentence will not apply with respect to any shares of Common Stock that are delivered to you in connection with your RSU Award after such shares have been delivered to you.</w:t>
      </w:r>
    </w:p>
    <w:p>
      <w:pPr>
        <w:spacing w:after="0" w:line="164" w:lineRule="exact"/>
        <w:rPr>
          <w:rFonts w:ascii="Times New Roman" w:cs="Times New Roman" w:eastAsia="Times New Roman" w:hAnsi="Times New Roman"/>
          <w:sz w:val="18"/>
          <w:szCs w:val="18"/>
          <w:b w:val="1"/>
          <w:bCs w:val="1"/>
          <w:color w:val="auto"/>
        </w:rPr>
      </w:pPr>
    </w:p>
    <w:p>
      <w:pPr>
        <w:ind w:firstLine="517"/>
        <w:spacing w:after="0" w:line="246" w:lineRule="auto"/>
        <w:tabs>
          <w:tab w:leader="none" w:pos="689" w:val="left"/>
        </w:tabs>
        <w:numPr>
          <w:ilvl w:val="0"/>
          <w:numId w:val="1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3"/>
          <w:szCs w:val="13"/>
          <w:b w:val="1"/>
          <w:bCs w:val="1"/>
          <w:color w:val="auto"/>
        </w:rPr>
        <w:t>ITHHOLDING</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3"/>
          <w:szCs w:val="13"/>
          <w:b w:val="1"/>
          <w:bCs w:val="1"/>
          <w:color w:val="auto"/>
        </w:rPr>
        <w:t>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further provided in Section 8 of the Plan, you hereby authorize withholding from payroll and any other amounts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payable to you, and otherwise agree to make adequate provision for, any sums required to satisfy the federal, state, local and foreign tax withholding obligations, if any, which arise in connection with your RSU Award (the “</w:t>
      </w:r>
      <w:r>
        <w:rPr>
          <w:rFonts w:ascii="Times New Roman" w:cs="Times New Roman" w:eastAsia="Times New Roman" w:hAnsi="Times New Roman"/>
          <w:sz w:val="18"/>
          <w:szCs w:val="18"/>
          <w:b w:val="1"/>
          <w:bCs w:val="1"/>
          <w:i w:val="1"/>
          <w:iCs w:val="1"/>
          <w:color w:val="auto"/>
        </w:rPr>
        <w:t>Withholding Obligation</w:t>
      </w:r>
      <w:r>
        <w:rPr>
          <w:rFonts w:ascii="Times New Roman" w:cs="Times New Roman" w:eastAsia="Times New Roman" w:hAnsi="Times New Roman"/>
          <w:sz w:val="18"/>
          <w:szCs w:val="18"/>
          <w:color w:val="auto"/>
        </w:rPr>
        <w:t>”) in accordance with the withholding procedures established by the Company. Unless the Withholding Obligation is satisfied, the Company shall have no obligation to deliver to you any Common Stock in respect of the RSU Award. In the event the Withholding Obligation of the Company arises prior to the delivery to you of Common Stock or it is determined after the delivery of Common Stock to you that the amount of the Withholding Obligation was greater than the amount withheld by the Company, you agree to indemnify and hold the Company harmless from any failure by the Company to withhold the proper amount.</w:t>
      </w:r>
    </w:p>
    <w:p>
      <w:pPr>
        <w:spacing w:after="0" w:line="175" w:lineRule="exact"/>
        <w:rPr>
          <w:rFonts w:ascii="Times New Roman" w:cs="Times New Roman" w:eastAsia="Times New Roman" w:hAnsi="Times New Roman"/>
          <w:sz w:val="18"/>
          <w:szCs w:val="18"/>
          <w:b w:val="1"/>
          <w:bCs w:val="1"/>
          <w:color w:val="auto"/>
        </w:rPr>
      </w:pPr>
    </w:p>
    <w:p>
      <w:pPr>
        <w:ind w:left="700" w:hanging="183"/>
        <w:spacing w:after="0"/>
        <w:tabs>
          <w:tab w:leader="none" w:pos="700" w:val="left"/>
        </w:tabs>
        <w:numPr>
          <w:ilvl w:val="0"/>
          <w:numId w:val="1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3"/>
          <w:szCs w:val="13"/>
          <w:b w:val="1"/>
          <w:bCs w:val="1"/>
          <w:color w:val="auto"/>
        </w:rPr>
        <w:t>ATE</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3"/>
          <w:szCs w:val="13"/>
          <w:b w:val="1"/>
          <w:bCs w:val="1"/>
          <w:color w:val="auto"/>
        </w:rPr>
        <w:t>F</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3"/>
          <w:szCs w:val="13"/>
          <w:b w:val="1"/>
          <w:bCs w:val="1"/>
          <w:color w:val="auto"/>
        </w:rPr>
        <w:t>SSUANCE</w:t>
      </w:r>
      <w:r>
        <w:rPr>
          <w:rFonts w:ascii="Times New Roman" w:cs="Times New Roman" w:eastAsia="Times New Roman" w:hAnsi="Times New Roman"/>
          <w:sz w:val="18"/>
          <w:szCs w:val="18"/>
          <w:b w:val="1"/>
          <w:bCs w:val="1"/>
          <w:color w:val="auto"/>
        </w:rPr>
        <w:t>.</w:t>
      </w:r>
    </w:p>
    <w:p>
      <w:pPr>
        <w:spacing w:after="0" w:line="107" w:lineRule="exact"/>
        <w:rPr>
          <w:rFonts w:ascii="Times New Roman" w:cs="Times New Roman" w:eastAsia="Times New Roman" w:hAnsi="Times New Roman"/>
          <w:sz w:val="18"/>
          <w:szCs w:val="18"/>
          <w:b w:val="1"/>
          <w:bCs w:val="1"/>
          <w:color w:val="auto"/>
        </w:rPr>
      </w:pPr>
    </w:p>
    <w:p>
      <w:pPr>
        <w:ind w:right="40" w:firstLine="1154"/>
        <w:spacing w:after="0" w:line="266" w:lineRule="auto"/>
        <w:tabs>
          <w:tab w:leader="none" w:pos="1400" w:val="left"/>
        </w:tabs>
        <w:numPr>
          <w:ilvl w:val="1"/>
          <w:numId w:val="1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issuance of shares in respect of the Restricted Stock Units is intended to comply with Treasury Regulations Section 1.409A-1(b)(4) and will be construed and administered in such a manner. Subject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190" w:name="page191"/>
    <w:bookmarkEnd w:id="190"/>
    <w:p>
      <w:pPr>
        <w:ind w:right="120"/>
        <w:spacing w:after="0" w:line="258" w:lineRule="auto"/>
        <w:rPr>
          <w:sz w:val="20"/>
          <w:szCs w:val="20"/>
          <w:color w:val="auto"/>
        </w:rPr>
      </w:pPr>
      <w:r>
        <w:rPr>
          <w:rFonts w:ascii="Times New Roman" w:cs="Times New Roman" w:eastAsia="Times New Roman" w:hAnsi="Times New Roman"/>
          <w:sz w:val="18"/>
          <w:szCs w:val="18"/>
          <w:color w:val="auto"/>
        </w:rPr>
        <w:t>satisfaction of the Withholding Obligation, if any, in the event one or more Restricted Stock Units vests, the Company shall issue to you one (1) share of Common Stock for each Restricted Stock Unit that vests on the applicable vesting date(s) (subject to any adjustment under Section 3 above, and subject to any different provisions in the Grant Notice). Each issuance date determined by this paragraph is referred to as an “</w:t>
      </w:r>
      <w:r>
        <w:rPr>
          <w:rFonts w:ascii="Times New Roman" w:cs="Times New Roman" w:eastAsia="Times New Roman" w:hAnsi="Times New Roman"/>
          <w:sz w:val="18"/>
          <w:szCs w:val="18"/>
          <w:b w:val="1"/>
          <w:bCs w:val="1"/>
          <w:i w:val="1"/>
          <w:iCs w:val="1"/>
          <w:color w:val="auto"/>
        </w:rPr>
        <w:t>Original Issuance Date</w:t>
      </w:r>
      <w:r>
        <w:rPr>
          <w:rFonts w:ascii="Times New Roman" w:cs="Times New Roman" w:eastAsia="Times New Roman" w:hAnsi="Times New Roman"/>
          <w:sz w:val="18"/>
          <w:szCs w:val="18"/>
          <w:color w:val="auto"/>
        </w:rPr>
        <w:t>.”</w:t>
      </w:r>
    </w:p>
    <w:p>
      <w:pPr>
        <w:spacing w:after="0" w:line="61" w:lineRule="exact"/>
        <w:rPr>
          <w:sz w:val="20"/>
          <w:szCs w:val="20"/>
          <w:color w:val="auto"/>
        </w:rPr>
      </w:pPr>
    </w:p>
    <w:p>
      <w:pPr>
        <w:ind w:left="1420" w:hanging="266"/>
        <w:spacing w:after="0"/>
        <w:tabs>
          <w:tab w:leader="none" w:pos="1420" w:val="left"/>
        </w:tabs>
        <w:numPr>
          <w:ilvl w:val="0"/>
          <w:numId w:val="17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If the Original Issuance Date falls on a date that is not a business day, delivery shall instead occur on the next following business day. In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addition, </w:t>
      </w:r>
      <w:r>
        <w:rPr>
          <w:rFonts w:ascii="Times New Roman" w:cs="Times New Roman" w:eastAsia="Times New Roman" w:hAnsi="Times New Roman"/>
          <w:sz w:val="18"/>
          <w:szCs w:val="18"/>
          <w:u w:val="single" w:color="auto"/>
          <w:color w:val="auto"/>
        </w:rPr>
        <w:t>if</w:t>
      </w:r>
      <w:r>
        <w:rPr>
          <w:rFonts w:ascii="Times New Roman" w:cs="Times New Roman" w:eastAsia="Times New Roman" w:hAnsi="Times New Roman"/>
          <w:sz w:val="18"/>
          <w:szCs w:val="18"/>
          <w:color w:val="auto"/>
        </w:rPr>
        <w:t>:</w:t>
      </w:r>
    </w:p>
    <w:p>
      <w:pPr>
        <w:spacing w:after="0" w:line="85" w:lineRule="exact"/>
        <w:rPr>
          <w:sz w:val="20"/>
          <w:szCs w:val="20"/>
          <w:color w:val="auto"/>
        </w:rPr>
      </w:pPr>
    </w:p>
    <w:p>
      <w:pPr>
        <w:ind w:right="80" w:firstLine="1663"/>
        <w:spacing w:after="0" w:line="246" w:lineRule="auto"/>
        <w:tabs>
          <w:tab w:leader="none" w:pos="1870" w:val="left"/>
        </w:tabs>
        <w:numPr>
          <w:ilvl w:val="0"/>
          <w:numId w:val="1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Original Issuance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Times New Roman" w:cs="Times New Roman" w:eastAsia="Times New Roman" w:hAnsi="Times New Roman"/>
          <w:sz w:val="18"/>
          <w:szCs w:val="18"/>
          <w:b w:val="1"/>
          <w:bCs w:val="1"/>
          <w:i w:val="1"/>
          <w:iCs w:val="1"/>
          <w:color w:val="auto"/>
        </w:rPr>
        <w:t>10b5-1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Arrangement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and</w:t>
      </w:r>
    </w:p>
    <w:p>
      <w:pPr>
        <w:spacing w:after="0" w:line="73" w:lineRule="exact"/>
        <w:rPr>
          <w:rFonts w:ascii="Times New Roman" w:cs="Times New Roman" w:eastAsia="Times New Roman" w:hAnsi="Times New Roman"/>
          <w:sz w:val="18"/>
          <w:szCs w:val="18"/>
          <w:b w:val="1"/>
          <w:bCs w:val="1"/>
          <w:color w:val="auto"/>
        </w:rPr>
      </w:pPr>
    </w:p>
    <w:p>
      <w:pPr>
        <w:ind w:firstLine="1663"/>
        <w:spacing w:after="0" w:line="250" w:lineRule="auto"/>
        <w:tabs>
          <w:tab w:leader="none" w:pos="1920" w:val="left"/>
        </w:tabs>
        <w:numPr>
          <w:ilvl w:val="0"/>
          <w:numId w:val="1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either (1) a Withholding Obligation does not apply, or (2) the Company decides, prior to the Original Issuance Date, (A) not to satisfy the Withholding Obligation by withholding shares of Common Stock from the shares otherwise due, on the Original Issuance Date, to you under this Award, and (B) not to permit you to enter into a “same day sale” commitment with a broker-dealer (including but not limited to a commitment under a 10b5-1 Arrangement) and (C) not to permit you to pay your Withholding Obligation in cash,</w:t>
      </w:r>
    </w:p>
    <w:p>
      <w:pPr>
        <w:spacing w:after="0" w:line="191"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18"/>
          <w:szCs w:val="18"/>
          <w:u w:val="single" w:color="auto"/>
          <w:color w:val="auto"/>
        </w:rPr>
        <w:t>then</w:t>
      </w:r>
      <w:r>
        <w:rPr>
          <w:rFonts w:ascii="Times New Roman" w:cs="Times New Roman" w:eastAsia="Times New Roman" w:hAnsi="Times New Roman"/>
          <w:sz w:val="18"/>
          <w:szCs w:val="18"/>
          <w:color w:val="auto"/>
        </w:rPr>
        <w:t xml:space="preserve"> the shares that would otherwise be issued to you on the Original Issuance Date will not be delivered on such Original Issuance Date and will instead be delivered on the first business day when you are not prohibited from selling shares of the Company’s Common Stock in the open public market, but in no event later than December 31 of the calendar year in which the Original Issuance Date occurs (that is, the last day of your taxable year in which the Original Issuance Date occurs), or, </w:t>
      </w:r>
      <w:r>
        <w:rPr>
          <w:rFonts w:ascii="Times New Roman" w:cs="Times New Roman" w:eastAsia="Times New Roman" w:hAnsi="Times New Roman"/>
          <w:sz w:val="18"/>
          <w:szCs w:val="18"/>
          <w:u w:val="single" w:color="auto"/>
          <w:color w:val="auto"/>
        </w:rPr>
        <w:t>if and only if</w:t>
      </w:r>
      <w:r>
        <w:rPr>
          <w:rFonts w:ascii="Times New Roman" w:cs="Times New Roman" w:eastAsia="Times New Roman" w:hAnsi="Times New Roman"/>
          <w:sz w:val="18"/>
          <w:szCs w:val="18"/>
          <w:color w:val="auto"/>
        </w:rPr>
        <w:t xml:space="preserve"> permitted in a manner that complies with Treasury Regulations Section 1.409A-1(b)(4), no later than the date that is the 15th day of the third calendar month of the applicable year following the year in which the shares of Common Stock under this Award are no longer subject to a “substantial risk of forfeiture” within the meaning of Treasury Regulations Section 1.409A-1(d).</w:t>
      </w:r>
    </w:p>
    <w:p>
      <w:pPr>
        <w:spacing w:after="0" w:line="87" w:lineRule="exact"/>
        <w:rPr>
          <w:sz w:val="20"/>
          <w:szCs w:val="20"/>
          <w:color w:val="auto"/>
        </w:rPr>
      </w:pPr>
    </w:p>
    <w:p>
      <w:pPr>
        <w:ind w:left="1400" w:hanging="246"/>
        <w:spacing w:after="0"/>
        <w:tabs>
          <w:tab w:leader="none" w:pos="1400" w:val="left"/>
        </w:tabs>
        <w:numPr>
          <w:ilvl w:val="2"/>
          <w:numId w:val="1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the extent the RSU Award is a Non-Exempt RSU Award, the provisions of Section 11 of the Plan shall apply.</w:t>
      </w:r>
    </w:p>
    <w:p>
      <w:pPr>
        <w:spacing w:after="0" w:line="207" w:lineRule="exact"/>
        <w:rPr>
          <w:rFonts w:ascii="Times New Roman" w:cs="Times New Roman" w:eastAsia="Times New Roman" w:hAnsi="Times New Roman"/>
          <w:sz w:val="18"/>
          <w:szCs w:val="18"/>
          <w:b w:val="1"/>
          <w:bCs w:val="1"/>
          <w:color w:val="auto"/>
        </w:rPr>
      </w:pPr>
    </w:p>
    <w:p>
      <w:pPr>
        <w:ind w:right="380" w:firstLine="517"/>
        <w:spacing w:after="0" w:line="271" w:lineRule="auto"/>
        <w:tabs>
          <w:tab w:leader="none" w:pos="689" w:val="left"/>
        </w:tabs>
        <w:numPr>
          <w:ilvl w:val="1"/>
          <w:numId w:val="1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3"/>
          <w:szCs w:val="13"/>
          <w:b w:val="1"/>
          <w:bCs w:val="1"/>
          <w:color w:val="auto"/>
        </w:rPr>
        <w:t>RANSFERABILITY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otherwise provided in the Plan, your RSU Award is not transferable, except by will or by the applicable laws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descent and distribution.</w:t>
      </w:r>
    </w:p>
    <w:p>
      <w:pPr>
        <w:spacing w:after="0" w:line="167" w:lineRule="exact"/>
        <w:rPr>
          <w:rFonts w:ascii="Times New Roman" w:cs="Times New Roman" w:eastAsia="Times New Roman" w:hAnsi="Times New Roman"/>
          <w:sz w:val="18"/>
          <w:szCs w:val="18"/>
          <w:b w:val="1"/>
          <w:bCs w:val="1"/>
          <w:color w:val="auto"/>
        </w:rPr>
      </w:pPr>
    </w:p>
    <w:p>
      <w:pPr>
        <w:ind w:right="40" w:firstLine="517"/>
        <w:spacing w:after="0" w:line="252" w:lineRule="auto"/>
        <w:tabs>
          <w:tab w:leader="none" w:pos="689" w:val="left"/>
        </w:tabs>
        <w:numPr>
          <w:ilvl w:val="1"/>
          <w:numId w:val="1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3"/>
          <w:szCs w:val="13"/>
          <w:b w:val="1"/>
          <w:bCs w:val="1"/>
          <w:color w:val="auto"/>
        </w:rPr>
        <w:t>ORPORATE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3"/>
          <w:szCs w:val="13"/>
          <w:b w:val="1"/>
          <w:bCs w:val="1"/>
          <w:color w:val="auto"/>
        </w:rPr>
        <w:t>RANSACTION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RSU Award is subject to the terms of any agreement governing a Corporate Transaction involving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including, without limitation, a provision for the appointment of a stockholder representative that is authorized to act on your behalf with respect to any escrow, indemnities and any contingent consideration.</w:t>
      </w:r>
    </w:p>
    <w:p>
      <w:pPr>
        <w:spacing w:after="0" w:line="171" w:lineRule="exact"/>
        <w:rPr>
          <w:rFonts w:ascii="Times New Roman" w:cs="Times New Roman" w:eastAsia="Times New Roman" w:hAnsi="Times New Roman"/>
          <w:sz w:val="18"/>
          <w:szCs w:val="18"/>
          <w:b w:val="1"/>
          <w:bCs w:val="1"/>
          <w:color w:val="auto"/>
        </w:rPr>
      </w:pPr>
    </w:p>
    <w:p>
      <w:pPr>
        <w:ind w:right="120" w:firstLine="517"/>
        <w:spacing w:after="0" w:line="252" w:lineRule="auto"/>
        <w:tabs>
          <w:tab w:leader="none" w:pos="689" w:val="left"/>
        </w:tabs>
        <w:numPr>
          <w:ilvl w:val="1"/>
          <w:numId w:val="1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3"/>
          <w:szCs w:val="13"/>
          <w:b w:val="1"/>
          <w:bCs w:val="1"/>
          <w:color w:val="auto"/>
        </w:rPr>
        <w:t>O</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3"/>
          <w:szCs w:val="13"/>
          <w:b w:val="1"/>
          <w:bCs w:val="1"/>
          <w:color w:val="auto"/>
        </w:rPr>
        <w:t>IABILITY FOR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3"/>
          <w:szCs w:val="13"/>
          <w:b w:val="1"/>
          <w:bCs w:val="1"/>
          <w:color w:val="auto"/>
        </w:rPr>
        <w:t>AXES</w:t>
      </w:r>
      <w:r>
        <w:rPr>
          <w:rFonts w:ascii="Times New Roman" w:cs="Times New Roman" w:eastAsia="Times New Roman" w:hAnsi="Times New Roman"/>
          <w:sz w:val="18"/>
          <w:szCs w:val="18"/>
          <w:color w:val="auto"/>
        </w:rPr>
        <w:t>. As a condition to accepting the RSU Award, you hereby (a) agree to not make any claim against the Company,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its Officers, Directors, Employees or Affiliates related to tax liabilities arising from the RSU Award or other Company compensation and (b) acknowledge that you were advised to consult with your own personal tax, financial and other legal advisors regarding the tax consequences of the RSU Award and have either done so or knowingly and voluntarily declined to do so.</w:t>
      </w:r>
    </w:p>
    <w:p>
      <w:pPr>
        <w:spacing w:after="0" w:line="170" w:lineRule="exact"/>
        <w:rPr>
          <w:rFonts w:ascii="Times New Roman" w:cs="Times New Roman" w:eastAsia="Times New Roman" w:hAnsi="Times New Roman"/>
          <w:sz w:val="18"/>
          <w:szCs w:val="18"/>
          <w:b w:val="1"/>
          <w:bCs w:val="1"/>
          <w:color w:val="auto"/>
        </w:rPr>
      </w:pPr>
    </w:p>
    <w:p>
      <w:pPr>
        <w:ind w:right="60" w:firstLine="517"/>
        <w:spacing w:after="0" w:line="252" w:lineRule="auto"/>
        <w:tabs>
          <w:tab w:leader="none" w:pos="689" w:val="left"/>
        </w:tabs>
        <w:numPr>
          <w:ilvl w:val="1"/>
          <w:numId w:val="1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3"/>
          <w:szCs w:val="13"/>
          <w:b w:val="1"/>
          <w:bCs w:val="1"/>
          <w:color w:val="auto"/>
        </w:rPr>
        <w:t>EVERABILITY</w:t>
      </w:r>
      <w:r>
        <w:rPr>
          <w:rFonts w:ascii="Times New Roman" w:cs="Times New Roman" w:eastAsia="Times New Roman" w:hAnsi="Times New Roman"/>
          <w:sz w:val="18"/>
          <w:szCs w:val="18"/>
          <w:color w:val="auto"/>
        </w:rPr>
        <w:t>. If any part of this Agreement or the Plan is declared by any court or governmental authority to be unlawful or invalid,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unlawfulness or invalidity will not invalidate any portion of this Agreement or the Plan not declared to be unlawful or invalid. Any Section of this Agreement (or part of such a Section) so declared to be unlawful or invalid will, if possible, be construed in a manner which will give effect to the terms of such Section or part of a Section to the fullest extent possible while remaining lawful and valid.</w:t>
      </w:r>
    </w:p>
    <w:p>
      <w:pPr>
        <w:spacing w:after="0" w:line="170" w:lineRule="exact"/>
        <w:rPr>
          <w:rFonts w:ascii="Times New Roman" w:cs="Times New Roman" w:eastAsia="Times New Roman" w:hAnsi="Times New Roman"/>
          <w:sz w:val="18"/>
          <w:szCs w:val="18"/>
          <w:b w:val="1"/>
          <w:bCs w:val="1"/>
          <w:color w:val="auto"/>
        </w:rPr>
      </w:pPr>
    </w:p>
    <w:p>
      <w:pPr>
        <w:ind w:left="780" w:hanging="263"/>
        <w:spacing w:after="0"/>
        <w:tabs>
          <w:tab w:leader="none" w:pos="780" w:val="left"/>
        </w:tabs>
        <w:numPr>
          <w:ilvl w:val="1"/>
          <w:numId w:val="1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3"/>
          <w:szCs w:val="13"/>
          <w:b w:val="1"/>
          <w:bCs w:val="1"/>
          <w:color w:val="auto"/>
        </w:rPr>
        <w:t>THER</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3"/>
          <w:szCs w:val="13"/>
          <w:b w:val="1"/>
          <w:bCs w:val="1"/>
          <w:color w:val="auto"/>
        </w:rPr>
        <w:t>OCUMENTS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hereby acknowledge receipt of or the right to receive a document providing the information required by Rule 428(b)</w:t>
      </w:r>
    </w:p>
    <w:p>
      <w:pPr>
        <w:spacing w:after="0" w:line="31" w:lineRule="exact"/>
        <w:rPr>
          <w:rFonts w:ascii="Times New Roman" w:cs="Times New Roman" w:eastAsia="Times New Roman" w:hAnsi="Times New Roman"/>
          <w:sz w:val="18"/>
          <w:szCs w:val="18"/>
          <w:b w:val="1"/>
          <w:bCs w:val="1"/>
          <w:color w:val="auto"/>
        </w:rPr>
      </w:pPr>
    </w:p>
    <w:p>
      <w:pPr>
        <w:ind w:left="260" w:hanging="252"/>
        <w:spacing w:after="0"/>
        <w:tabs>
          <w:tab w:leader="none" w:pos="26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promulgated under the Securities Act, which includes the Prospectus. In addition, you acknowledge receipt of the Company’s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181610</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91" w:name="page192"/>
    <w:bookmarkEnd w:id="191"/>
    <w:p>
      <w:pPr>
        <w:ind w:left="-517" w:firstLine="517"/>
        <w:spacing w:after="0" w:line="286" w:lineRule="auto"/>
        <w:tabs>
          <w:tab w:leader="none" w:pos="252" w:val="left"/>
        </w:tabs>
        <w:numPr>
          <w:ilvl w:val="0"/>
          <w:numId w:val="1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w:t>
      </w:r>
      <w:r>
        <w:rPr>
          <w:rFonts w:ascii="Times New Roman" w:cs="Times New Roman" w:eastAsia="Times New Roman" w:hAnsi="Times New Roman"/>
          <w:sz w:val="13"/>
          <w:szCs w:val="13"/>
          <w:b w:val="1"/>
          <w:bCs w:val="1"/>
          <w:color w:val="auto"/>
        </w:rPr>
        <w:t>UESTIONS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you have questions regarding these or any other terms and conditions applicable to your RSU Award, including a summary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federal income tax consequences please see the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417195</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3"/>
          </w:cols>
          <w:pgMar w:left="837" w:top="536" w:right="419" w:bottom="1440" w:gutter="0" w:footer="0" w:header="0"/>
        </w:sectPr>
      </w:pPr>
    </w:p>
    <w:bookmarkStart w:id="192" w:name="page193"/>
    <w:bookmarkEnd w:id="19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Attachment II</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2021 E</w:t>
      </w:r>
      <w:r>
        <w:rPr>
          <w:rFonts w:ascii="Times New Roman" w:cs="Times New Roman" w:eastAsia="Times New Roman" w:hAnsi="Times New Roman"/>
          <w:sz w:val="13"/>
          <w:szCs w:val="13"/>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3"/>
          <w:szCs w:val="13"/>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3"/>
          <w:szCs w:val="13"/>
          <w:b w:val="1"/>
          <w:bCs w:val="1"/>
          <w:color w:val="auto"/>
        </w:rPr>
        <w:t>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435610</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36" w:right="1440" w:bottom="1440" w:gutter="0" w:footer="0" w:header="0"/>
        </w:sectPr>
      </w:pPr>
    </w:p>
    <w:bookmarkStart w:id="193" w:name="page194"/>
    <w:bookmarkEnd w:id="193"/>
    <w:p>
      <w:pPr>
        <w:jc w:val="right"/>
        <w:spacing w:after="0"/>
        <w:rPr>
          <w:sz w:val="20"/>
          <w:szCs w:val="20"/>
          <w:color w:val="auto"/>
        </w:rPr>
      </w:pPr>
      <w:r>
        <w:rPr>
          <w:rFonts w:ascii="Times New Roman" w:cs="Times New Roman" w:eastAsia="Times New Roman" w:hAnsi="Times New Roman"/>
          <w:sz w:val="18"/>
          <w:szCs w:val="18"/>
          <w:b w:val="1"/>
          <w:bCs w:val="1"/>
          <w:color w:val="auto"/>
        </w:rPr>
        <w:t>Exhibit 10.6</w:t>
      </w:r>
    </w:p>
    <w:p>
      <w:pPr>
        <w:spacing w:after="0" w:line="20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0"/>
          <w:szCs w:val="20"/>
          <w:b w:val="1"/>
          <w:bCs w:val="1"/>
          <w:color w:val="auto"/>
        </w:rPr>
        <w:t>INVIVYD, INC.</w:t>
      </w:r>
    </w:p>
    <w:p>
      <w:pPr>
        <w:spacing w:after="0" w:line="108"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0"/>
          <w:szCs w:val="20"/>
          <w:b w:val="1"/>
          <w:bCs w:val="1"/>
          <w:color w:val="auto"/>
        </w:rPr>
        <w:t>2021 EMPLOYEE STOCK PURCHASE PLAN</w:t>
      </w:r>
    </w:p>
    <w:p>
      <w:pPr>
        <w:spacing w:after="0" w:line="10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0"/>
          <w:szCs w:val="20"/>
          <w:b w:val="1"/>
          <w:bCs w:val="1"/>
          <w:color w:val="auto"/>
        </w:rPr>
        <w:t>ADOPTED BY THE BOARD OF DIRECTORS: JULY 27, 2021</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APPROVED BY THE STOCKHOLDERS: JULY 29, 2021</w:t>
      </w:r>
    </w:p>
    <w:p>
      <w:pPr>
        <w:spacing w:after="0" w:line="203" w:lineRule="exact"/>
        <w:rPr>
          <w:sz w:val="20"/>
          <w:szCs w:val="20"/>
          <w:color w:val="auto"/>
        </w:rPr>
      </w:pPr>
    </w:p>
    <w:p>
      <w:pPr>
        <w:ind w:left="480" w:hanging="459"/>
        <w:spacing w:after="0"/>
        <w:tabs>
          <w:tab w:leader="none" w:pos="480" w:val="left"/>
        </w:tabs>
        <w:numPr>
          <w:ilvl w:val="0"/>
          <w:numId w:val="18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GENERAL; PURPOSE.</w:t>
      </w:r>
    </w:p>
    <w:p>
      <w:pPr>
        <w:spacing w:after="0" w:line="111" w:lineRule="exact"/>
        <w:rPr>
          <w:rFonts w:ascii="Times New Roman" w:cs="Times New Roman" w:eastAsia="Times New Roman" w:hAnsi="Times New Roman"/>
          <w:sz w:val="20"/>
          <w:szCs w:val="20"/>
          <w:b w:val="1"/>
          <w:bCs w:val="1"/>
          <w:color w:val="auto"/>
        </w:rPr>
      </w:pPr>
    </w:p>
    <w:p>
      <w:pPr>
        <w:ind w:right="100" w:firstLine="517"/>
        <w:spacing w:after="0" w:line="244" w:lineRule="auto"/>
        <w:tabs>
          <w:tab w:leader="none" w:pos="789" w:val="left"/>
        </w:tabs>
        <w:numPr>
          <w:ilvl w:val="1"/>
          <w:numId w:val="18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Plan provides a means by which Eligible Employees of the Company and certain Designated Companies may be given an opportunity to purchase shares of Common Stock. The Plan permits the Company to grant a series of Purchase Rights to Eligible Employees under an Employee Stock Purchase Plan. In addition, the Plan permits the Company to grant a series of Purchase Rights to Eligible Employees that do not meet the requirements of an Employee Stock Purchase Plan.</w:t>
      </w:r>
    </w:p>
    <w:p>
      <w:pPr>
        <w:spacing w:after="0" w:line="185" w:lineRule="exact"/>
        <w:rPr>
          <w:rFonts w:ascii="Times New Roman" w:cs="Times New Roman" w:eastAsia="Times New Roman" w:hAnsi="Times New Roman"/>
          <w:sz w:val="20"/>
          <w:szCs w:val="20"/>
          <w:b w:val="1"/>
          <w:bCs w:val="1"/>
          <w:color w:val="auto"/>
        </w:rPr>
      </w:pPr>
    </w:p>
    <w:p>
      <w:pPr>
        <w:ind w:right="140" w:firstLine="517"/>
        <w:spacing w:after="0" w:line="256" w:lineRule="auto"/>
        <w:tabs>
          <w:tab w:leader="none" w:pos="800" w:val="left"/>
        </w:tabs>
        <w:numPr>
          <w:ilvl w:val="1"/>
          <w:numId w:val="18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The Plan includes two components: a 423 Component and a Non-423 Component. The Company intends (but makes no undertaking or representation to maintain) the 423 Component to qualify as an Employee Stock Purchase Plan. The provisions of the 423 Component, accordingly, will be construed in a manner that is consistent with the requirements of Section 423 of the Code. In addition, this Plan authorizes grants of Purchase Rights under the Non-423 Component that do not meet the requirements of an Employee Stock Purchase Plan. Except as otherwise provided in the Plan or determined by the Board, the Non-423 Component will operate and be administered in the same manner as the 423 Component. In addition, the Company may make separate Offerings which vary in terms (provided that such terms are not inconsistent with the provisions of the Plan or the requirements of an Employee Stock Purchase Plan to the extent the Offering is made under the 423 Component), and the Company will designate which Designated Company is participating in each separate Offering.</w:t>
      </w:r>
    </w:p>
    <w:p>
      <w:pPr>
        <w:spacing w:after="0" w:line="174" w:lineRule="exact"/>
        <w:rPr>
          <w:rFonts w:ascii="Times New Roman" w:cs="Times New Roman" w:eastAsia="Times New Roman" w:hAnsi="Times New Roman"/>
          <w:sz w:val="19"/>
          <w:szCs w:val="19"/>
          <w:b w:val="1"/>
          <w:bCs w:val="1"/>
          <w:color w:val="auto"/>
        </w:rPr>
      </w:pPr>
    </w:p>
    <w:p>
      <w:pPr>
        <w:ind w:firstLine="517"/>
        <w:spacing w:after="0" w:line="295" w:lineRule="auto"/>
        <w:tabs>
          <w:tab w:leader="none" w:pos="778" w:val="left"/>
        </w:tabs>
        <w:numPr>
          <w:ilvl w:val="1"/>
          <w:numId w:val="18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The Company, by means of the Plan, seeks to retain the services of Eligible Employees, to secure and retain the services of new Employees and to provide incentives for such persons to exert maximum efforts for the success of the Company and its Related Corporations.</w:t>
      </w:r>
    </w:p>
    <w:p>
      <w:pPr>
        <w:spacing w:after="0" w:line="133" w:lineRule="exact"/>
        <w:rPr>
          <w:rFonts w:ascii="Times New Roman" w:cs="Times New Roman" w:eastAsia="Times New Roman" w:hAnsi="Times New Roman"/>
          <w:sz w:val="19"/>
          <w:szCs w:val="19"/>
          <w:b w:val="1"/>
          <w:bCs w:val="1"/>
          <w:color w:val="auto"/>
        </w:rPr>
      </w:pPr>
    </w:p>
    <w:p>
      <w:pPr>
        <w:ind w:left="480" w:hanging="459"/>
        <w:spacing w:after="0"/>
        <w:tabs>
          <w:tab w:leader="none" w:pos="480" w:val="left"/>
        </w:tabs>
        <w:numPr>
          <w:ilvl w:val="0"/>
          <w:numId w:val="18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ADMINISTRATION.</w:t>
      </w:r>
    </w:p>
    <w:p>
      <w:pPr>
        <w:spacing w:after="0" w:line="111" w:lineRule="exact"/>
        <w:rPr>
          <w:rFonts w:ascii="Times New Roman" w:cs="Times New Roman" w:eastAsia="Times New Roman" w:hAnsi="Times New Roman"/>
          <w:sz w:val="20"/>
          <w:szCs w:val="20"/>
          <w:b w:val="1"/>
          <w:bCs w:val="1"/>
          <w:color w:val="auto"/>
        </w:rPr>
      </w:pPr>
    </w:p>
    <w:p>
      <w:pPr>
        <w:ind w:right="120" w:firstLine="517"/>
        <w:spacing w:after="0" w:line="269" w:lineRule="auto"/>
        <w:tabs>
          <w:tab w:leader="none" w:pos="789" w:val="left"/>
        </w:tabs>
        <w:numPr>
          <w:ilvl w:val="1"/>
          <w:numId w:val="18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Board will administer the Plan unless and until the Board delegates administration of the Plan to a Committee or Committees, as provided in Section 2(c).</w:t>
      </w:r>
    </w:p>
    <w:p>
      <w:pPr>
        <w:spacing w:after="0" w:line="159" w:lineRule="exact"/>
        <w:rPr>
          <w:rFonts w:ascii="Times New Roman" w:cs="Times New Roman" w:eastAsia="Times New Roman" w:hAnsi="Times New Roman"/>
          <w:sz w:val="20"/>
          <w:szCs w:val="20"/>
          <w:b w:val="1"/>
          <w:bCs w:val="1"/>
          <w:color w:val="auto"/>
        </w:rPr>
      </w:pPr>
    </w:p>
    <w:p>
      <w:pPr>
        <w:ind w:left="800" w:hanging="283"/>
        <w:spacing w:after="0"/>
        <w:tabs>
          <w:tab w:leader="none" w:pos="800" w:val="left"/>
        </w:tabs>
        <w:numPr>
          <w:ilvl w:val="1"/>
          <w:numId w:val="18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Board will have the power, subject to, and within the limitations of, the express provisions of the Plan:</w:t>
      </w:r>
    </w:p>
    <w:p>
      <w:pPr>
        <w:spacing w:after="0" w:line="107" w:lineRule="exact"/>
        <w:rPr>
          <w:rFonts w:ascii="Times New Roman" w:cs="Times New Roman" w:eastAsia="Times New Roman" w:hAnsi="Times New Roman"/>
          <w:sz w:val="20"/>
          <w:szCs w:val="20"/>
          <w:b w:val="1"/>
          <w:bCs w:val="1"/>
          <w:color w:val="auto"/>
        </w:rPr>
      </w:pPr>
    </w:p>
    <w:p>
      <w:pPr>
        <w:ind w:left="1380" w:hanging="226"/>
        <w:spacing w:after="0"/>
        <w:tabs>
          <w:tab w:leader="none" w:pos="1380" w:val="left"/>
        </w:tabs>
        <w:numPr>
          <w:ilvl w:val="2"/>
          <w:numId w:val="18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determine how and when Purchase Rights will be granted and the provisions of each Offering (which need not be</w:t>
      </w:r>
    </w:p>
    <w:p>
      <w:pPr>
        <w:spacing w:after="0" w:line="21" w:lineRule="exact"/>
        <w:rPr>
          <w:rFonts w:ascii="Times New Roman" w:cs="Times New Roman" w:eastAsia="Times New Roman" w:hAnsi="Times New Roman"/>
          <w:sz w:val="20"/>
          <w:szCs w:val="20"/>
          <w:b w:val="1"/>
          <w:bCs w:val="1"/>
          <w:color w:val="auto"/>
        </w:rPr>
      </w:pPr>
    </w:p>
    <w:p>
      <w:pPr>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identical).</w:t>
      </w:r>
    </w:p>
    <w:p>
      <w:pPr>
        <w:spacing w:after="0" w:line="180" w:lineRule="exact"/>
        <w:rPr>
          <w:rFonts w:ascii="Times New Roman" w:cs="Times New Roman" w:eastAsia="Times New Roman" w:hAnsi="Times New Roman"/>
          <w:sz w:val="20"/>
          <w:szCs w:val="20"/>
          <w:b w:val="1"/>
          <w:bCs w:val="1"/>
          <w:color w:val="auto"/>
        </w:rPr>
      </w:pPr>
    </w:p>
    <w:p>
      <w:pPr>
        <w:ind w:firstLine="1154"/>
        <w:spacing w:after="0" w:line="249" w:lineRule="auto"/>
        <w:tabs>
          <w:tab w:leader="none" w:pos="1437" w:val="left"/>
        </w:tabs>
        <w:numPr>
          <w:ilvl w:val="2"/>
          <w:numId w:val="18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designate from time to time (A) which Related Corporations of the Company will be eligible to participate in the Plan as Designated 423 Companies, (B) which Related Corporations or Affiliates will be eligible to participate in the Plan as Designated Non-423 Companies, (C) which Affiliates or Related Corporations may be excluded from participation in the Plan, and (D) which Designated Companies will participate in each separate Offering (to the extent that the Company makes separate Offerings).</w:t>
      </w:r>
    </w:p>
    <w:p>
      <w:pPr>
        <w:spacing w:after="0" w:line="179" w:lineRule="exact"/>
        <w:rPr>
          <w:rFonts w:ascii="Times New Roman" w:cs="Times New Roman" w:eastAsia="Times New Roman" w:hAnsi="Times New Roman"/>
          <w:sz w:val="20"/>
          <w:szCs w:val="20"/>
          <w:b w:val="1"/>
          <w:bCs w:val="1"/>
          <w:color w:val="auto"/>
        </w:rPr>
      </w:pPr>
    </w:p>
    <w:p>
      <w:pPr>
        <w:ind w:firstLine="1154"/>
        <w:spacing w:after="0" w:line="247" w:lineRule="auto"/>
        <w:tabs>
          <w:tab w:leader="none" w:pos="1492" w:val="left"/>
        </w:tabs>
        <w:numPr>
          <w:ilvl w:val="2"/>
          <w:numId w:val="18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construe and interpret the Plan and Purchase Rights, and to establish, amend and revoke rules and regulations for its administration. The Board, in the exercise of this power, may correct any defect, omission or inconsistency in the Plan, in a manner and to the extent it deems necessary or expedient to make the Plan fully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4" w:name="page195"/>
    <w:bookmarkEnd w:id="194"/>
    <w:p>
      <w:pPr>
        <w:ind w:left="1459" w:hanging="326"/>
        <w:spacing w:after="0"/>
        <w:tabs>
          <w:tab w:leader="none" w:pos="1459" w:val="left"/>
        </w:tabs>
        <w:numPr>
          <w:ilvl w:val="2"/>
          <w:numId w:val="18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settle all controversies regarding the Plan and Purchase Rights granted under the Plan.</w:t>
      </w:r>
    </w:p>
    <w:p>
      <w:pPr>
        <w:spacing w:after="0" w:line="215" w:lineRule="exact"/>
        <w:rPr>
          <w:rFonts w:ascii="Times New Roman" w:cs="Times New Roman" w:eastAsia="Times New Roman" w:hAnsi="Times New Roman"/>
          <w:sz w:val="20"/>
          <w:szCs w:val="20"/>
          <w:b w:val="1"/>
          <w:bCs w:val="1"/>
          <w:color w:val="auto"/>
        </w:rPr>
      </w:pPr>
    </w:p>
    <w:p>
      <w:pPr>
        <w:ind w:left="1419" w:hanging="286"/>
        <w:spacing w:after="0"/>
        <w:tabs>
          <w:tab w:leader="none" w:pos="1419" w:val="left"/>
        </w:tabs>
        <w:numPr>
          <w:ilvl w:val="2"/>
          <w:numId w:val="18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suspend or terminate the Plan at any time as provided in Section 12.</w:t>
      </w:r>
    </w:p>
    <w:p>
      <w:pPr>
        <w:spacing w:after="0" w:line="215" w:lineRule="exact"/>
        <w:rPr>
          <w:rFonts w:ascii="Times New Roman" w:cs="Times New Roman" w:eastAsia="Times New Roman" w:hAnsi="Times New Roman"/>
          <w:sz w:val="20"/>
          <w:szCs w:val="20"/>
          <w:b w:val="1"/>
          <w:bCs w:val="1"/>
          <w:color w:val="auto"/>
        </w:rPr>
      </w:pPr>
    </w:p>
    <w:p>
      <w:pPr>
        <w:ind w:left="1459" w:hanging="326"/>
        <w:spacing w:after="0"/>
        <w:tabs>
          <w:tab w:leader="none" w:pos="1459" w:val="left"/>
        </w:tabs>
        <w:numPr>
          <w:ilvl w:val="2"/>
          <w:numId w:val="18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amend the Plan at any time as provided in Section 12.</w:t>
      </w:r>
    </w:p>
    <w:p>
      <w:pPr>
        <w:spacing w:after="0" w:line="215" w:lineRule="exact"/>
        <w:rPr>
          <w:rFonts w:ascii="Times New Roman" w:cs="Times New Roman" w:eastAsia="Times New Roman" w:hAnsi="Times New Roman"/>
          <w:sz w:val="20"/>
          <w:szCs w:val="20"/>
          <w:b w:val="1"/>
          <w:bCs w:val="1"/>
          <w:color w:val="auto"/>
        </w:rPr>
      </w:pPr>
    </w:p>
    <w:p>
      <w:pPr>
        <w:ind w:left="-21" w:firstLine="1154"/>
        <w:spacing w:after="0" w:line="247" w:lineRule="auto"/>
        <w:tabs>
          <w:tab w:leader="none" w:pos="1514" w:val="left"/>
        </w:tabs>
        <w:numPr>
          <w:ilvl w:val="2"/>
          <w:numId w:val="18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Generally, to exercise such powers and to perform such acts as it deems necessary or expedient to promote the best interests of the Company and its Related Corporations and to carry out the intent that the Plan be treated as an Employee Stock Purchase Plan with respect to the 423 Component.</w:t>
      </w:r>
    </w:p>
    <w:p>
      <w:pPr>
        <w:spacing w:after="0" w:line="180" w:lineRule="exact"/>
        <w:rPr>
          <w:rFonts w:ascii="Times New Roman" w:cs="Times New Roman" w:eastAsia="Times New Roman" w:hAnsi="Times New Roman"/>
          <w:sz w:val="20"/>
          <w:szCs w:val="20"/>
          <w:b w:val="1"/>
          <w:bCs w:val="1"/>
          <w:color w:val="auto"/>
        </w:rPr>
      </w:pPr>
    </w:p>
    <w:p>
      <w:pPr>
        <w:ind w:left="-21" w:right="220" w:firstLine="1154"/>
        <w:spacing w:after="0" w:line="241" w:lineRule="auto"/>
        <w:tabs>
          <w:tab w:leader="none" w:pos="1569" w:val="left"/>
        </w:tabs>
        <w:numPr>
          <w:ilvl w:val="2"/>
          <w:numId w:val="18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adopt such rules, procedures and sub-plans as are necessary or appropriate to permit or facilitate participation in the Plan by Employees who are foreign nationals or employed or located outside the United States. Without limiting the generality of, and consistent with, the foregoing, the Board specifically is authorized to adopt rules, procedures, and sub-plans regarding, without limitation, eligibility to participate in the Plan, the definition of eligible “earnings,” handling and making of Contributions, establishment of bank or trust accounts to hold Contributions, payment of interest, conversion of local currency, obligations to pay payroll tax, determination of beneficiary designation requirements, withholding procedures and handling of share issuances, any of which may vary according to applicable requirements, and which, if applicable to a Designated Non-423 Company, do not have to comply with the requirements of Section 423 of the Code.</w:t>
      </w:r>
    </w:p>
    <w:p>
      <w:pPr>
        <w:spacing w:after="0" w:line="191" w:lineRule="exact"/>
        <w:rPr>
          <w:rFonts w:ascii="Times New Roman" w:cs="Times New Roman" w:eastAsia="Times New Roman" w:hAnsi="Times New Roman"/>
          <w:sz w:val="20"/>
          <w:szCs w:val="20"/>
          <w:b w:val="1"/>
          <w:bCs w:val="1"/>
          <w:color w:val="auto"/>
        </w:rPr>
      </w:pPr>
    </w:p>
    <w:p>
      <w:pPr>
        <w:ind w:left="-21" w:right="60" w:firstLine="517"/>
        <w:spacing w:after="0" w:line="239" w:lineRule="auto"/>
        <w:tabs>
          <w:tab w:leader="none" w:pos="757" w:val="left"/>
        </w:tabs>
        <w:numPr>
          <w:ilvl w:val="1"/>
          <w:numId w:val="1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Board may delegate some or all of the administration of the Plan to a Committee or Committees. If administration is delegated to a Committee, the Committee will have, in connection with the administration of the Plan, the powers theretofore possessed by the Board that have been delegated to the Committee, including the power to delegate to a subcommittee any of the administrative powers the Committee is authorized to exercise (and references in this Plan and any applicable Offering Document to the Board will thereafter be to the Committee or subcommittee), subject, however, to such resolutions, not inconsistent with the provisions of the Plan, as may be adopted from time to time by the Board. Further, to the extent not prohibited by Applicable Law, the Board or Committee may, from time to time, delegate some or all of its authority under the Plan to one or more officers of the Company or other persons or groups of persons as it deems necessary, appropriate or advisable under conditions or limitations that it may set at or after the time of the delegation. The Board may retain the authority to concurrently administer the Plan with the Committee and may, at any time, revest in the Board some or all of the powers previously delegated. Whether or not the Board has delegated administration of the Plan to a Committee, the Board will have the final power to determine all questions of policy and expediency that may arise in the administration of the Plan.</w:t>
      </w:r>
    </w:p>
    <w:p>
      <w:pPr>
        <w:spacing w:after="0" w:line="194" w:lineRule="exact"/>
        <w:rPr>
          <w:rFonts w:ascii="Times New Roman" w:cs="Times New Roman" w:eastAsia="Times New Roman" w:hAnsi="Times New Roman"/>
          <w:sz w:val="20"/>
          <w:szCs w:val="20"/>
          <w:b w:val="1"/>
          <w:bCs w:val="1"/>
          <w:color w:val="auto"/>
        </w:rPr>
      </w:pPr>
    </w:p>
    <w:p>
      <w:pPr>
        <w:ind w:left="-21" w:right="180" w:firstLine="517"/>
        <w:spacing w:after="0" w:line="269" w:lineRule="auto"/>
        <w:tabs>
          <w:tab w:leader="none" w:pos="779" w:val="left"/>
        </w:tabs>
        <w:numPr>
          <w:ilvl w:val="1"/>
          <w:numId w:val="1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All determinations, interpretations and constructions made by the Board in good faith will not be subject to review by any person and will be final, binding and conclusive on all persons.</w:t>
      </w:r>
    </w:p>
    <w:p>
      <w:pPr>
        <w:spacing w:after="0" w:line="168" w:lineRule="exact"/>
        <w:rPr>
          <w:rFonts w:ascii="Times New Roman" w:cs="Times New Roman" w:eastAsia="Times New Roman" w:hAnsi="Times New Roman"/>
          <w:sz w:val="20"/>
          <w:szCs w:val="20"/>
          <w:b w:val="1"/>
          <w:bCs w:val="1"/>
          <w:color w:val="auto"/>
        </w:rPr>
      </w:pPr>
    </w:p>
    <w:p>
      <w:pPr>
        <w:ind w:left="459" w:hanging="459"/>
        <w:spacing w:after="0"/>
        <w:tabs>
          <w:tab w:leader="none" w:pos="459" w:val="left"/>
        </w:tabs>
        <w:numPr>
          <w:ilvl w:val="0"/>
          <w:numId w:val="1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SHARES OF COMMON STOCK SUBJECT TO THE PLAN.</w:t>
      </w:r>
    </w:p>
    <w:p>
      <w:pPr>
        <w:spacing w:after="0" w:line="111" w:lineRule="exact"/>
        <w:rPr>
          <w:rFonts w:ascii="Times New Roman" w:cs="Times New Roman" w:eastAsia="Times New Roman" w:hAnsi="Times New Roman"/>
          <w:sz w:val="20"/>
          <w:szCs w:val="20"/>
          <w:b w:val="1"/>
          <w:bCs w:val="1"/>
          <w:color w:val="auto"/>
        </w:rPr>
      </w:pPr>
    </w:p>
    <w:p>
      <w:pPr>
        <w:ind w:left="-21" w:right="120" w:firstLine="517"/>
        <w:spacing w:after="0" w:line="233" w:lineRule="auto"/>
        <w:tabs>
          <w:tab w:leader="none" w:pos="768" w:val="left"/>
        </w:tabs>
        <w:numPr>
          <w:ilvl w:val="1"/>
          <w:numId w:val="1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Subject to the provisions of Section 11(a) relating to Capitalization Adjustments, the maximum number of shares of Common Stock that may be issued under the Plan will not exceed 1,342,773 shares of Common Stock, plus the number of shares of Common Stock that are automatically added on January 1st of each year for a period of up to ten years, commencing on January 1, 2022 and ending on (and including) January 1, 2031, in an amount equal to the lesser of (x) one percent (1%) of the total number of shares of Common Stock outstanding on December 31st of the preceding calendar year, and (y) 2,685,546 shares of Common Stock. Notwithstanding the foregoing, the Board may act prior to the first day of any calendar year to provide that there will be no January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20"/>
          <w:szCs w:val="20"/>
          <w:color w:val="auto"/>
        </w:rPr>
        <w:t xml:space="preserve"> increase in the share reserve for such calendar year or that the increase in the share reserve for such calendar year will be a lesser number of shares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184150</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9"/>
          </w:cols>
          <w:pgMar w:left="341" w:top="549" w:right="359" w:bottom="1440" w:gutter="0" w:footer="0" w:header="0"/>
        </w:sectPr>
      </w:pPr>
    </w:p>
    <w:bookmarkStart w:id="195" w:name="page196"/>
    <w:bookmarkEnd w:id="195"/>
    <w:p>
      <w:pPr>
        <w:ind w:right="60"/>
        <w:spacing w:after="0" w:line="249" w:lineRule="auto"/>
        <w:rPr>
          <w:sz w:val="20"/>
          <w:szCs w:val="20"/>
          <w:color w:val="auto"/>
        </w:rPr>
      </w:pPr>
      <w:r>
        <w:rPr>
          <w:rFonts w:ascii="Times New Roman" w:cs="Times New Roman" w:eastAsia="Times New Roman" w:hAnsi="Times New Roman"/>
          <w:sz w:val="20"/>
          <w:szCs w:val="20"/>
          <w:color w:val="auto"/>
        </w:rPr>
        <w:t>Common Stock than would otherwise occur pursuant to the preceding sentence. For the avoidance of doubt, up to the maximum number of shares of Common Stock reserved under this Section 3(a) may be used to satisfy purchases of Common Stock under the 423 Component and any remaining portion of such maximum number of shares may be used to satisfy purchases of Common Stock under the Non-423 Component.</w:t>
      </w:r>
    </w:p>
    <w:p>
      <w:pPr>
        <w:spacing w:after="0" w:line="180" w:lineRule="exact"/>
        <w:rPr>
          <w:sz w:val="20"/>
          <w:szCs w:val="20"/>
          <w:color w:val="auto"/>
        </w:rPr>
      </w:pPr>
    </w:p>
    <w:p>
      <w:pPr>
        <w:ind w:right="300" w:firstLine="517"/>
        <w:spacing w:after="0" w:line="269" w:lineRule="auto"/>
        <w:tabs>
          <w:tab w:leader="none" w:pos="800" w:val="left"/>
        </w:tabs>
        <w:numPr>
          <w:ilvl w:val="1"/>
          <w:numId w:val="18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any Purchase Right granted under the Plan terminates without having been exercised in full, the shares of Common Stock not purchased under such Purchase Right will again become available for issuance under the Plan.</w:t>
      </w:r>
    </w:p>
    <w:p>
      <w:pPr>
        <w:spacing w:after="0" w:line="145" w:lineRule="exact"/>
        <w:rPr>
          <w:rFonts w:ascii="Times New Roman" w:cs="Times New Roman" w:eastAsia="Times New Roman" w:hAnsi="Times New Roman"/>
          <w:sz w:val="20"/>
          <w:szCs w:val="20"/>
          <w:b w:val="1"/>
          <w:bCs w:val="1"/>
          <w:color w:val="auto"/>
        </w:rPr>
      </w:pPr>
    </w:p>
    <w:p>
      <w:pPr>
        <w:ind w:right="420" w:firstLine="517"/>
        <w:spacing w:after="0" w:line="269" w:lineRule="auto"/>
        <w:tabs>
          <w:tab w:leader="none" w:pos="778" w:val="left"/>
        </w:tabs>
        <w:numPr>
          <w:ilvl w:val="1"/>
          <w:numId w:val="18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stock purchasable under the Plan will be shares of authorized but unissued or reacquired Common Stock, including shares repurchased by the Company on the open market.</w:t>
      </w:r>
    </w:p>
    <w:p>
      <w:pPr>
        <w:spacing w:after="0" w:line="168" w:lineRule="exact"/>
        <w:rPr>
          <w:rFonts w:ascii="Times New Roman" w:cs="Times New Roman" w:eastAsia="Times New Roman" w:hAnsi="Times New Roman"/>
          <w:sz w:val="20"/>
          <w:szCs w:val="20"/>
          <w:b w:val="1"/>
          <w:bCs w:val="1"/>
          <w:color w:val="auto"/>
        </w:rPr>
      </w:pPr>
    </w:p>
    <w:p>
      <w:pPr>
        <w:ind w:left="480" w:hanging="459"/>
        <w:spacing w:after="0"/>
        <w:tabs>
          <w:tab w:leader="none" w:pos="480" w:val="left"/>
        </w:tabs>
        <w:numPr>
          <w:ilvl w:val="0"/>
          <w:numId w:val="19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GRANT OF PURCHASE RIGHTS; OFFERING.</w:t>
      </w:r>
    </w:p>
    <w:p>
      <w:pPr>
        <w:spacing w:after="0" w:line="111" w:lineRule="exact"/>
        <w:rPr>
          <w:rFonts w:ascii="Times New Roman" w:cs="Times New Roman" w:eastAsia="Times New Roman" w:hAnsi="Times New Roman"/>
          <w:sz w:val="20"/>
          <w:szCs w:val="20"/>
          <w:b w:val="1"/>
          <w:bCs w:val="1"/>
          <w:color w:val="auto"/>
        </w:rPr>
      </w:pPr>
    </w:p>
    <w:p>
      <w:pPr>
        <w:ind w:right="140" w:firstLine="517"/>
        <w:spacing w:after="0" w:line="256" w:lineRule="auto"/>
        <w:tabs>
          <w:tab w:leader="none" w:pos="789" w:val="left"/>
        </w:tabs>
        <w:numPr>
          <w:ilvl w:val="1"/>
          <w:numId w:val="19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The Board may from time to time grant or provide for the grant of Purchase Rights to Eligible Employees under an Offering (consisting of one or more Purchase Periods) on an Offering Date or Offering Dates selected by the Board. Each Offering will be in such form and will contain such terms and conditions as the Board will deem appropriate, and with respect to the 423 Component, will comply with the requirement of Section 423(b)(5) of the Code that all Employees granted Purchase Rights will have the same rights and privileges. The terms and conditions of an Offering shall be incorporated by reference into the Plan and treated as part of the Plan. The provisions of separate Offerings need not be identical, but each Offering will include (through incorporation of the provisions of this Plan by reference in the document comprising the Offering or otherwise) the period during which the Offering will be effective, which period will not exceed 27 months beginning with the Offering Date, and the substance of the provisions contained in Sections 5 through 8, inclusive.</w:t>
      </w:r>
    </w:p>
    <w:p>
      <w:pPr>
        <w:spacing w:after="0" w:line="174" w:lineRule="exact"/>
        <w:rPr>
          <w:rFonts w:ascii="Times New Roman" w:cs="Times New Roman" w:eastAsia="Times New Roman" w:hAnsi="Times New Roman"/>
          <w:sz w:val="19"/>
          <w:szCs w:val="19"/>
          <w:b w:val="1"/>
          <w:bCs w:val="1"/>
          <w:color w:val="auto"/>
        </w:rPr>
      </w:pPr>
    </w:p>
    <w:p>
      <w:pPr>
        <w:ind w:firstLine="517"/>
        <w:spacing w:after="0" w:line="243" w:lineRule="auto"/>
        <w:tabs>
          <w:tab w:leader="none" w:pos="800" w:val="left"/>
        </w:tabs>
        <w:numPr>
          <w:ilvl w:val="1"/>
          <w:numId w:val="19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a Participant has more than one Purchase Right outstanding under the Plan, unless he or she otherwise indicates in forms delivered to the Company or a third party designated by the Company (each, a “</w:t>
      </w:r>
      <w:r>
        <w:rPr>
          <w:rFonts w:ascii="Times New Roman" w:cs="Times New Roman" w:eastAsia="Times New Roman" w:hAnsi="Times New Roman"/>
          <w:sz w:val="20"/>
          <w:szCs w:val="20"/>
          <w:b w:val="1"/>
          <w:bCs w:val="1"/>
          <w:i w:val="1"/>
          <w:iCs w:val="1"/>
          <w:color w:val="auto"/>
        </w:rPr>
        <w:t>Company Designee</w:t>
      </w:r>
      <w:r>
        <w:rPr>
          <w:rFonts w:ascii="Times New Roman" w:cs="Times New Roman" w:eastAsia="Times New Roman" w:hAnsi="Times New Roman"/>
          <w:sz w:val="20"/>
          <w:szCs w:val="20"/>
          <w:color w:val="auto"/>
        </w:rPr>
        <w:t>”): (i) each form will apply to all of his or her Purchase Rights under the Plan, and (ii) a Purchase Right with a lower exercise price (or an earlier-granted Purchase Right, if different Purchase Rights have identical exercise prices) will be exercised to the fullest possible extent before a Purchase Right with a higher exercise price (or a later-granted Purchase Right if different Purchase Rights have identical exercise prices) will be exercised.</w:t>
      </w:r>
    </w:p>
    <w:p>
      <w:pPr>
        <w:spacing w:after="0" w:line="185" w:lineRule="exact"/>
        <w:rPr>
          <w:rFonts w:ascii="Times New Roman" w:cs="Times New Roman" w:eastAsia="Times New Roman" w:hAnsi="Times New Roman"/>
          <w:sz w:val="20"/>
          <w:szCs w:val="20"/>
          <w:b w:val="1"/>
          <w:bCs w:val="1"/>
          <w:color w:val="auto"/>
        </w:rPr>
      </w:pPr>
    </w:p>
    <w:p>
      <w:pPr>
        <w:jc w:val="both"/>
        <w:ind w:right="40" w:firstLine="517"/>
        <w:spacing w:after="0" w:line="261" w:lineRule="auto"/>
        <w:tabs>
          <w:tab w:leader="none" w:pos="778" w:val="left"/>
        </w:tabs>
        <w:numPr>
          <w:ilvl w:val="1"/>
          <w:numId w:val="19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The Board will have the discretion to structure an Offering so that if the Fair Market Value of a share of Common Stock on the first Trading Day of a new Purchase Period within that Offering is less than or equal to the Fair Market Value of a share of Common Stock on the Offering Date for that Offering, then (i) that Offering will terminate immediately as of that first Trading Day, and (ii) the Participants in such terminated Offering will be automatically enrolled in a new Offering beginning on the first Trading Day of such new Purchase Period.</w:t>
      </w:r>
    </w:p>
    <w:p>
      <w:pPr>
        <w:spacing w:after="0" w:line="179" w:lineRule="exact"/>
        <w:rPr>
          <w:rFonts w:ascii="Times New Roman" w:cs="Times New Roman" w:eastAsia="Times New Roman" w:hAnsi="Times New Roman"/>
          <w:sz w:val="19"/>
          <w:szCs w:val="19"/>
          <w:b w:val="1"/>
          <w:bCs w:val="1"/>
          <w:color w:val="auto"/>
        </w:rPr>
      </w:pPr>
    </w:p>
    <w:p>
      <w:pPr>
        <w:ind w:left="480" w:hanging="459"/>
        <w:spacing w:after="0"/>
        <w:tabs>
          <w:tab w:leader="none" w:pos="480" w:val="left"/>
        </w:tabs>
        <w:numPr>
          <w:ilvl w:val="0"/>
          <w:numId w:val="19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ELIGIBILITY.</w:t>
      </w:r>
    </w:p>
    <w:p>
      <w:pPr>
        <w:spacing w:after="0" w:line="111" w:lineRule="exact"/>
        <w:rPr>
          <w:rFonts w:ascii="Times New Roman" w:cs="Times New Roman" w:eastAsia="Times New Roman" w:hAnsi="Times New Roman"/>
          <w:sz w:val="20"/>
          <w:szCs w:val="20"/>
          <w:b w:val="1"/>
          <w:bCs w:val="1"/>
          <w:color w:val="auto"/>
        </w:rPr>
      </w:pPr>
    </w:p>
    <w:p>
      <w:pPr>
        <w:ind w:right="20" w:firstLine="517"/>
        <w:spacing w:after="0" w:line="242" w:lineRule="auto"/>
        <w:tabs>
          <w:tab w:leader="none" w:pos="789" w:val="left"/>
        </w:tabs>
        <w:numPr>
          <w:ilvl w:val="1"/>
          <w:numId w:val="19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Purchase Rights may be granted only to Employees of the Company or, as the Board may designate in accordance with Section 2(b), to Employees of a Related Corporation or an Affiliate. Except as provided in Section 5(b) or as required by Applicable Law, an Employee will not be eligible to be granted Purchase Rights unless, on the Offering Date, the Employee has been in the employ of the Company, the Related Corporation or the Affiliate, as the case may be, for such continuous period preceding such Offering Date as the Board may (unless prohibited by Applicable Law) require, but in no event will the required period of continuous employment be equal to or greater than two years. In addition, the Board may provide that no Employee will be eligible to be granted Purchase Rights 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180975</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27" w:right="359" w:bottom="1440" w:gutter="0" w:footer="0" w:header="0"/>
        </w:sectPr>
      </w:pPr>
    </w:p>
    <w:bookmarkStart w:id="196" w:name="page197"/>
    <w:bookmarkEnd w:id="196"/>
    <w:p>
      <w:pPr>
        <w:spacing w:after="0" w:line="246" w:lineRule="auto"/>
        <w:rPr>
          <w:sz w:val="20"/>
          <w:szCs w:val="20"/>
          <w:color w:val="auto"/>
        </w:rPr>
      </w:pPr>
      <w:r>
        <w:rPr>
          <w:rFonts w:ascii="Times New Roman" w:cs="Times New Roman" w:eastAsia="Times New Roman" w:hAnsi="Times New Roman"/>
          <w:sz w:val="20"/>
          <w:szCs w:val="20"/>
          <w:color w:val="auto"/>
        </w:rPr>
        <w:t>the Plan unless, on the Offering Date, such Employee’s customary employment with the Company, the Related Corporation or the Affiliate is more than 20 hours per week and more than five months per calendar year or such other criteria as the Board may determine consistent with Section 423 of the Code with respect to the 423 Component. The Board may also exclude from participation in the Plan or any Offering Employees who are “highly compensated employees” (within the meaning of Section 423(b)(4)(D) of the Code) of the Company or a Related Corporation or a subset of such highly compensated employees.</w:t>
      </w:r>
    </w:p>
    <w:p>
      <w:pPr>
        <w:spacing w:after="0" w:line="185" w:lineRule="exact"/>
        <w:rPr>
          <w:sz w:val="20"/>
          <w:szCs w:val="20"/>
          <w:color w:val="auto"/>
        </w:rPr>
      </w:pPr>
    </w:p>
    <w:p>
      <w:pPr>
        <w:ind w:right="60" w:firstLine="517"/>
        <w:spacing w:after="0" w:line="243" w:lineRule="auto"/>
        <w:tabs>
          <w:tab w:leader="none" w:pos="800" w:val="left"/>
        </w:tabs>
        <w:numPr>
          <w:ilvl w:val="0"/>
          <w:numId w:val="19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Board may provide that each person who, during the course of an Offering, first becomes an Eligible Employee will, on a date or dates specified in the Offering which coincides with the day on which such person becomes an Eligible Employee or which occurs thereafter, receive a Purchase Right under that Offering, which Purchase Right will thereafter be deemed to be a part of that Offering. Such Purchase Right will have the same characteristics as any Purchase Rights originally granted under that Offering, as described herein, except that:</w:t>
      </w:r>
    </w:p>
    <w:p>
      <w:pPr>
        <w:spacing w:after="0" w:line="77" w:lineRule="exact"/>
        <w:rPr>
          <w:rFonts w:ascii="Times New Roman" w:cs="Times New Roman" w:eastAsia="Times New Roman" w:hAnsi="Times New Roman"/>
          <w:sz w:val="20"/>
          <w:szCs w:val="20"/>
          <w:b w:val="1"/>
          <w:bCs w:val="1"/>
          <w:color w:val="auto"/>
        </w:rPr>
      </w:pPr>
    </w:p>
    <w:p>
      <w:pPr>
        <w:ind w:right="520" w:firstLine="1154"/>
        <w:spacing w:after="0" w:line="269" w:lineRule="auto"/>
        <w:tabs>
          <w:tab w:leader="none" w:pos="1382" w:val="left"/>
        </w:tabs>
        <w:numPr>
          <w:ilvl w:val="1"/>
          <w:numId w:val="19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date on which such Purchase Right is granted will be the “Offering Date” of such Purchase Right for all purposes, including determination of the exercise price of such Purchase Right;</w:t>
      </w:r>
    </w:p>
    <w:p>
      <w:pPr>
        <w:spacing w:after="0" w:line="145" w:lineRule="exact"/>
        <w:rPr>
          <w:rFonts w:ascii="Times New Roman" w:cs="Times New Roman" w:eastAsia="Times New Roman" w:hAnsi="Times New Roman"/>
          <w:sz w:val="20"/>
          <w:szCs w:val="20"/>
          <w:b w:val="1"/>
          <w:bCs w:val="1"/>
          <w:color w:val="auto"/>
        </w:rPr>
      </w:pPr>
    </w:p>
    <w:p>
      <w:pPr>
        <w:ind w:right="160" w:firstLine="1154"/>
        <w:spacing w:after="0" w:line="269" w:lineRule="auto"/>
        <w:tabs>
          <w:tab w:leader="none" w:pos="1437" w:val="left"/>
        </w:tabs>
        <w:numPr>
          <w:ilvl w:val="1"/>
          <w:numId w:val="19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period of the Offering with respect to such Purchase Right will begin on its Offering Date and end coincident with the end of such Offering; and</w:t>
      </w:r>
    </w:p>
    <w:p>
      <w:pPr>
        <w:spacing w:after="0" w:line="159" w:lineRule="exact"/>
        <w:rPr>
          <w:rFonts w:ascii="Times New Roman" w:cs="Times New Roman" w:eastAsia="Times New Roman" w:hAnsi="Times New Roman"/>
          <w:sz w:val="20"/>
          <w:szCs w:val="20"/>
          <w:b w:val="1"/>
          <w:bCs w:val="1"/>
          <w:color w:val="auto"/>
        </w:rPr>
      </w:pPr>
    </w:p>
    <w:p>
      <w:pPr>
        <w:ind w:right="60" w:firstLine="1154"/>
        <w:spacing w:after="0" w:line="269" w:lineRule="auto"/>
        <w:tabs>
          <w:tab w:leader="none" w:pos="1492" w:val="left"/>
        </w:tabs>
        <w:numPr>
          <w:ilvl w:val="1"/>
          <w:numId w:val="19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Board may provide that if such person first becomes an Eligible Employee within a specified period of time before the end of the Offering, he or she will not receive any Purchase Right under that Offering.</w:t>
      </w:r>
    </w:p>
    <w:p>
      <w:pPr>
        <w:spacing w:after="0" w:line="159" w:lineRule="exact"/>
        <w:rPr>
          <w:rFonts w:ascii="Times New Roman" w:cs="Times New Roman" w:eastAsia="Times New Roman" w:hAnsi="Times New Roman"/>
          <w:sz w:val="20"/>
          <w:szCs w:val="20"/>
          <w:b w:val="1"/>
          <w:bCs w:val="1"/>
          <w:color w:val="auto"/>
        </w:rPr>
      </w:pPr>
    </w:p>
    <w:p>
      <w:pPr>
        <w:ind w:firstLine="517"/>
        <w:spacing w:after="0" w:line="243" w:lineRule="auto"/>
        <w:tabs>
          <w:tab w:leader="none" w:pos="778" w:val="left"/>
        </w:tabs>
        <w:numPr>
          <w:ilvl w:val="0"/>
          <w:numId w:val="19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No Employee will be eligible for the grant of any Purchase Rights under the 423 Component if, immediately after any such Purchase Rights are granted, such Employee owns stock possessing five percent or more of the total combined voting power or value of all classes of stock of the Company or of any Related Corporation. For purposes of this Section 5(c), the rules of Section 424(d) of the Code will apply in determining the stock ownership of any Employee, and stock which such Employee may purchase under all outstanding Purchase Rights and options will be treated as stock owned by such Employee.</w:t>
      </w:r>
    </w:p>
    <w:p>
      <w:pPr>
        <w:spacing w:after="0" w:line="185" w:lineRule="exact"/>
        <w:rPr>
          <w:rFonts w:ascii="Times New Roman" w:cs="Times New Roman" w:eastAsia="Times New Roman" w:hAnsi="Times New Roman"/>
          <w:sz w:val="20"/>
          <w:szCs w:val="20"/>
          <w:b w:val="1"/>
          <w:bCs w:val="1"/>
          <w:color w:val="auto"/>
        </w:rPr>
      </w:pPr>
    </w:p>
    <w:p>
      <w:pPr>
        <w:ind w:right="60" w:firstLine="517"/>
        <w:spacing w:after="0" w:line="242" w:lineRule="auto"/>
        <w:tabs>
          <w:tab w:leader="none" w:pos="800" w:val="left"/>
        </w:tabs>
        <w:numPr>
          <w:ilvl w:val="0"/>
          <w:numId w:val="19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As specified by Section 423(b)(8) of the Code, an Eligible Employee may be granted Purchase Rights under the 423 Component only if such Purchase Rights, together with any other rights granted under all Employee Stock Purchase Plans of the Company and any Related Corporations, do not permit such Eligible Employee’s rights to purchase stock of the Company or any Related Corporation to accrue at a rate which, when aggregated, exceeds $25,000 of Fair Market Value of such stock (determined at the time such rights are granted, and which, with respect to the Plan, will be determined as of their respective Offering Dates) for each calendar year in which such rights are outstanding at any time.</w:t>
      </w:r>
    </w:p>
    <w:p>
      <w:pPr>
        <w:spacing w:after="0" w:line="188" w:lineRule="exact"/>
        <w:rPr>
          <w:rFonts w:ascii="Times New Roman" w:cs="Times New Roman" w:eastAsia="Times New Roman" w:hAnsi="Times New Roman"/>
          <w:sz w:val="20"/>
          <w:szCs w:val="20"/>
          <w:b w:val="1"/>
          <w:bCs w:val="1"/>
          <w:color w:val="auto"/>
        </w:rPr>
      </w:pPr>
    </w:p>
    <w:p>
      <w:pPr>
        <w:jc w:val="both"/>
        <w:ind w:right="140" w:firstLine="517"/>
        <w:spacing w:after="0" w:line="249" w:lineRule="auto"/>
        <w:tabs>
          <w:tab w:leader="none" w:pos="778" w:val="left"/>
        </w:tabs>
        <w:numPr>
          <w:ilvl w:val="0"/>
          <w:numId w:val="19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Officers of the Company and any Designated Company, if they are otherwise Eligible Employees, will be eligible to participate in Offerings under the Plan. Notwithstanding the foregoing, the Board may (unless prohibited by Applicable Law) provide in an Offering that Employees who are highly compensated Employees within the meaning of Section 423(b)(4)(D) of the Code will not be eligible to participate.</w:t>
      </w:r>
    </w:p>
    <w:p>
      <w:pPr>
        <w:spacing w:after="0" w:line="179" w:lineRule="exact"/>
        <w:rPr>
          <w:rFonts w:ascii="Times New Roman" w:cs="Times New Roman" w:eastAsia="Times New Roman" w:hAnsi="Times New Roman"/>
          <w:sz w:val="20"/>
          <w:szCs w:val="20"/>
          <w:b w:val="1"/>
          <w:bCs w:val="1"/>
          <w:color w:val="auto"/>
        </w:rPr>
      </w:pPr>
    </w:p>
    <w:p>
      <w:pPr>
        <w:ind w:right="60" w:firstLine="517"/>
        <w:spacing w:after="0" w:line="254" w:lineRule="auto"/>
        <w:tabs>
          <w:tab w:leader="none" w:pos="756" w:val="left"/>
        </w:tabs>
        <w:numPr>
          <w:ilvl w:val="0"/>
          <w:numId w:val="19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Notwithstanding anything in this Section 5 to the contrary, in the case of an Offering under the Non-423 Component, an Eligible Employee (or group of Eligible Employees) may be excluded from participation in the Plan or an Offering if the Board has determined, in its sole discretion, that participation of such Eligible Employee(s) is not advisable or practical for any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318135</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27" w:right="359" w:bottom="1440" w:gutter="0" w:footer="0" w:header="0"/>
        </w:sectPr>
      </w:pPr>
    </w:p>
    <w:bookmarkStart w:id="197" w:name="page198"/>
    <w:bookmarkEnd w:id="197"/>
    <w:p>
      <w:pPr>
        <w:ind w:left="459" w:hanging="459"/>
        <w:spacing w:after="0"/>
        <w:tabs>
          <w:tab w:leader="none" w:pos="459" w:val="left"/>
        </w:tabs>
        <w:numPr>
          <w:ilvl w:val="0"/>
          <w:numId w:val="19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PURCHASE RIGHTS; PURCHASE PRICE.</w:t>
      </w:r>
    </w:p>
    <w:p>
      <w:pPr>
        <w:spacing w:after="0" w:line="111" w:lineRule="exact"/>
        <w:rPr>
          <w:rFonts w:ascii="Times New Roman" w:cs="Times New Roman" w:eastAsia="Times New Roman" w:hAnsi="Times New Roman"/>
          <w:sz w:val="20"/>
          <w:szCs w:val="20"/>
          <w:b w:val="1"/>
          <w:bCs w:val="1"/>
          <w:color w:val="auto"/>
        </w:rPr>
      </w:pPr>
    </w:p>
    <w:p>
      <w:pPr>
        <w:jc w:val="both"/>
        <w:ind w:left="-21" w:right="120" w:firstLine="517"/>
        <w:spacing w:after="0" w:line="249" w:lineRule="auto"/>
        <w:tabs>
          <w:tab w:leader="none" w:pos="768" w:val="left"/>
        </w:tabs>
        <w:numPr>
          <w:ilvl w:val="1"/>
          <w:numId w:val="19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On each Offering Date, each Eligible Employee, pursuant to an Offering made under the Plan, will be granted a Purchase Right to purchase up to that number of shares of Common Stock purchasable either with a percentage of earnings or with a maximum dollar amount, as designated by the Board during the period that begins on the Offering Date (or such later date as the Board determines for a particular Offering) and ends on the date stated in the Offering, which date will be no later than the end of the Offering.</w:t>
      </w:r>
    </w:p>
    <w:p>
      <w:pPr>
        <w:spacing w:after="0" w:line="179" w:lineRule="exact"/>
        <w:rPr>
          <w:rFonts w:ascii="Times New Roman" w:cs="Times New Roman" w:eastAsia="Times New Roman" w:hAnsi="Times New Roman"/>
          <w:sz w:val="20"/>
          <w:szCs w:val="20"/>
          <w:b w:val="1"/>
          <w:bCs w:val="1"/>
          <w:color w:val="auto"/>
        </w:rPr>
      </w:pPr>
    </w:p>
    <w:p>
      <w:pPr>
        <w:ind w:left="-21" w:right="200" w:firstLine="517"/>
        <w:spacing w:after="0" w:line="269" w:lineRule="auto"/>
        <w:tabs>
          <w:tab w:leader="none" w:pos="779" w:val="left"/>
        </w:tabs>
        <w:numPr>
          <w:ilvl w:val="1"/>
          <w:numId w:val="19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Board will establish one or more Purchase Dates during an Offering on which Purchase Rights granted for that Offering will be exercised and shares of Common Stock will be purchased in accordance with such Offering.</w:t>
      </w:r>
    </w:p>
    <w:p>
      <w:pPr>
        <w:spacing w:after="0" w:line="145" w:lineRule="exact"/>
        <w:rPr>
          <w:rFonts w:ascii="Times New Roman" w:cs="Times New Roman" w:eastAsia="Times New Roman" w:hAnsi="Times New Roman"/>
          <w:sz w:val="20"/>
          <w:szCs w:val="20"/>
          <w:b w:val="1"/>
          <w:bCs w:val="1"/>
          <w:color w:val="auto"/>
        </w:rPr>
      </w:pPr>
    </w:p>
    <w:p>
      <w:pPr>
        <w:ind w:left="-21" w:right="120" w:firstLine="517"/>
        <w:spacing w:after="0" w:line="241" w:lineRule="auto"/>
        <w:tabs>
          <w:tab w:leader="none" w:pos="757" w:val="left"/>
        </w:tabs>
        <w:numPr>
          <w:ilvl w:val="1"/>
          <w:numId w:val="19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 connection with each Offering made under the Plan, the Board may specify (i) a maximum number of shares of Common Stock that may be purchased by any Participant on any Purchase Date during such Offering, (ii) a maximum aggregate number of shares of Common Stock that may be purchased by all Participants pursuant to such Offering and/or (iii) a maximum aggregate number of shares of Common Stock that may be purchased by all Participants on any Purchase Date under the Offering. If the aggregate purchase of shares of Common Stock issuable upon exercise of Purchase Rights granted under the Offering would exceed any such maximum aggregate number, then, in the absence of any Board action otherwise, a pro rata (based on each Participant’s accumulated Contributions) allocation of the shares of Common Stock (rounded down to the nearest whole share) available will be made in as nearly a uniform manner as will be practicable and equitable.</w:t>
      </w:r>
    </w:p>
    <w:p>
      <w:pPr>
        <w:spacing w:after="0" w:line="191" w:lineRule="exact"/>
        <w:rPr>
          <w:rFonts w:ascii="Times New Roman" w:cs="Times New Roman" w:eastAsia="Times New Roman" w:hAnsi="Times New Roman"/>
          <w:sz w:val="20"/>
          <w:szCs w:val="20"/>
          <w:b w:val="1"/>
          <w:bCs w:val="1"/>
          <w:color w:val="auto"/>
        </w:rPr>
      </w:pPr>
    </w:p>
    <w:p>
      <w:pPr>
        <w:ind w:left="-21" w:right="580" w:firstLine="517"/>
        <w:spacing w:after="0" w:line="269" w:lineRule="auto"/>
        <w:tabs>
          <w:tab w:leader="none" w:pos="779" w:val="left"/>
        </w:tabs>
        <w:numPr>
          <w:ilvl w:val="1"/>
          <w:numId w:val="19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purchase price of shares of Common Stock acquired pursuant to Purchase Rights will be specified by the Board prior to commencement of an Offering and will not be less than the lesser of:</w:t>
      </w:r>
    </w:p>
    <w:p>
      <w:pPr>
        <w:spacing w:after="0" w:line="51" w:lineRule="exact"/>
        <w:rPr>
          <w:rFonts w:ascii="Times New Roman" w:cs="Times New Roman" w:eastAsia="Times New Roman" w:hAnsi="Times New Roman"/>
          <w:sz w:val="20"/>
          <w:szCs w:val="20"/>
          <w:b w:val="1"/>
          <w:bCs w:val="1"/>
          <w:color w:val="auto"/>
        </w:rPr>
      </w:pPr>
    </w:p>
    <w:p>
      <w:pPr>
        <w:ind w:left="1359" w:hanging="226"/>
        <w:spacing w:after="0"/>
        <w:tabs>
          <w:tab w:leader="none" w:pos="1359" w:val="left"/>
        </w:tabs>
        <w:numPr>
          <w:ilvl w:val="2"/>
          <w:numId w:val="19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an amount equal to 85% of the Fair Market Value of the shares of Common Stock on the Offering Date; or</w:t>
      </w:r>
    </w:p>
    <w:p>
      <w:pPr>
        <w:spacing w:after="0" w:line="215" w:lineRule="exact"/>
        <w:rPr>
          <w:rFonts w:ascii="Times New Roman" w:cs="Times New Roman" w:eastAsia="Times New Roman" w:hAnsi="Times New Roman"/>
          <w:sz w:val="20"/>
          <w:szCs w:val="20"/>
          <w:b w:val="1"/>
          <w:bCs w:val="1"/>
          <w:color w:val="auto"/>
        </w:rPr>
      </w:pPr>
    </w:p>
    <w:p>
      <w:pPr>
        <w:ind w:left="1419" w:hanging="286"/>
        <w:spacing w:after="0"/>
        <w:tabs>
          <w:tab w:leader="none" w:pos="1419" w:val="left"/>
        </w:tabs>
        <w:numPr>
          <w:ilvl w:val="2"/>
          <w:numId w:val="19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an amount equal to 85% of the Fair Market Value of the shares of Common Stock on the applicable Purchase Date.</w:t>
      </w:r>
    </w:p>
    <w:p>
      <w:pPr>
        <w:spacing w:after="0" w:line="211" w:lineRule="exact"/>
        <w:rPr>
          <w:rFonts w:ascii="Times New Roman" w:cs="Times New Roman" w:eastAsia="Times New Roman" w:hAnsi="Times New Roman"/>
          <w:sz w:val="20"/>
          <w:szCs w:val="20"/>
          <w:b w:val="1"/>
          <w:bCs w:val="1"/>
          <w:color w:val="auto"/>
        </w:rPr>
      </w:pPr>
    </w:p>
    <w:p>
      <w:pPr>
        <w:ind w:left="459" w:hanging="459"/>
        <w:spacing w:after="0"/>
        <w:tabs>
          <w:tab w:leader="none" w:pos="459" w:val="left"/>
        </w:tabs>
        <w:numPr>
          <w:ilvl w:val="0"/>
          <w:numId w:val="19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PARTICIPATION; WITHDRAWAL; TERMINATION.</w:t>
      </w:r>
    </w:p>
    <w:p>
      <w:pPr>
        <w:spacing w:after="0" w:line="111" w:lineRule="exact"/>
        <w:rPr>
          <w:rFonts w:ascii="Times New Roman" w:cs="Times New Roman" w:eastAsia="Times New Roman" w:hAnsi="Times New Roman"/>
          <w:sz w:val="20"/>
          <w:szCs w:val="20"/>
          <w:b w:val="1"/>
          <w:bCs w:val="1"/>
          <w:color w:val="auto"/>
        </w:rPr>
      </w:pPr>
    </w:p>
    <w:p>
      <w:pPr>
        <w:ind w:left="-21" w:firstLine="517"/>
        <w:spacing w:after="0"/>
        <w:tabs>
          <w:tab w:leader="none" w:pos="768" w:val="left"/>
        </w:tabs>
        <w:numPr>
          <w:ilvl w:val="1"/>
          <w:numId w:val="19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An Eligible Employee may elect to participate in an Offering and authorize payroll deductions as the means of making Contributions by completing and delivering to the Company or a Company Designee, within the time specified in the Offering, an enrollment form provided by the Company or Company Designee. The enrollment form will specify the amount of Contributions not to exceed the maximum amount specified by the Board. Each Participant’s Contributions will be credited to a bookkeeping account for such Participant under the Plan and will be deposited with the general funds of the Company except where Applicable Law requires that Contributions be deposited with a third party. If permitted in the Offering, a Participant may begin such Contributions with the first payroll occurring on or after the Offering Date (or, in the case of a payroll date that occurs after the end of the prior Offering but before the Offering Date of the next new Offering, Contributions from such payroll will be included in the new Offering). If permitted in the Offering, a Participant may thereafter reduce (including to zero) or increase his or her Contributions. If required under Applicable Law or if specifically provided in the Offering and to the extent permitted by Section 423 of the Code with respect to the 423 Component, in addition to or instead of making Contributions by payroll deductions, a Participant may make Contributions through payment by cash, check or wire transfer prior to a Purchase Date.</w:t>
      </w:r>
    </w:p>
    <w:p>
      <w:pPr>
        <w:spacing w:after="0" w:line="183" w:lineRule="exact"/>
        <w:rPr>
          <w:rFonts w:ascii="Times New Roman" w:cs="Times New Roman" w:eastAsia="Times New Roman" w:hAnsi="Times New Roman"/>
          <w:sz w:val="20"/>
          <w:szCs w:val="20"/>
          <w:b w:val="1"/>
          <w:bCs w:val="1"/>
          <w:color w:val="auto"/>
        </w:rPr>
      </w:pPr>
    </w:p>
    <w:p>
      <w:pPr>
        <w:ind w:left="-21" w:right="140" w:firstLine="517"/>
        <w:spacing w:after="0" w:line="269" w:lineRule="auto"/>
        <w:tabs>
          <w:tab w:leader="none" w:pos="779" w:val="left"/>
        </w:tabs>
        <w:numPr>
          <w:ilvl w:val="1"/>
          <w:numId w:val="19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During an Offering, a Participant may cease making Contributions and withdraw from the Offering by delivering to the Company or a Company Designee a withdrawal form provided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163195</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9"/>
          </w:cols>
          <w:pgMar w:left="341" w:top="315" w:right="359" w:bottom="1440" w:gutter="0" w:footer="0" w:header="0"/>
        </w:sectPr>
      </w:pPr>
    </w:p>
    <w:bookmarkStart w:id="198" w:name="page199"/>
    <w:bookmarkEnd w:id="198"/>
    <w:p>
      <w:pPr>
        <w:spacing w:after="0" w:line="246" w:lineRule="auto"/>
        <w:rPr>
          <w:sz w:val="20"/>
          <w:szCs w:val="20"/>
          <w:color w:val="auto"/>
        </w:rPr>
      </w:pPr>
      <w:r>
        <w:rPr>
          <w:rFonts w:ascii="Times New Roman" w:cs="Times New Roman" w:eastAsia="Times New Roman" w:hAnsi="Times New Roman"/>
          <w:sz w:val="20"/>
          <w:szCs w:val="20"/>
          <w:color w:val="auto"/>
        </w:rPr>
        <w:t>Company. The Company may impose a deadline before a Purchase Date for withdrawing. Upon such withdrawal, such Participant’s Purchase Right in that Offering will immediately terminate and the Company will distribute as soon as practicable to such Participant all of his or her accumulated but unused Contributions and such Participant’s Purchase Right in that Offering shall thereupon terminate. A Participant’s withdrawal from that Offering will have no effect upon his or her eligibility to participate in any other Offerings under the Plan, but such Participant will be required to deliver a new enrollment form to participate in subsequent Offerings.</w:t>
      </w:r>
    </w:p>
    <w:p>
      <w:pPr>
        <w:spacing w:after="0" w:line="185" w:lineRule="exact"/>
        <w:rPr>
          <w:sz w:val="20"/>
          <w:szCs w:val="20"/>
          <w:color w:val="auto"/>
        </w:rPr>
      </w:pPr>
    </w:p>
    <w:p>
      <w:pPr>
        <w:ind w:right="40" w:firstLine="517"/>
        <w:spacing w:after="0" w:line="244" w:lineRule="auto"/>
        <w:tabs>
          <w:tab w:leader="none" w:pos="778" w:val="left"/>
        </w:tabs>
        <w:numPr>
          <w:ilvl w:val="1"/>
          <w:numId w:val="19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Unless otherwise required by Applicable Law, Purchase Rights granted pursuant to any Offering under the Plan will terminate immediately if the Participant either (i) is no longer an Employee for any reason or for no reason (subject to any post-employment participation period required by Applicable Law) or (ii) is otherwise no longer eligible to participate. The Company will distribute as soon as practicable to such individual all of his or her accumulated but unused Contributions.</w:t>
      </w:r>
    </w:p>
    <w:p>
      <w:pPr>
        <w:spacing w:after="0" w:line="185" w:lineRule="exact"/>
        <w:rPr>
          <w:rFonts w:ascii="Times New Roman" w:cs="Times New Roman" w:eastAsia="Times New Roman" w:hAnsi="Times New Roman"/>
          <w:sz w:val="20"/>
          <w:szCs w:val="20"/>
          <w:b w:val="1"/>
          <w:bCs w:val="1"/>
          <w:color w:val="auto"/>
        </w:rPr>
      </w:pPr>
    </w:p>
    <w:p>
      <w:pPr>
        <w:ind w:right="120" w:firstLine="517"/>
        <w:spacing w:after="0" w:line="256" w:lineRule="auto"/>
        <w:tabs>
          <w:tab w:leader="none" w:pos="800" w:val="left"/>
        </w:tabs>
        <w:numPr>
          <w:ilvl w:val="1"/>
          <w:numId w:val="19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Unless otherwise determined by the Board, a Participant whose employment transfers or whose employment terminates with an immediate rehire (with no break in service) by or between the Company and a Designated Company or between Designated Companies will not be treated as having terminated employment for purposes of participating in the Plan or an Offering; however, if a Participant transfers from an Offering under the 423 Component to an Offering under the Non-423 Component, the exercise of the Participant’s Purchase Right will be qualified under the 423 Component only to the extent such exercise complies with Section 423 of the Code. If a Participant transfers from an Offering under the Non-423 Component to an Offering under the 423 Component, the exercise of the Purchase Right will remain non-qualified under the Non-423 Component. The Board may establish different and additional rules governing transfers between separate Offerings within the 423 Component and between Offerings under the 423 Component and Offerings under the Non-423 Component.</w:t>
      </w:r>
    </w:p>
    <w:p>
      <w:pPr>
        <w:spacing w:after="0" w:line="174" w:lineRule="exact"/>
        <w:rPr>
          <w:rFonts w:ascii="Times New Roman" w:cs="Times New Roman" w:eastAsia="Times New Roman" w:hAnsi="Times New Roman"/>
          <w:sz w:val="19"/>
          <w:szCs w:val="19"/>
          <w:b w:val="1"/>
          <w:bCs w:val="1"/>
          <w:color w:val="auto"/>
        </w:rPr>
      </w:pPr>
    </w:p>
    <w:p>
      <w:pPr>
        <w:ind w:right="200" w:firstLine="517"/>
        <w:spacing w:after="0" w:line="247" w:lineRule="auto"/>
        <w:tabs>
          <w:tab w:leader="none" w:pos="778" w:val="left"/>
        </w:tabs>
        <w:numPr>
          <w:ilvl w:val="1"/>
          <w:numId w:val="19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During a Participant’s lifetime, Purchase Rights will be exercisable only by such Participant. Purchase Rights are not transferable by a Participant, except by will, by the laws of descent and distribution, or, if permitted by the Company, by a beneficiary designation as described in Section 10.</w:t>
      </w:r>
    </w:p>
    <w:p>
      <w:pPr>
        <w:spacing w:after="0" w:line="180" w:lineRule="exact"/>
        <w:rPr>
          <w:rFonts w:ascii="Times New Roman" w:cs="Times New Roman" w:eastAsia="Times New Roman" w:hAnsi="Times New Roman"/>
          <w:sz w:val="20"/>
          <w:szCs w:val="20"/>
          <w:b w:val="1"/>
          <w:bCs w:val="1"/>
          <w:color w:val="auto"/>
        </w:rPr>
      </w:pPr>
    </w:p>
    <w:p>
      <w:pPr>
        <w:ind w:right="220" w:firstLine="517"/>
        <w:spacing w:after="0" w:line="269" w:lineRule="auto"/>
        <w:tabs>
          <w:tab w:leader="none" w:pos="756" w:val="left"/>
        </w:tabs>
        <w:numPr>
          <w:ilvl w:val="1"/>
          <w:numId w:val="19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Unless otherwise specified in the Offering or as required by Applicable Law, the Company will have no obligation to pay interest on Contributions.</w:t>
      </w:r>
    </w:p>
    <w:p>
      <w:pPr>
        <w:spacing w:after="0" w:line="168" w:lineRule="exact"/>
        <w:rPr>
          <w:rFonts w:ascii="Times New Roman" w:cs="Times New Roman" w:eastAsia="Times New Roman" w:hAnsi="Times New Roman"/>
          <w:sz w:val="20"/>
          <w:szCs w:val="20"/>
          <w:b w:val="1"/>
          <w:bCs w:val="1"/>
          <w:color w:val="auto"/>
        </w:rPr>
      </w:pPr>
    </w:p>
    <w:p>
      <w:pPr>
        <w:ind w:left="480" w:hanging="459"/>
        <w:spacing w:after="0"/>
        <w:tabs>
          <w:tab w:leader="none" w:pos="480" w:val="left"/>
        </w:tabs>
        <w:numPr>
          <w:ilvl w:val="0"/>
          <w:numId w:val="19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EXERCISE OF PURCHASE RIGHTS.</w:t>
      </w:r>
    </w:p>
    <w:p>
      <w:pPr>
        <w:spacing w:after="0" w:line="111" w:lineRule="exact"/>
        <w:rPr>
          <w:rFonts w:ascii="Times New Roman" w:cs="Times New Roman" w:eastAsia="Times New Roman" w:hAnsi="Times New Roman"/>
          <w:sz w:val="20"/>
          <w:szCs w:val="20"/>
          <w:b w:val="1"/>
          <w:bCs w:val="1"/>
          <w:color w:val="auto"/>
        </w:rPr>
      </w:pPr>
    </w:p>
    <w:p>
      <w:pPr>
        <w:jc w:val="both"/>
        <w:ind w:right="100" w:firstLine="517"/>
        <w:spacing w:after="0" w:line="247" w:lineRule="auto"/>
        <w:tabs>
          <w:tab w:leader="none" w:pos="789" w:val="left"/>
        </w:tabs>
        <w:numPr>
          <w:ilvl w:val="1"/>
          <w:numId w:val="19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On each Purchase Date, each Participant’s accumulated Contributions will be applied to the purchase of shares of Common Stock, up to the maximum number of shares of Common Stock permitted by the Plan and the applicable Offering, at the purchase price specified in the Offering. No fractional shares will be issued unless specifically provided for in the Offering.</w:t>
      </w:r>
    </w:p>
    <w:p>
      <w:pPr>
        <w:spacing w:after="0" w:line="180" w:lineRule="exact"/>
        <w:rPr>
          <w:rFonts w:ascii="Times New Roman" w:cs="Times New Roman" w:eastAsia="Times New Roman" w:hAnsi="Times New Roman"/>
          <w:sz w:val="20"/>
          <w:szCs w:val="20"/>
          <w:b w:val="1"/>
          <w:bCs w:val="1"/>
          <w:color w:val="auto"/>
        </w:rPr>
      </w:pPr>
    </w:p>
    <w:p>
      <w:pPr>
        <w:ind w:firstLine="517"/>
        <w:spacing w:after="0" w:line="241" w:lineRule="auto"/>
        <w:tabs>
          <w:tab w:leader="none" w:pos="800" w:val="left"/>
        </w:tabs>
        <w:numPr>
          <w:ilvl w:val="1"/>
          <w:numId w:val="19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Unless otherwise provided in the Offering, if any amount of accumulated Contributions remains in a Participant’s account after the purchase of shares of Common Stock and such remaining amount is less than the amount required to purchase one share of Common Stock on the final Purchase Date of an Offering, then such remaining amount will be held in such Participant’s account for the purchase of shares of Common Stock under the next Offering under the Plan, unless such Participant withdraws from or is not eligible to participate in such next Offering, in which case such amount will be distributed to such Participant after the final Purchase Date without interest (unless the payment of interest is otherwise required by Applicable Law). If the amount of Contributions remaining in a Participant’s account after the purchase of shares of Common Stock is at least equal to the amount required to purchase one (1) whole share of Common Stock on the final Purchase Date of an Offering, then such remaining amount will be distributed in full to such Participant after the final Purchase Date of such Offering without interest (unless otherwise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5" w:right="359" w:bottom="1440" w:gutter="0" w:footer="0" w:header="0"/>
        </w:sectPr>
      </w:pPr>
    </w:p>
    <w:bookmarkStart w:id="199" w:name="page200"/>
    <w:bookmarkEnd w:id="199"/>
    <w:p>
      <w:pPr>
        <w:ind w:firstLine="517"/>
        <w:spacing w:after="0" w:line="241" w:lineRule="auto"/>
        <w:tabs>
          <w:tab w:leader="none" w:pos="778" w:val="left"/>
        </w:tabs>
        <w:numPr>
          <w:ilvl w:val="1"/>
          <w:numId w:val="19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No Purchase Rights may be exercised to any extent unless the shares of Common Stock to be issued upon such exercise under the Plan are covered by an effective registration statement pursuant to the Securities Act and the Plan is in material compliance with all applicable U.S. federal and state, foreign and other securities, exchange control and other laws applicable to the Plan. If on a Purchase Date the shares of Common Stock are not so registered or the Plan is not in such compliance, no Purchase Rights will be exercised on such Purchase Date, and, subject to Section 423 of the Code with respect to the 423 Component, the Purchase Date will be delayed until the shares of Common Stock are subject to such an effective registration statement and the Plan is in material compliance, except that the Purchase Date will in no event be more than 27 months from the Offering Date. If, on the Purchase Date, as delayed to the maximum extent permissible, the shares of Common Stock are not registered and the Plan is not in material compliance with all Applicable Laws, as determined by the Company in its sole discretion, no Purchase Rights will be exercised and all accumulated but unused Contributions will be distributed to the Participants without interest (unless the payment of interest is otherwise required by Applicable Law).</w:t>
      </w:r>
    </w:p>
    <w:p>
      <w:pPr>
        <w:spacing w:after="0" w:line="197" w:lineRule="exact"/>
        <w:rPr>
          <w:rFonts w:ascii="Times New Roman" w:cs="Times New Roman" w:eastAsia="Times New Roman" w:hAnsi="Times New Roman"/>
          <w:sz w:val="20"/>
          <w:szCs w:val="20"/>
          <w:b w:val="1"/>
          <w:bCs w:val="1"/>
          <w:color w:val="auto"/>
        </w:rPr>
      </w:pPr>
    </w:p>
    <w:p>
      <w:pPr>
        <w:ind w:left="480" w:hanging="459"/>
        <w:spacing w:after="0"/>
        <w:tabs>
          <w:tab w:leader="none" w:pos="480" w:val="left"/>
        </w:tabs>
        <w:numPr>
          <w:ilvl w:val="0"/>
          <w:numId w:val="19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COVENANTS OF THE COMPANY.</w:t>
      </w:r>
    </w:p>
    <w:p>
      <w:pPr>
        <w:spacing w:after="0" w:line="112" w:lineRule="exact"/>
        <w:rPr>
          <w:sz w:val="20"/>
          <w:szCs w:val="20"/>
          <w:color w:val="auto"/>
        </w:rPr>
      </w:pPr>
    </w:p>
    <w:p>
      <w:pPr>
        <w:ind w:right="60" w:firstLine="509"/>
        <w:spacing w:after="0" w:line="242" w:lineRule="auto"/>
        <w:rPr>
          <w:sz w:val="20"/>
          <w:szCs w:val="20"/>
          <w:color w:val="auto"/>
        </w:rPr>
      </w:pPr>
      <w:r>
        <w:rPr>
          <w:rFonts w:ascii="Times New Roman" w:cs="Times New Roman" w:eastAsia="Times New Roman" w:hAnsi="Times New Roman"/>
          <w:sz w:val="20"/>
          <w:szCs w:val="20"/>
          <w:color w:val="auto"/>
        </w:rPr>
        <w:t>The Company will seek to obtain from each U.S. federal or state, foreign or other regulatory commission, agency or other Governmental Body having jurisdiction over the Plan such authority as may be required to grant Purchase Rights and issue and sell shares of Common Stock thereunder unless the Company determines, in its sole discretion, that doing so is not practical or would cause the Company to incur costs that are unreasonable. If, after commercially reasonable efforts, the Company is unable to obtain the authority that counsel for the Company deems necessary for the grant of Purchase Rights or the lawful issuance and sale of Common Stock under the Plan, and at a commercially reasonable cost, the Company will be relieved from any liability for failure to grant Purchase Rights and/or to issue and sell Common Stock upon exercise of such Purchase Rights.</w:t>
      </w:r>
    </w:p>
    <w:p>
      <w:pPr>
        <w:spacing w:after="0" w:line="182" w:lineRule="exact"/>
        <w:rPr>
          <w:sz w:val="20"/>
          <w:szCs w:val="20"/>
          <w:color w:val="auto"/>
        </w:rPr>
      </w:pPr>
    </w:p>
    <w:p>
      <w:pPr>
        <w:ind w:left="480" w:hanging="459"/>
        <w:spacing w:after="0"/>
        <w:tabs>
          <w:tab w:leader="none" w:pos="480" w:val="left"/>
        </w:tabs>
        <w:numPr>
          <w:ilvl w:val="0"/>
          <w:numId w:val="19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DESIGNATION OF BENEFICIARY.</w:t>
      </w:r>
    </w:p>
    <w:p>
      <w:pPr>
        <w:spacing w:after="0" w:line="111" w:lineRule="exact"/>
        <w:rPr>
          <w:rFonts w:ascii="Times New Roman" w:cs="Times New Roman" w:eastAsia="Times New Roman" w:hAnsi="Times New Roman"/>
          <w:sz w:val="20"/>
          <w:szCs w:val="20"/>
          <w:b w:val="1"/>
          <w:bCs w:val="1"/>
          <w:color w:val="auto"/>
        </w:rPr>
      </w:pPr>
    </w:p>
    <w:p>
      <w:pPr>
        <w:ind w:firstLine="517"/>
        <w:spacing w:after="0" w:line="249" w:lineRule="auto"/>
        <w:tabs>
          <w:tab w:leader="none" w:pos="789" w:val="left"/>
        </w:tabs>
        <w:numPr>
          <w:ilvl w:val="1"/>
          <w:numId w:val="19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Company may, but is not obligated to, permit a Participant to submit a form designating a beneficiary who will receive any shares of Common Stock and/or Contributions from the Participant’s account under the Plan if the Participant dies before such shares and/or Contributions are delivered to the Participant. The Company may, but is not obligated to, permit the Participant to change such designation of beneficiary. Any such designation and/or change must be on a form approved by the Company.</w:t>
      </w:r>
    </w:p>
    <w:p>
      <w:pPr>
        <w:spacing w:after="0" w:line="179" w:lineRule="exact"/>
        <w:rPr>
          <w:rFonts w:ascii="Times New Roman" w:cs="Times New Roman" w:eastAsia="Times New Roman" w:hAnsi="Times New Roman"/>
          <w:sz w:val="20"/>
          <w:szCs w:val="20"/>
          <w:b w:val="1"/>
          <w:bCs w:val="1"/>
          <w:color w:val="auto"/>
        </w:rPr>
      </w:pPr>
    </w:p>
    <w:p>
      <w:pPr>
        <w:ind w:right="20" w:firstLine="517"/>
        <w:spacing w:after="0" w:line="253" w:lineRule="auto"/>
        <w:tabs>
          <w:tab w:leader="none" w:pos="800" w:val="left"/>
        </w:tabs>
        <w:numPr>
          <w:ilvl w:val="1"/>
          <w:numId w:val="19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If a Participant dies, and in the absence of a valid beneficiary designation, the Company will deliver any shares of Common Stock and/or Contributions to the executor or administrator of the estate of the Participant. If no executor or administrator has been appointed (to the knowledge of the Company), the Company, in its sole discretion, may deliver such shares of Common Stock and/or Contributions, without interest (unless the payment of interest is otherwise required by Applicable Law), to the Participant’s spouse, dependents or relatives, or if no spouse, dependent or relative is known to the Company, then to such other person as the Company may designate.</w:t>
      </w:r>
    </w:p>
    <w:p>
      <w:pPr>
        <w:spacing w:after="0" w:line="4" w:lineRule="exact"/>
        <w:rPr>
          <w:rFonts w:ascii="Times New Roman" w:cs="Times New Roman" w:eastAsia="Times New Roman" w:hAnsi="Times New Roman"/>
          <w:sz w:val="19"/>
          <w:szCs w:val="19"/>
          <w:b w:val="1"/>
          <w:bCs w:val="1"/>
          <w:color w:val="auto"/>
        </w:rPr>
      </w:pPr>
    </w:p>
    <w:p>
      <w:pPr>
        <w:ind w:left="480" w:hanging="459"/>
        <w:spacing w:after="0"/>
        <w:tabs>
          <w:tab w:leader="none" w:pos="480" w:val="left"/>
        </w:tabs>
        <w:numPr>
          <w:ilvl w:val="0"/>
          <w:numId w:val="19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ADJUSTMENTS UPON CHANGES IN COMMON STOCK; CORPORATE TRANSACTIONS.</w:t>
      </w:r>
    </w:p>
    <w:p>
      <w:pPr>
        <w:spacing w:after="0" w:line="85" w:lineRule="exact"/>
        <w:rPr>
          <w:rFonts w:ascii="Times New Roman" w:cs="Times New Roman" w:eastAsia="Times New Roman" w:hAnsi="Times New Roman"/>
          <w:sz w:val="20"/>
          <w:szCs w:val="20"/>
          <w:b w:val="1"/>
          <w:bCs w:val="1"/>
          <w:color w:val="auto"/>
        </w:rPr>
      </w:pPr>
    </w:p>
    <w:p>
      <w:pPr>
        <w:ind w:right="20" w:firstLine="517"/>
        <w:spacing w:after="0" w:line="242" w:lineRule="auto"/>
        <w:tabs>
          <w:tab w:leader="none" w:pos="789" w:val="left"/>
        </w:tabs>
        <w:numPr>
          <w:ilvl w:val="1"/>
          <w:numId w:val="19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 the event of a Capitalization Adjustment, the Board will appropriately and proportionately adjust: (i) the class(es) and maximum number of securities subject to the Plan pursuant to Section 3(a), (ii) the class(es) and maximum number of securities by which the share reserve is to increase automatically each year pursuant to Section 3(a), (iii) the class(es) and number of securities subject to, and the purchase price applicable to outstanding Offerings and Purchase Rights, and (iv) the class(es) and number of securities that are the subject of the purchase limits under each ongoing Offering. The Board will make these adjustments, and its determination will be final, binding and conclusive.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180975</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5" w:right="359" w:bottom="1440" w:gutter="0" w:footer="0" w:header="0"/>
        </w:sectPr>
      </w:pPr>
    </w:p>
    <w:bookmarkStart w:id="200" w:name="page201"/>
    <w:bookmarkEnd w:id="200"/>
    <w:p>
      <w:pPr>
        <w:ind w:left="-21" w:firstLine="517"/>
        <w:spacing w:after="0" w:line="242" w:lineRule="auto"/>
        <w:tabs>
          <w:tab w:leader="none" w:pos="779" w:val="left"/>
        </w:tabs>
        <w:numPr>
          <w:ilvl w:val="1"/>
          <w:numId w:val="19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 the event of a Corporate Transaction, then: (i) any surviving corporation or acquiring corporation (or the surviving or acquiring corporation’s parent company) may assume or continue outstanding Purchase Rights or may substitute similar rights (including a right to acquire the same consideration paid to the stockholders in the Corporate Transaction) for outstanding Purchase Rights, or (ii) if any surviving or acquiring corporation (or its parent company) does not assume or continue such Purchase Rights or does not substitute similar rights for such Purchase Rights, then the Participants’ accumulated Contributions will be used to purchase shares of Common Stock (rounded down to the nearest whole share) within ten business days (or such other period specified by the Board) prior to the Corporate Transaction under the outstanding Purchase Rights, and the Purchase Rights will terminate immediately after such purchase.</w:t>
      </w:r>
    </w:p>
    <w:p>
      <w:pPr>
        <w:spacing w:after="0" w:line="195" w:lineRule="exact"/>
        <w:rPr>
          <w:rFonts w:ascii="Times New Roman" w:cs="Times New Roman" w:eastAsia="Times New Roman" w:hAnsi="Times New Roman"/>
          <w:sz w:val="20"/>
          <w:szCs w:val="20"/>
          <w:b w:val="1"/>
          <w:bCs w:val="1"/>
          <w:color w:val="auto"/>
        </w:rPr>
      </w:pPr>
    </w:p>
    <w:p>
      <w:pPr>
        <w:ind w:left="459" w:hanging="459"/>
        <w:spacing w:after="0"/>
        <w:tabs>
          <w:tab w:leader="none" w:pos="459" w:val="left"/>
        </w:tabs>
        <w:numPr>
          <w:ilvl w:val="0"/>
          <w:numId w:val="19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AMENDMENT, TERMINATION OR SUSPENSION OF THE PLAN.</w:t>
      </w:r>
    </w:p>
    <w:p>
      <w:pPr>
        <w:spacing w:after="0" w:line="111" w:lineRule="exact"/>
        <w:rPr>
          <w:rFonts w:ascii="Times New Roman" w:cs="Times New Roman" w:eastAsia="Times New Roman" w:hAnsi="Times New Roman"/>
          <w:sz w:val="20"/>
          <w:szCs w:val="20"/>
          <w:b w:val="1"/>
          <w:bCs w:val="1"/>
          <w:color w:val="auto"/>
        </w:rPr>
      </w:pPr>
    </w:p>
    <w:p>
      <w:pPr>
        <w:ind w:left="-21" w:right="20" w:firstLine="517"/>
        <w:spacing w:after="0" w:line="254" w:lineRule="auto"/>
        <w:tabs>
          <w:tab w:leader="none" w:pos="768" w:val="left"/>
        </w:tabs>
        <w:numPr>
          <w:ilvl w:val="1"/>
          <w:numId w:val="19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Board may amend the Plan at any time in any respect the Board deems necessary or advisable. However, except as provided in Section 11(a) relating to Capitalization Adjustments, stockholder approval will be required for any amendment of the Plan for which stockholder approval is required by Applicable Law.</w:t>
      </w:r>
    </w:p>
    <w:p>
      <w:pPr>
        <w:spacing w:after="0" w:line="174" w:lineRule="exact"/>
        <w:rPr>
          <w:rFonts w:ascii="Times New Roman" w:cs="Times New Roman" w:eastAsia="Times New Roman" w:hAnsi="Times New Roman"/>
          <w:sz w:val="20"/>
          <w:szCs w:val="20"/>
          <w:b w:val="1"/>
          <w:bCs w:val="1"/>
          <w:color w:val="auto"/>
        </w:rPr>
      </w:pPr>
    </w:p>
    <w:p>
      <w:pPr>
        <w:ind w:left="-21" w:right="340" w:firstLine="517"/>
        <w:spacing w:after="0" w:line="255" w:lineRule="auto"/>
        <w:tabs>
          <w:tab w:leader="none" w:pos="779" w:val="left"/>
        </w:tabs>
        <w:numPr>
          <w:ilvl w:val="1"/>
          <w:numId w:val="19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Board may suspend or terminate the Plan at any time. No Purchase Rights may be granted under the Plan while the Plan is suspended or after it is terminated.</w:t>
      </w:r>
    </w:p>
    <w:p>
      <w:pPr>
        <w:spacing w:after="0" w:line="172" w:lineRule="exact"/>
        <w:rPr>
          <w:rFonts w:ascii="Times New Roman" w:cs="Times New Roman" w:eastAsia="Times New Roman" w:hAnsi="Times New Roman"/>
          <w:sz w:val="20"/>
          <w:szCs w:val="20"/>
          <w:b w:val="1"/>
          <w:bCs w:val="1"/>
          <w:color w:val="auto"/>
        </w:rPr>
      </w:pPr>
    </w:p>
    <w:p>
      <w:pPr>
        <w:ind w:left="-21" w:right="40" w:firstLine="517"/>
        <w:spacing w:after="0" w:line="252" w:lineRule="auto"/>
        <w:tabs>
          <w:tab w:leader="none" w:pos="757" w:val="left"/>
        </w:tabs>
        <w:numPr>
          <w:ilvl w:val="1"/>
          <w:numId w:val="19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Any benefits, privileges, entitlements and obligations under any outstanding Purchase Rights granted before an amendment, suspension or termination of the Plan will not be materially impaired by any such amendment, suspension or termination except (i) with the consent of the person to whom such Purchase Rights were granted, (ii) as necessary to facilitate compliance with any laws, listing requirements, or governmental regulations (including, without limitation, the provisions of Section 423 of the Code and the regulations and other interpretive guidance issued thereunder relating to Employee Stock Purchase Plans) including without limitation any such regulations or other guidance that may be issued or amended after the date the Plan is adopted by the Board, or (iii) as necessary to obtain or maintain favorable tax, listing, or regulatory treatment. To be clear, the Board may amend outstanding Purchase Rights without a Participant’s consent if such amendment is necessary to ensure that the Purchase Right and/or the Plan complies with the requirements of Section 423 of the Code with respect to the 423 Component or with respect to other Applicable Laws. Notwithstanding anything in the Plan or any Offering Document to the contrary, the Board will be entitled to: (i) establish the exchange ratio applicable to amounts withheld in a currency other than U.S. dollars; (ii) permit Contributions in excess of the amount designated by a Participant in order to adjust for mistakes in the Company’s processing of properly completed Contribution elections; (iii) establish reasonable waiting and adjustment periods and/or accounting and crediting procedures to ensure that amounts applied toward the purchase of Common Stock for each Participant properly correspond with amounts withheld from the Participant’s Contributions; (iv) amend any outstanding Purchase Rights or clarify any ambiguities regarding the terms of any Offering to enable the Purchase Rights to qualify under and/or comply with Section 423 of the Code with respect to the 423 Component; and (v) establish other limitations or procedures as the Board determines in its sole discretion advisable that are consistent with the Plan. The actions of the Board pursuant to this paragraph will not be considered to alter or impair any Purchase Rights granted under an Offering as they are part of the initial terms of each Offering and the Purchase Rights granted under each Offering.</w:t>
      </w:r>
    </w:p>
    <w:p>
      <w:pPr>
        <w:spacing w:after="0" w:line="186" w:lineRule="exact"/>
        <w:rPr>
          <w:rFonts w:ascii="Times New Roman" w:cs="Times New Roman" w:eastAsia="Times New Roman" w:hAnsi="Times New Roman"/>
          <w:sz w:val="19"/>
          <w:szCs w:val="19"/>
          <w:b w:val="1"/>
          <w:bCs w:val="1"/>
          <w:color w:val="auto"/>
        </w:rPr>
      </w:pPr>
    </w:p>
    <w:p>
      <w:pPr>
        <w:ind w:left="459" w:hanging="459"/>
        <w:spacing w:after="0"/>
        <w:tabs>
          <w:tab w:leader="none" w:pos="459" w:val="left"/>
        </w:tabs>
        <w:numPr>
          <w:ilvl w:val="0"/>
          <w:numId w:val="19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TAX QUALIFICATION; TAX WITHHOLDING.</w:t>
      </w:r>
    </w:p>
    <w:p>
      <w:pPr>
        <w:spacing w:after="0" w:line="111" w:lineRule="exact"/>
        <w:rPr>
          <w:rFonts w:ascii="Times New Roman" w:cs="Times New Roman" w:eastAsia="Times New Roman" w:hAnsi="Times New Roman"/>
          <w:sz w:val="20"/>
          <w:szCs w:val="20"/>
          <w:b w:val="1"/>
          <w:bCs w:val="1"/>
          <w:color w:val="auto"/>
        </w:rPr>
      </w:pPr>
    </w:p>
    <w:p>
      <w:pPr>
        <w:ind w:left="-21" w:right="160" w:firstLine="517"/>
        <w:spacing w:after="0" w:line="254" w:lineRule="auto"/>
        <w:tabs>
          <w:tab w:leader="none" w:pos="768" w:val="left"/>
        </w:tabs>
        <w:numPr>
          <w:ilvl w:val="1"/>
          <w:numId w:val="19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Although the Company may endeavor to (i) qualify a Purchase Right for special tax treatment under the laws of the United States or jurisdictions outside of the United States or (ii) avoid adverse tax treatment, the Company makes no representation to that effect and expressly disavows any covenant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172720</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9"/>
          </w:cols>
          <w:pgMar w:left="341" w:top="535" w:right="379" w:bottom="1440" w:gutter="0" w:footer="0" w:header="0"/>
        </w:sectPr>
      </w:pPr>
    </w:p>
    <w:bookmarkStart w:id="201" w:name="page202"/>
    <w:bookmarkEnd w:id="201"/>
    <w:p>
      <w:pPr>
        <w:ind w:right="860"/>
        <w:spacing w:after="0" w:line="269" w:lineRule="auto"/>
        <w:rPr>
          <w:sz w:val="20"/>
          <w:szCs w:val="20"/>
          <w:color w:val="auto"/>
        </w:rPr>
      </w:pPr>
      <w:r>
        <w:rPr>
          <w:rFonts w:ascii="Times New Roman" w:cs="Times New Roman" w:eastAsia="Times New Roman" w:hAnsi="Times New Roman"/>
          <w:sz w:val="20"/>
          <w:szCs w:val="20"/>
          <w:color w:val="auto"/>
        </w:rPr>
        <w:t>maintain special or to avoid unfavorable tax treatment, notwithstanding anything to the contrary in this Plan. The Company will be unconstrained in its corporate activities without regard to the potential negative tax impact on Participants.</w:t>
      </w:r>
    </w:p>
    <w:p>
      <w:pPr>
        <w:spacing w:after="0" w:line="159" w:lineRule="exact"/>
        <w:rPr>
          <w:sz w:val="20"/>
          <w:szCs w:val="20"/>
          <w:color w:val="auto"/>
        </w:rPr>
      </w:pPr>
    </w:p>
    <w:p>
      <w:pPr>
        <w:ind w:firstLine="517"/>
        <w:spacing w:after="0" w:line="242" w:lineRule="auto"/>
        <w:tabs>
          <w:tab w:leader="none" w:pos="800" w:val="left"/>
        </w:tabs>
        <w:numPr>
          <w:ilvl w:val="0"/>
          <w:numId w:val="20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Each Participant will make arrangements, satisfactory to the Company and any applicable Related Corporation, to enable the Company or the Related Corporation to fulfill any withholding obligation for Tax-Related Items. Without limitation to the foregoing, in the Company’s sole discretion and subject to Applicable Law, such withholding obligation may be satisfied in whole or in part by (i) withholding from the Participant’s salary or any other cash payment due to the Participant from the Company or a Related Corporation; (ii) withholding from the proceeds of the sale of shares of Common Stock acquired under the Plan, either through a voluntary sale or a mandatory sale arranged by the Company; or (iii) any other method deemed acceptable by the Board. The Company shall not be required to issue any shares of Common Stock under the Plan until such obligations are satisfied.</w:t>
      </w:r>
    </w:p>
    <w:p>
      <w:pPr>
        <w:spacing w:after="0" w:line="185" w:lineRule="exact"/>
        <w:rPr>
          <w:rFonts w:ascii="Times New Roman" w:cs="Times New Roman" w:eastAsia="Times New Roman" w:hAnsi="Times New Roman"/>
          <w:sz w:val="20"/>
          <w:szCs w:val="20"/>
          <w:b w:val="1"/>
          <w:bCs w:val="1"/>
          <w:color w:val="auto"/>
        </w:rPr>
      </w:pPr>
    </w:p>
    <w:p>
      <w:pPr>
        <w:ind w:firstLine="517"/>
        <w:spacing w:after="0" w:line="239" w:lineRule="auto"/>
        <w:tabs>
          <w:tab w:leader="none" w:pos="778" w:val="left"/>
        </w:tabs>
        <w:numPr>
          <w:ilvl w:val="0"/>
          <w:numId w:val="20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423 Component is exempt from the application of Section 409A of the Code, and any ambiguities herein shall be interpreted to so be exempt from Section 409A of the Code. The Non-423 Component is intended to be exempt from the application of Section 409A of the Code under the short-term deferral exception and any ambiguities shall be construed and interpreted in accordance with such intent. In furtherance of the foregoing and notwithstanding any provision in the Plan to the contrary, if the Committee determines that an option granted under the Plan may be subject to Section 409A of the Code or that any provision in the Plan would cause an option under the Plan to be subject to Section 409A, the Committee may amend the terms of the Plan and/or of an outstanding option granted under the Plan, or take such other action the Committee determines is necessary or appropriate, in each case, without the participant’s consent, to exempt any outstanding option or future option that may be granted under the Plan from or to allow any such options to comply with Section 409A of the Code, but only to the extent any such amendments or action by the Committee would not violate Section 409A of the Code. Notwithstanding the foregoing, the Company shall have no liability to a participant or any other party if the option under the Plan that is intended to be exempt from or compliant with Section 409A of the Code is not so exempt or compliant or for any action taken by the Committee with respect thereto.</w:t>
      </w:r>
    </w:p>
    <w:p>
      <w:pPr>
        <w:spacing w:after="0" w:line="204" w:lineRule="exact"/>
        <w:rPr>
          <w:sz w:val="20"/>
          <w:szCs w:val="20"/>
          <w:color w:val="auto"/>
        </w:rPr>
      </w:pPr>
    </w:p>
    <w:p>
      <w:pPr>
        <w:ind w:left="480" w:hanging="459"/>
        <w:spacing w:after="0"/>
        <w:tabs>
          <w:tab w:leader="none" w:pos="480" w:val="left"/>
        </w:tabs>
        <w:numPr>
          <w:ilvl w:val="0"/>
          <w:numId w:val="20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EFFECTIVE DATE OF PLAN.</w:t>
      </w:r>
    </w:p>
    <w:p>
      <w:pPr>
        <w:spacing w:after="0" w:line="112" w:lineRule="exact"/>
        <w:rPr>
          <w:sz w:val="20"/>
          <w:szCs w:val="20"/>
          <w:color w:val="auto"/>
        </w:rPr>
      </w:pPr>
    </w:p>
    <w:p>
      <w:pPr>
        <w:jc w:val="both"/>
        <w:ind w:right="120" w:firstLine="509"/>
        <w:spacing w:after="0" w:line="254" w:lineRule="auto"/>
        <w:rPr>
          <w:sz w:val="20"/>
          <w:szCs w:val="20"/>
          <w:color w:val="auto"/>
        </w:rPr>
      </w:pPr>
      <w:r>
        <w:rPr>
          <w:rFonts w:ascii="Times New Roman" w:cs="Times New Roman" w:eastAsia="Times New Roman" w:hAnsi="Times New Roman"/>
          <w:sz w:val="20"/>
          <w:szCs w:val="20"/>
          <w:color w:val="auto"/>
        </w:rPr>
        <w:t>The Plan will become effective immediately prior to and contingent upon the IPO Date. No Purchase Rights will be exercised unless and until the Plan has been approved by the stockholders of the Company, which approval must be within 12 months before or after the date the Plan is adopted (or if required under Section 12(a) above, materially amended) by the Board.</w:t>
      </w:r>
    </w:p>
    <w:p>
      <w:pPr>
        <w:spacing w:after="0" w:line="170" w:lineRule="exact"/>
        <w:rPr>
          <w:sz w:val="20"/>
          <w:szCs w:val="20"/>
          <w:color w:val="auto"/>
        </w:rPr>
      </w:pPr>
    </w:p>
    <w:p>
      <w:pPr>
        <w:ind w:left="480" w:hanging="459"/>
        <w:spacing w:after="0"/>
        <w:tabs>
          <w:tab w:leader="none" w:pos="480" w:val="left"/>
        </w:tabs>
        <w:numPr>
          <w:ilvl w:val="0"/>
          <w:numId w:val="20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MISCELLANEOUS PROVISIONS.</w:t>
      </w:r>
    </w:p>
    <w:p>
      <w:pPr>
        <w:spacing w:after="0" w:line="111" w:lineRule="exact"/>
        <w:rPr>
          <w:rFonts w:ascii="Times New Roman" w:cs="Times New Roman" w:eastAsia="Times New Roman" w:hAnsi="Times New Roman"/>
          <w:sz w:val="20"/>
          <w:szCs w:val="20"/>
          <w:b w:val="1"/>
          <w:bCs w:val="1"/>
          <w:color w:val="auto"/>
        </w:rPr>
      </w:pPr>
    </w:p>
    <w:p>
      <w:pPr>
        <w:ind w:left="800" w:hanging="283"/>
        <w:spacing w:after="0"/>
        <w:tabs>
          <w:tab w:leader="none" w:pos="800" w:val="left"/>
        </w:tabs>
        <w:numPr>
          <w:ilvl w:val="1"/>
          <w:numId w:val="20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Proceeds from the sale of shares of Common Stock pursuant to Purchase Rights will constitute general funds of the Company.</w:t>
      </w:r>
    </w:p>
    <w:p>
      <w:pPr>
        <w:spacing w:after="0" w:line="229" w:lineRule="exact"/>
        <w:rPr>
          <w:rFonts w:ascii="Times New Roman" w:cs="Times New Roman" w:eastAsia="Times New Roman" w:hAnsi="Times New Roman"/>
          <w:sz w:val="20"/>
          <w:szCs w:val="20"/>
          <w:b w:val="1"/>
          <w:bCs w:val="1"/>
          <w:color w:val="auto"/>
        </w:rPr>
      </w:pPr>
    </w:p>
    <w:p>
      <w:pPr>
        <w:ind w:right="240" w:firstLine="517"/>
        <w:spacing w:after="0" w:line="254" w:lineRule="auto"/>
        <w:tabs>
          <w:tab w:leader="none" w:pos="800" w:val="left"/>
        </w:tabs>
        <w:numPr>
          <w:ilvl w:val="1"/>
          <w:numId w:val="20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 Participant will not be deemed to be the holder of, or to have any of the rights of a holder with respect to, shares of Common Stock subject to Purchase Rights unless and until the Participant’s shares of Common Stock acquired upon exercise of Purchase Rights are recorded in the books of the Company (or its transfer agent).</w:t>
      </w:r>
    </w:p>
    <w:p>
      <w:pPr>
        <w:spacing w:after="0" w:line="160" w:lineRule="exact"/>
        <w:rPr>
          <w:rFonts w:ascii="Times New Roman" w:cs="Times New Roman" w:eastAsia="Times New Roman" w:hAnsi="Times New Roman"/>
          <w:sz w:val="20"/>
          <w:szCs w:val="20"/>
          <w:b w:val="1"/>
          <w:bCs w:val="1"/>
          <w:color w:val="auto"/>
        </w:rPr>
      </w:pPr>
    </w:p>
    <w:p>
      <w:pPr>
        <w:ind w:right="100" w:firstLine="517"/>
        <w:spacing w:after="0" w:line="274" w:lineRule="auto"/>
        <w:tabs>
          <w:tab w:leader="none" w:pos="778" w:val="left"/>
        </w:tabs>
        <w:numPr>
          <w:ilvl w:val="1"/>
          <w:numId w:val="20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The Plan and Offering do not constitute an employment contract. Nothing in the Plan or in the Offering will in any way alter the at will nature of a Participant’s employment or amend a Participant’s employment contract, if applicable, or be deemed to create in any way whatsoever any obligation on the part of any Participant to continue in the employ of the Company or a Related Corporation or an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27" w:right="35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20"/>
          <w:szCs w:val="20"/>
          <w:color w:val="auto"/>
        </w:rPr>
        <w:t>or on the part of the Company, a Related Corporation or an Affiliate to continue the employment of a Participant.</w:t>
      </w:r>
    </w:p>
    <w:p>
      <w:pPr>
        <w:spacing w:after="0" w:line="216" w:lineRule="exact"/>
        <w:rPr>
          <w:sz w:val="20"/>
          <w:szCs w:val="20"/>
          <w:color w:val="auto"/>
        </w:rPr>
      </w:pPr>
    </w:p>
    <w:p>
      <w:pPr>
        <w:ind w:left="800" w:hanging="283"/>
        <w:spacing w:after="0"/>
        <w:tabs>
          <w:tab w:leader="none" w:pos="800" w:val="left"/>
        </w:tabs>
        <w:numPr>
          <w:ilvl w:val="0"/>
          <w:numId w:val="20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provisions of the Plan will be governed by the laws of the State of Delaware without resort to that state’s conflicts of laws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rules.</w:t>
      </w:r>
    </w:p>
    <w:p>
      <w:pPr>
        <w:spacing w:after="0" w:line="194" w:lineRule="exact"/>
        <w:rPr>
          <w:sz w:val="20"/>
          <w:szCs w:val="20"/>
          <w:color w:val="auto"/>
        </w:rPr>
      </w:pPr>
    </w:p>
    <w:p>
      <w:pPr>
        <w:ind w:right="380" w:firstLine="517"/>
        <w:spacing w:after="0" w:line="269" w:lineRule="auto"/>
        <w:tabs>
          <w:tab w:leader="none" w:pos="778" w:val="left"/>
        </w:tabs>
        <w:numPr>
          <w:ilvl w:val="0"/>
          <w:numId w:val="20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any particular provision of the Plan is found to be invalid or otherwise unenforceable, such provision will not affect the other provisions of the Plan, but the Plan will be construed in all respects as if such invalid provision were omitted.</w:t>
      </w:r>
    </w:p>
    <w:p>
      <w:pPr>
        <w:spacing w:after="0" w:line="159" w:lineRule="exact"/>
        <w:rPr>
          <w:rFonts w:ascii="Times New Roman" w:cs="Times New Roman" w:eastAsia="Times New Roman" w:hAnsi="Times New Roman"/>
          <w:sz w:val="20"/>
          <w:szCs w:val="20"/>
          <w:b w:val="1"/>
          <w:bCs w:val="1"/>
          <w:color w:val="auto"/>
        </w:rPr>
      </w:pPr>
    </w:p>
    <w:p>
      <w:pPr>
        <w:ind w:right="40" w:firstLine="517"/>
        <w:spacing w:after="0" w:line="255" w:lineRule="auto"/>
        <w:tabs>
          <w:tab w:leader="none" w:pos="756" w:val="left"/>
        </w:tabs>
        <w:numPr>
          <w:ilvl w:val="0"/>
          <w:numId w:val="20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any provision of the Plan does not comply with Applicable Law, such provision shall be construed in such a manner as to comply with Applicable Law.</w:t>
      </w:r>
    </w:p>
    <w:p>
      <w:pPr>
        <w:spacing w:after="0" w:line="182" w:lineRule="exact"/>
        <w:rPr>
          <w:sz w:val="20"/>
          <w:szCs w:val="20"/>
          <w:color w:val="auto"/>
        </w:rPr>
      </w:pPr>
    </w:p>
    <w:p>
      <w:pPr>
        <w:ind w:left="480" w:hanging="459"/>
        <w:spacing w:after="0"/>
        <w:tabs>
          <w:tab w:leader="none" w:pos="480" w:val="left"/>
        </w:tabs>
        <w:numPr>
          <w:ilvl w:val="0"/>
          <w:numId w:val="20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DEFINITIONS.</w:t>
      </w:r>
    </w:p>
    <w:p>
      <w:pPr>
        <w:spacing w:after="0" w:line="1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As used in the Plan, the following definitions will apply to the capitalized terms indicated below:</w:t>
      </w:r>
    </w:p>
    <w:p>
      <w:pPr>
        <w:spacing w:after="0" w:line="104" w:lineRule="exact"/>
        <w:rPr>
          <w:sz w:val="20"/>
          <w:szCs w:val="20"/>
          <w:color w:val="auto"/>
        </w:rPr>
      </w:pPr>
    </w:p>
    <w:p>
      <w:pPr>
        <w:ind w:right="340" w:firstLine="517"/>
        <w:spacing w:after="0" w:line="273" w:lineRule="auto"/>
        <w:tabs>
          <w:tab w:leader="none" w:pos="789" w:val="left"/>
        </w:tabs>
        <w:numPr>
          <w:ilvl w:val="0"/>
          <w:numId w:val="20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423 Component</w:t>
      </w:r>
      <w:r>
        <w:rPr>
          <w:rFonts w:ascii="Times New Roman" w:cs="Times New Roman" w:eastAsia="Times New Roman" w:hAnsi="Times New Roman"/>
          <w:sz w:val="20"/>
          <w:szCs w:val="20"/>
          <w:color w:val="auto"/>
        </w:rPr>
        <w:t>” means the part of the Plan, which excludes the Non-423 Component, pursuant to which Purchase Rights that satisfy the requirements for an Employee Stock Purchase Plan may be granted to Eligible Employees.</w:t>
      </w:r>
    </w:p>
    <w:p>
      <w:pPr>
        <w:spacing w:after="0" w:line="151" w:lineRule="exact"/>
        <w:rPr>
          <w:rFonts w:ascii="Times New Roman" w:cs="Times New Roman" w:eastAsia="Times New Roman" w:hAnsi="Times New Roman"/>
          <w:sz w:val="20"/>
          <w:szCs w:val="20"/>
          <w:b w:val="1"/>
          <w:bCs w:val="1"/>
          <w:color w:val="auto"/>
        </w:rPr>
      </w:pPr>
    </w:p>
    <w:p>
      <w:pPr>
        <w:ind w:right="220" w:firstLine="517"/>
        <w:spacing w:after="0" w:line="249" w:lineRule="auto"/>
        <w:tabs>
          <w:tab w:leader="none" w:pos="800" w:val="left"/>
        </w:tabs>
        <w:numPr>
          <w:ilvl w:val="0"/>
          <w:numId w:val="20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Affiliate</w:t>
      </w:r>
      <w:r>
        <w:rPr>
          <w:rFonts w:ascii="Times New Roman" w:cs="Times New Roman" w:eastAsia="Times New Roman" w:hAnsi="Times New Roman"/>
          <w:sz w:val="20"/>
          <w:szCs w:val="20"/>
          <w:color w:val="auto"/>
        </w:rPr>
        <w:t>” means any entity, other than a Related Corporation, whether now or subsequently established, which is at the time of determination, a “parent” or “subsidiary” of the Company as such terms are defined in Rule 405 promulgated under the Securities Act. The Board may determine the time or times at which “parent” or “subsidiary” status is determined within the foregoing definition.</w:t>
      </w:r>
    </w:p>
    <w:p>
      <w:pPr>
        <w:spacing w:after="0" w:line="175" w:lineRule="exact"/>
        <w:rPr>
          <w:rFonts w:ascii="Times New Roman" w:cs="Times New Roman" w:eastAsia="Times New Roman" w:hAnsi="Times New Roman"/>
          <w:sz w:val="20"/>
          <w:szCs w:val="20"/>
          <w:b w:val="1"/>
          <w:bCs w:val="1"/>
          <w:color w:val="auto"/>
        </w:rPr>
      </w:pPr>
    </w:p>
    <w:p>
      <w:pPr>
        <w:ind w:right="160" w:firstLine="517"/>
        <w:spacing w:after="0" w:line="247" w:lineRule="auto"/>
        <w:tabs>
          <w:tab w:leader="none" w:pos="778" w:val="left"/>
        </w:tabs>
        <w:numPr>
          <w:ilvl w:val="0"/>
          <w:numId w:val="20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Applicable Law</w:t>
      </w:r>
      <w:r>
        <w:rPr>
          <w:rFonts w:ascii="Times New Roman" w:cs="Times New Roman" w:eastAsia="Times New Roman" w:hAnsi="Times New Roman"/>
          <w:sz w:val="20"/>
          <w:szCs w:val="20"/>
          <w:color w:val="auto"/>
        </w:rPr>
        <w:t>” means shall mean the Code and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(or under the authority of the New York Stock Exchange, NASDAQ Stock Market or the Financial Industry Regulatory Authority).</w:t>
      </w:r>
    </w:p>
    <w:p>
      <w:pPr>
        <w:spacing w:after="0" w:line="166" w:lineRule="exact"/>
        <w:rPr>
          <w:rFonts w:ascii="Times New Roman" w:cs="Times New Roman" w:eastAsia="Times New Roman" w:hAnsi="Times New Roman"/>
          <w:sz w:val="20"/>
          <w:szCs w:val="20"/>
          <w:b w:val="1"/>
          <w:bCs w:val="1"/>
          <w:color w:val="auto"/>
        </w:rPr>
      </w:pPr>
    </w:p>
    <w:p>
      <w:pPr>
        <w:ind w:left="800" w:hanging="283"/>
        <w:spacing w:after="0"/>
        <w:tabs>
          <w:tab w:leader="none" w:pos="800" w:val="left"/>
        </w:tabs>
        <w:numPr>
          <w:ilvl w:val="0"/>
          <w:numId w:val="20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means the Board of Directors of the Company.</w:t>
      </w:r>
    </w:p>
    <w:p>
      <w:pPr>
        <w:spacing w:after="0" w:line="215" w:lineRule="exact"/>
        <w:rPr>
          <w:rFonts w:ascii="Times New Roman" w:cs="Times New Roman" w:eastAsia="Times New Roman" w:hAnsi="Times New Roman"/>
          <w:sz w:val="20"/>
          <w:szCs w:val="20"/>
          <w:b w:val="1"/>
          <w:bCs w:val="1"/>
          <w:color w:val="auto"/>
        </w:rPr>
      </w:pPr>
    </w:p>
    <w:p>
      <w:pPr>
        <w:ind w:firstLine="517"/>
        <w:spacing w:after="0" w:line="242" w:lineRule="auto"/>
        <w:tabs>
          <w:tab w:leader="none" w:pos="778" w:val="left"/>
        </w:tabs>
        <w:numPr>
          <w:ilvl w:val="0"/>
          <w:numId w:val="20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Capitalization Adjustment</w:t>
      </w:r>
      <w:r>
        <w:rPr>
          <w:rFonts w:ascii="Times New Roman" w:cs="Times New Roman" w:eastAsia="Times New Roman" w:hAnsi="Times New Roman"/>
          <w:sz w:val="20"/>
          <w:szCs w:val="20"/>
          <w:color w:val="auto"/>
        </w:rPr>
        <w:t>” means any change that is made in, or other events that occur with respect to, the Common Stock subject to the Plan or subject to any Purchase Right after the date the Plan is adopted by the Board without the receipt of consideration by the Company through merger, consolidation, reorganization, recapitalization, reincorporation, stock dividend, dividend in property other than cash, large nonrecurring cash dividend, stock split, liquidating dividend, combination of shares, exchange of shares, change in corporate structure or other similar equity restructuring transaction, as that term is used in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99" w:lineRule="exact"/>
        <w:rPr>
          <w:rFonts w:ascii="Times New Roman" w:cs="Times New Roman" w:eastAsia="Times New Roman" w:hAnsi="Times New Roman"/>
          <w:sz w:val="20"/>
          <w:szCs w:val="20"/>
          <w:b w:val="1"/>
          <w:bCs w:val="1"/>
          <w:color w:val="auto"/>
        </w:rPr>
      </w:pPr>
    </w:p>
    <w:p>
      <w:pPr>
        <w:ind w:left="760" w:hanging="243"/>
        <w:spacing w:after="0"/>
        <w:tabs>
          <w:tab w:leader="none" w:pos="760" w:val="left"/>
        </w:tabs>
        <w:numPr>
          <w:ilvl w:val="0"/>
          <w:numId w:val="20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Code</w:t>
      </w:r>
      <w:r>
        <w:rPr>
          <w:rFonts w:ascii="Times New Roman" w:cs="Times New Roman" w:eastAsia="Times New Roman" w:hAnsi="Times New Roman"/>
          <w:sz w:val="19"/>
          <w:szCs w:val="19"/>
          <w:color w:val="auto"/>
        </w:rPr>
        <w:t>” means the U.S. Internal Revenue Code of 1986, as amended, including any applicable regulations and guidance thereunder.</w:t>
      </w:r>
    </w:p>
    <w:p>
      <w:pPr>
        <w:spacing w:after="0" w:line="227" w:lineRule="exact"/>
        <w:rPr>
          <w:rFonts w:ascii="Times New Roman" w:cs="Times New Roman" w:eastAsia="Times New Roman" w:hAnsi="Times New Roman"/>
          <w:sz w:val="19"/>
          <w:szCs w:val="19"/>
          <w:b w:val="1"/>
          <w:bCs w:val="1"/>
          <w:color w:val="auto"/>
        </w:rPr>
      </w:pPr>
    </w:p>
    <w:p>
      <w:pPr>
        <w:ind w:right="440" w:firstLine="517"/>
        <w:spacing w:after="0" w:line="273" w:lineRule="auto"/>
        <w:tabs>
          <w:tab w:leader="none" w:pos="789" w:val="left"/>
        </w:tabs>
        <w:numPr>
          <w:ilvl w:val="0"/>
          <w:numId w:val="20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Committee</w:t>
      </w:r>
      <w:r>
        <w:rPr>
          <w:rFonts w:ascii="Times New Roman" w:cs="Times New Roman" w:eastAsia="Times New Roman" w:hAnsi="Times New Roman"/>
          <w:sz w:val="20"/>
          <w:szCs w:val="20"/>
          <w:color w:val="auto"/>
        </w:rPr>
        <w:t>” means a committee of one or more members of the Board to whom authority has been delegated by the Board in accordance with Section 2(c).</w:t>
      </w:r>
    </w:p>
    <w:p>
      <w:pPr>
        <w:spacing w:after="0" w:line="138" w:lineRule="exact"/>
        <w:rPr>
          <w:rFonts w:ascii="Times New Roman" w:cs="Times New Roman" w:eastAsia="Times New Roman" w:hAnsi="Times New Roman"/>
          <w:sz w:val="20"/>
          <w:szCs w:val="20"/>
          <w:b w:val="1"/>
          <w:bCs w:val="1"/>
          <w:color w:val="auto"/>
        </w:rPr>
      </w:pPr>
    </w:p>
    <w:p>
      <w:pPr>
        <w:ind w:left="800" w:hanging="283"/>
        <w:spacing w:after="0"/>
        <w:tabs>
          <w:tab w:leader="none" w:pos="800" w:val="left"/>
        </w:tabs>
        <w:numPr>
          <w:ilvl w:val="0"/>
          <w:numId w:val="20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Common Stock</w:t>
      </w:r>
      <w:r>
        <w:rPr>
          <w:rFonts w:ascii="Times New Roman" w:cs="Times New Roman" w:eastAsia="Times New Roman" w:hAnsi="Times New Roman"/>
          <w:sz w:val="20"/>
          <w:szCs w:val="20"/>
          <w:color w:val="auto"/>
        </w:rPr>
        <w:t>” means the common stock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209550</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203" w:name="page204"/>
    <w:bookmarkEnd w:id="203"/>
    <w:p>
      <w:pPr>
        <w:ind w:left="243" w:hanging="243"/>
        <w:spacing w:after="0"/>
        <w:tabs>
          <w:tab w:leader="none" w:pos="243" w:val="left"/>
        </w:tabs>
        <w:numPr>
          <w:ilvl w:val="0"/>
          <w:numId w:val="20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means Invivyd, Inc., a Delaware corporation.</w:t>
      </w:r>
    </w:p>
    <w:p>
      <w:pPr>
        <w:spacing w:after="0" w:line="215" w:lineRule="exact"/>
        <w:rPr>
          <w:rFonts w:ascii="Times New Roman" w:cs="Times New Roman" w:eastAsia="Times New Roman" w:hAnsi="Times New Roman"/>
          <w:sz w:val="20"/>
          <w:szCs w:val="20"/>
          <w:b w:val="1"/>
          <w:bCs w:val="1"/>
          <w:color w:val="auto"/>
        </w:rPr>
      </w:pPr>
    </w:p>
    <w:p>
      <w:pPr>
        <w:ind w:left="-517" w:right="40" w:firstLine="517"/>
        <w:spacing w:after="0" w:line="250" w:lineRule="auto"/>
        <w:tabs>
          <w:tab w:leader="none" w:pos="239" w:val="left"/>
        </w:tabs>
        <w:numPr>
          <w:ilvl w:val="0"/>
          <w:numId w:val="20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“Contributions</w:t>
      </w:r>
      <w:r>
        <w:rPr>
          <w:rFonts w:ascii="Times New Roman" w:cs="Times New Roman" w:eastAsia="Times New Roman" w:hAnsi="Times New Roman"/>
          <w:sz w:val="20"/>
          <w:szCs w:val="20"/>
          <w:color w:val="auto"/>
        </w:rPr>
        <w:t>” means the payroll deductions and other additional payments specifically provided for in the Offering that 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Participant contributes to fund the exercise of a Purchase Right. A Participant may make additional payments into his or her account if specifically provided for in the Offering, and then only if the Participant has not already had the maximum permitted amount withheld during the Offering through payroll deductions and, with respect to the 423 Component, to the extent permitted by Section 423.</w:t>
      </w:r>
    </w:p>
    <w:p>
      <w:pPr>
        <w:spacing w:after="0" w:line="175" w:lineRule="exact"/>
        <w:rPr>
          <w:rFonts w:ascii="Times New Roman" w:cs="Times New Roman" w:eastAsia="Times New Roman" w:hAnsi="Times New Roman"/>
          <w:sz w:val="20"/>
          <w:szCs w:val="20"/>
          <w:b w:val="1"/>
          <w:bCs w:val="1"/>
          <w:color w:val="auto"/>
        </w:rPr>
      </w:pPr>
    </w:p>
    <w:p>
      <w:pPr>
        <w:ind w:left="-517" w:right="60" w:firstLine="517"/>
        <w:spacing w:after="0" w:line="259" w:lineRule="auto"/>
        <w:tabs>
          <w:tab w:leader="none" w:pos="283" w:val="left"/>
        </w:tabs>
        <w:numPr>
          <w:ilvl w:val="0"/>
          <w:numId w:val="20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Corporate Transaction</w:t>
      </w:r>
      <w:r>
        <w:rPr>
          <w:rFonts w:ascii="Times New Roman" w:cs="Times New Roman" w:eastAsia="Times New Roman" w:hAnsi="Times New Roman"/>
          <w:sz w:val="20"/>
          <w:szCs w:val="20"/>
          <w:color w:val="auto"/>
        </w:rPr>
        <w:t>” means the consummation, in a single transaction or in a series of related transactions, of any one or more of the following events:</w:t>
      </w:r>
    </w:p>
    <w:p>
      <w:pPr>
        <w:spacing w:after="0" w:line="61" w:lineRule="exact"/>
        <w:rPr>
          <w:rFonts w:ascii="Times New Roman" w:cs="Times New Roman" w:eastAsia="Times New Roman" w:hAnsi="Times New Roman"/>
          <w:sz w:val="20"/>
          <w:szCs w:val="20"/>
          <w:b w:val="1"/>
          <w:bCs w:val="1"/>
          <w:color w:val="auto"/>
        </w:rPr>
      </w:pPr>
    </w:p>
    <w:p>
      <w:pPr>
        <w:ind w:left="-517" w:right="320" w:firstLine="1154"/>
        <w:spacing w:after="0" w:line="269" w:lineRule="auto"/>
        <w:tabs>
          <w:tab w:leader="none" w:pos="865" w:val="left"/>
        </w:tabs>
        <w:numPr>
          <w:ilvl w:val="1"/>
          <w:numId w:val="20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 sale or other disposition of all or substantially all, as determined by the Board in its sole discretion, of the consolidated assets of the Company and its subsidiaries;</w:t>
      </w:r>
    </w:p>
    <w:p>
      <w:pPr>
        <w:spacing w:after="0" w:line="159" w:lineRule="exact"/>
        <w:rPr>
          <w:rFonts w:ascii="Times New Roman" w:cs="Times New Roman" w:eastAsia="Times New Roman" w:hAnsi="Times New Roman"/>
          <w:sz w:val="20"/>
          <w:szCs w:val="20"/>
          <w:b w:val="1"/>
          <w:bCs w:val="1"/>
          <w:color w:val="auto"/>
        </w:rPr>
      </w:pPr>
    </w:p>
    <w:p>
      <w:pPr>
        <w:ind w:left="923" w:hanging="286"/>
        <w:spacing w:after="0"/>
        <w:tabs>
          <w:tab w:leader="none" w:pos="923" w:val="left"/>
        </w:tabs>
        <w:numPr>
          <w:ilvl w:val="1"/>
          <w:numId w:val="20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 sale or other disposition of more than 50% of the outstanding securities of the Company;</w:t>
      </w:r>
    </w:p>
    <w:p>
      <w:pPr>
        <w:spacing w:after="0" w:line="215" w:lineRule="exact"/>
        <w:rPr>
          <w:rFonts w:ascii="Times New Roman" w:cs="Times New Roman" w:eastAsia="Times New Roman" w:hAnsi="Times New Roman"/>
          <w:sz w:val="20"/>
          <w:szCs w:val="20"/>
          <w:b w:val="1"/>
          <w:bCs w:val="1"/>
          <w:color w:val="auto"/>
        </w:rPr>
      </w:pPr>
    </w:p>
    <w:p>
      <w:pPr>
        <w:ind w:left="983" w:hanging="346"/>
        <w:spacing w:after="0"/>
        <w:tabs>
          <w:tab w:leader="none" w:pos="983" w:val="left"/>
        </w:tabs>
        <w:numPr>
          <w:ilvl w:val="1"/>
          <w:numId w:val="20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 merger, consolidation or similar transaction following which the Company is not the surviving corporation; or</w:t>
      </w:r>
    </w:p>
    <w:p>
      <w:pPr>
        <w:spacing w:after="0" w:line="215" w:lineRule="exact"/>
        <w:rPr>
          <w:rFonts w:ascii="Times New Roman" w:cs="Times New Roman" w:eastAsia="Times New Roman" w:hAnsi="Times New Roman"/>
          <w:sz w:val="20"/>
          <w:szCs w:val="20"/>
          <w:b w:val="1"/>
          <w:bCs w:val="1"/>
          <w:color w:val="auto"/>
        </w:rPr>
      </w:pPr>
    </w:p>
    <w:p>
      <w:pPr>
        <w:jc w:val="both"/>
        <w:ind w:left="-517" w:right="120" w:firstLine="1154"/>
        <w:spacing w:after="0" w:line="247" w:lineRule="auto"/>
        <w:tabs>
          <w:tab w:leader="none" w:pos="964" w:val="left"/>
        </w:tabs>
        <w:numPr>
          <w:ilvl w:val="1"/>
          <w:numId w:val="20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76" w:lineRule="exact"/>
        <w:rPr>
          <w:rFonts w:ascii="Times New Roman" w:cs="Times New Roman" w:eastAsia="Times New Roman" w:hAnsi="Times New Roman"/>
          <w:sz w:val="20"/>
          <w:szCs w:val="20"/>
          <w:b w:val="1"/>
          <w:bCs w:val="1"/>
          <w:color w:val="auto"/>
        </w:rPr>
      </w:pPr>
    </w:p>
    <w:p>
      <w:pPr>
        <w:ind w:left="243" w:hanging="243"/>
        <w:spacing w:after="0"/>
        <w:tabs>
          <w:tab w:leader="none" w:pos="243" w:val="left"/>
        </w:tabs>
        <w:numPr>
          <w:ilvl w:val="0"/>
          <w:numId w:val="20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Designated 423 Company</w:t>
      </w:r>
      <w:r>
        <w:rPr>
          <w:rFonts w:ascii="Times New Roman" w:cs="Times New Roman" w:eastAsia="Times New Roman" w:hAnsi="Times New Roman"/>
          <w:sz w:val="20"/>
          <w:szCs w:val="20"/>
          <w:color w:val="auto"/>
        </w:rPr>
        <w:t>” means any Related Corporation selected by the Board as participating in the 423 Component.</w:t>
      </w:r>
    </w:p>
    <w:p>
      <w:pPr>
        <w:spacing w:after="0" w:line="215" w:lineRule="exact"/>
        <w:rPr>
          <w:rFonts w:ascii="Times New Roman" w:cs="Times New Roman" w:eastAsia="Times New Roman" w:hAnsi="Times New Roman"/>
          <w:sz w:val="20"/>
          <w:szCs w:val="20"/>
          <w:b w:val="1"/>
          <w:bCs w:val="1"/>
          <w:color w:val="auto"/>
        </w:rPr>
      </w:pPr>
    </w:p>
    <w:p>
      <w:pPr>
        <w:ind w:left="-517" w:right="60" w:firstLine="517"/>
        <w:spacing w:after="0" w:line="256" w:lineRule="auto"/>
        <w:tabs>
          <w:tab w:leader="none" w:pos="338" w:val="left"/>
        </w:tabs>
        <w:numPr>
          <w:ilvl w:val="0"/>
          <w:numId w:val="20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Designated Company</w:t>
      </w:r>
      <w:r>
        <w:rPr>
          <w:rFonts w:ascii="Times New Roman" w:cs="Times New Roman" w:eastAsia="Times New Roman" w:hAnsi="Times New Roman"/>
          <w:sz w:val="20"/>
          <w:szCs w:val="20"/>
          <w:color w:val="auto"/>
        </w:rPr>
        <w:t>” means any Designated Non-423 Corporation or Designated 423 Company, provided, however, that at any given time, a Related Corporation participating in the 423 Component shall not be a Related Corporation participating in the Non-423 Component.</w:t>
      </w:r>
    </w:p>
    <w:p>
      <w:pPr>
        <w:spacing w:after="0" w:line="168" w:lineRule="exact"/>
        <w:rPr>
          <w:rFonts w:ascii="Times New Roman" w:cs="Times New Roman" w:eastAsia="Times New Roman" w:hAnsi="Times New Roman"/>
          <w:sz w:val="20"/>
          <w:szCs w:val="20"/>
          <w:b w:val="1"/>
          <w:bCs w:val="1"/>
          <w:color w:val="auto"/>
        </w:rPr>
      </w:pPr>
    </w:p>
    <w:p>
      <w:pPr>
        <w:ind w:left="-517" w:firstLine="517"/>
        <w:spacing w:after="0" w:line="259" w:lineRule="auto"/>
        <w:tabs>
          <w:tab w:leader="none" w:pos="283" w:val="left"/>
        </w:tabs>
        <w:numPr>
          <w:ilvl w:val="0"/>
          <w:numId w:val="20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Designated Non-423 Company</w:t>
      </w:r>
      <w:r>
        <w:rPr>
          <w:rFonts w:ascii="Times New Roman" w:cs="Times New Roman" w:eastAsia="Times New Roman" w:hAnsi="Times New Roman"/>
          <w:sz w:val="20"/>
          <w:szCs w:val="20"/>
          <w:color w:val="auto"/>
        </w:rPr>
        <w:t>” means any Related Corporation or Affiliate selected by the Board as participating in the Non-423 Component.</w:t>
      </w:r>
    </w:p>
    <w:p>
      <w:pPr>
        <w:spacing w:after="0" w:line="165" w:lineRule="exact"/>
        <w:rPr>
          <w:rFonts w:ascii="Times New Roman" w:cs="Times New Roman" w:eastAsia="Times New Roman" w:hAnsi="Times New Roman"/>
          <w:sz w:val="20"/>
          <w:szCs w:val="20"/>
          <w:b w:val="1"/>
          <w:bCs w:val="1"/>
          <w:color w:val="auto"/>
        </w:rPr>
      </w:pPr>
    </w:p>
    <w:p>
      <w:pPr>
        <w:ind w:left="283" w:hanging="283"/>
        <w:spacing w:after="0"/>
        <w:tabs>
          <w:tab w:leader="none" w:pos="283" w:val="left"/>
        </w:tabs>
        <w:numPr>
          <w:ilvl w:val="0"/>
          <w:numId w:val="20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Director</w:t>
      </w:r>
      <w:r>
        <w:rPr>
          <w:rFonts w:ascii="Times New Roman" w:cs="Times New Roman" w:eastAsia="Times New Roman" w:hAnsi="Times New Roman"/>
          <w:sz w:val="20"/>
          <w:szCs w:val="20"/>
          <w:color w:val="auto"/>
        </w:rPr>
        <w:t>” means a member of the Board.</w:t>
      </w:r>
    </w:p>
    <w:p>
      <w:pPr>
        <w:spacing w:after="0" w:line="229" w:lineRule="exact"/>
        <w:rPr>
          <w:rFonts w:ascii="Times New Roman" w:cs="Times New Roman" w:eastAsia="Times New Roman" w:hAnsi="Times New Roman"/>
          <w:sz w:val="20"/>
          <w:szCs w:val="20"/>
          <w:b w:val="1"/>
          <w:bCs w:val="1"/>
          <w:color w:val="auto"/>
        </w:rPr>
      </w:pPr>
    </w:p>
    <w:p>
      <w:pPr>
        <w:ind w:left="-517" w:right="100" w:firstLine="517"/>
        <w:spacing w:after="0" w:line="256" w:lineRule="auto"/>
        <w:tabs>
          <w:tab w:leader="none" w:pos="283" w:val="left"/>
        </w:tabs>
        <w:numPr>
          <w:ilvl w:val="0"/>
          <w:numId w:val="20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Eligible Employee</w:t>
      </w:r>
      <w:r>
        <w:rPr>
          <w:rFonts w:ascii="Times New Roman" w:cs="Times New Roman" w:eastAsia="Times New Roman" w:hAnsi="Times New Roman"/>
          <w:sz w:val="20"/>
          <w:szCs w:val="20"/>
          <w:color w:val="auto"/>
        </w:rPr>
        <w:t>” means an Employee who meets the requirements set forth in the document(s) governing the Offering for eligibility to participate in the Offering, provided that such Employee also meets the requirements for eligibility to participate set forth in the Plan.</w:t>
      </w:r>
    </w:p>
    <w:p>
      <w:pPr>
        <w:spacing w:after="0" w:line="155" w:lineRule="exact"/>
        <w:rPr>
          <w:rFonts w:ascii="Times New Roman" w:cs="Times New Roman" w:eastAsia="Times New Roman" w:hAnsi="Times New Roman"/>
          <w:sz w:val="20"/>
          <w:szCs w:val="20"/>
          <w:b w:val="1"/>
          <w:bCs w:val="1"/>
          <w:color w:val="auto"/>
        </w:rPr>
      </w:pPr>
    </w:p>
    <w:p>
      <w:pPr>
        <w:ind w:left="-517" w:right="80" w:firstLine="517"/>
        <w:spacing w:after="0" w:line="256" w:lineRule="auto"/>
        <w:tabs>
          <w:tab w:leader="none" w:pos="283" w:val="left"/>
        </w:tabs>
        <w:numPr>
          <w:ilvl w:val="0"/>
          <w:numId w:val="20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Employee</w:t>
      </w:r>
      <w:r>
        <w:rPr>
          <w:rFonts w:ascii="Times New Roman" w:cs="Times New Roman" w:eastAsia="Times New Roman" w:hAnsi="Times New Roman"/>
          <w:sz w:val="20"/>
          <w:szCs w:val="20"/>
          <w:color w:val="auto"/>
        </w:rPr>
        <w:t>” means any person, including an Officer or Director, who is “employed” for purposes of Section 423(b)(4) of the Code by the Company or a Related Corporation or solely with respect to the Non-423 Component, an Affiliate. However, service solely as a Director, or payment of a fee for such services, will not cause a Director to be considered an “Employee” for purposes of the Plan.</w:t>
      </w:r>
    </w:p>
    <w:p>
      <w:pPr>
        <w:spacing w:after="0" w:line="168" w:lineRule="exact"/>
        <w:rPr>
          <w:rFonts w:ascii="Times New Roman" w:cs="Times New Roman" w:eastAsia="Times New Roman" w:hAnsi="Times New Roman"/>
          <w:sz w:val="20"/>
          <w:szCs w:val="20"/>
          <w:b w:val="1"/>
          <w:bCs w:val="1"/>
          <w:color w:val="auto"/>
        </w:rPr>
      </w:pPr>
    </w:p>
    <w:p>
      <w:pPr>
        <w:ind w:left="-517" w:right="440" w:firstLine="517"/>
        <w:spacing w:after="0" w:line="273" w:lineRule="auto"/>
        <w:tabs>
          <w:tab w:leader="none" w:pos="261" w:val="left"/>
        </w:tabs>
        <w:numPr>
          <w:ilvl w:val="0"/>
          <w:numId w:val="20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Employee Stock Purchase Plan</w:t>
      </w:r>
      <w:r>
        <w:rPr>
          <w:rFonts w:ascii="Times New Roman" w:cs="Times New Roman" w:eastAsia="Times New Roman" w:hAnsi="Times New Roman"/>
          <w:sz w:val="20"/>
          <w:szCs w:val="20"/>
          <w:color w:val="auto"/>
        </w:rPr>
        <w:t>” means a plan that grants Purchase Rights intended to be options issued under an “employee stock purchase plan,” as that term is defined in Section 423(b)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160655</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531" w:right="339" w:bottom="1440" w:gutter="0" w:footer="0" w:header="0"/>
        </w:sectPr>
      </w:pPr>
    </w:p>
    <w:bookmarkStart w:id="204" w:name="page205"/>
    <w:bookmarkEnd w:id="204"/>
    <w:p>
      <w:pPr>
        <w:ind w:left="-517" w:right="840" w:firstLine="517"/>
        <w:spacing w:after="0" w:line="273" w:lineRule="auto"/>
        <w:tabs>
          <w:tab w:leader="none" w:pos="250" w:val="left"/>
        </w:tabs>
        <w:numPr>
          <w:ilvl w:val="0"/>
          <w:numId w:val="20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means the U.S. Securities Exchange Act of 1934, as amended and the rules and regulations promulgated thereunder.</w:t>
      </w:r>
    </w:p>
    <w:p>
      <w:pPr>
        <w:spacing w:after="0" w:line="151" w:lineRule="exact"/>
        <w:rPr>
          <w:rFonts w:ascii="Times New Roman" w:cs="Times New Roman" w:eastAsia="Times New Roman" w:hAnsi="Times New Roman"/>
          <w:sz w:val="20"/>
          <w:szCs w:val="20"/>
          <w:b w:val="1"/>
          <w:bCs w:val="1"/>
          <w:color w:val="auto"/>
        </w:rPr>
      </w:pPr>
    </w:p>
    <w:p>
      <w:pPr>
        <w:ind w:left="243" w:hanging="243"/>
        <w:spacing w:after="0"/>
        <w:tabs>
          <w:tab w:leader="none" w:pos="243" w:val="left"/>
        </w:tabs>
        <w:numPr>
          <w:ilvl w:val="0"/>
          <w:numId w:val="20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Fair Market Value</w:t>
      </w:r>
      <w:r>
        <w:rPr>
          <w:rFonts w:ascii="Times New Roman" w:cs="Times New Roman" w:eastAsia="Times New Roman" w:hAnsi="Times New Roman"/>
          <w:sz w:val="20"/>
          <w:szCs w:val="20"/>
          <w:color w:val="auto"/>
        </w:rPr>
        <w:t>” means, as of any date, the value of the Common Stock determined as follows:</w:t>
      </w:r>
    </w:p>
    <w:p>
      <w:pPr>
        <w:spacing w:after="0" w:line="111" w:lineRule="exact"/>
        <w:rPr>
          <w:rFonts w:ascii="Times New Roman" w:cs="Times New Roman" w:eastAsia="Times New Roman" w:hAnsi="Times New Roman"/>
          <w:sz w:val="20"/>
          <w:szCs w:val="20"/>
          <w:b w:val="1"/>
          <w:bCs w:val="1"/>
          <w:color w:val="auto"/>
        </w:rPr>
      </w:pPr>
    </w:p>
    <w:p>
      <w:pPr>
        <w:ind w:left="-517" w:firstLine="1154"/>
        <w:spacing w:after="0" w:line="242" w:lineRule="auto"/>
        <w:tabs>
          <w:tab w:leader="none" w:pos="865" w:val="left"/>
        </w:tabs>
        <w:numPr>
          <w:ilvl w:val="1"/>
          <w:numId w:val="20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If the Common Stock is listed on any established stock exchange or traded on any established market, the Fair Market Value of a share of Common Stock will be, unless otherwise determined by the Board, the </w:t>
      </w:r>
      <w:r>
        <w:rPr>
          <w:rFonts w:ascii="Times New Roman" w:cs="Times New Roman" w:eastAsia="Times New Roman" w:hAnsi="Times New Roman"/>
          <w:sz w:val="20"/>
          <w:szCs w:val="20"/>
          <w:b w:val="1"/>
          <w:bCs w:val="1"/>
          <w:u w:val="single" w:color="auto"/>
          <w:color w:val="auto"/>
        </w:rPr>
        <w:t>closing sales price</w:t>
      </w:r>
      <w:r>
        <w:rPr>
          <w:rFonts w:ascii="Times New Roman" w:cs="Times New Roman" w:eastAsia="Times New Roman" w:hAnsi="Times New Roman"/>
          <w:sz w:val="20"/>
          <w:szCs w:val="20"/>
          <w:color w:val="auto"/>
        </w:rPr>
        <w:t xml:space="preserve"> for such stock as quoted on such exchange or market (or the exchange or market with the greatest volume of trading in the Common Stock) </w:t>
      </w:r>
      <w:r>
        <w:rPr>
          <w:rFonts w:ascii="Times New Roman" w:cs="Times New Roman" w:eastAsia="Times New Roman" w:hAnsi="Times New Roman"/>
          <w:sz w:val="20"/>
          <w:szCs w:val="20"/>
          <w:b w:val="1"/>
          <w:bCs w:val="1"/>
          <w:u w:val="single" w:color="auto"/>
          <w:color w:val="auto"/>
        </w:rPr>
        <w:t>on the date of determination</w:t>
      </w:r>
      <w:r>
        <w:rPr>
          <w:rFonts w:ascii="Times New Roman" w:cs="Times New Roman" w:eastAsia="Times New Roman" w:hAnsi="Times New Roman"/>
          <w:sz w:val="20"/>
          <w:szCs w:val="20"/>
          <w:color w:val="auto"/>
        </w:rPr>
        <w:t>, as reported in such source as the Board deems reliable. Unless otherwise provided by the Board, if there is no closing sales price for the Common Stock on the date of determination, then the Fair Market Value will be the closing sales price on the last preceding date for which such quotation exists.</w:t>
      </w:r>
    </w:p>
    <w:p>
      <w:pPr>
        <w:spacing w:after="0" w:line="188" w:lineRule="exact"/>
        <w:rPr>
          <w:rFonts w:ascii="Times New Roman" w:cs="Times New Roman" w:eastAsia="Times New Roman" w:hAnsi="Times New Roman"/>
          <w:sz w:val="20"/>
          <w:szCs w:val="20"/>
          <w:b w:val="1"/>
          <w:bCs w:val="1"/>
          <w:color w:val="auto"/>
        </w:rPr>
      </w:pPr>
    </w:p>
    <w:p>
      <w:pPr>
        <w:ind w:left="-517" w:firstLine="1154"/>
        <w:spacing w:after="0" w:line="254" w:lineRule="auto"/>
        <w:tabs>
          <w:tab w:leader="none" w:pos="920" w:val="left"/>
        </w:tabs>
        <w:numPr>
          <w:ilvl w:val="1"/>
          <w:numId w:val="20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 the absence of such markets for the Common Stock, the Fair Market Value will be determined by the Board in good faith in compliance with Applicable Laws and regulations and, to the extent applicable as determined in the sole discretion of the Board, in a manner that complies with Sections 409A of the Code</w:t>
      </w:r>
    </w:p>
    <w:p>
      <w:pPr>
        <w:spacing w:after="0" w:line="160" w:lineRule="exact"/>
        <w:rPr>
          <w:rFonts w:ascii="Times New Roman" w:cs="Times New Roman" w:eastAsia="Times New Roman" w:hAnsi="Times New Roman"/>
          <w:sz w:val="20"/>
          <w:szCs w:val="20"/>
          <w:b w:val="1"/>
          <w:bCs w:val="1"/>
          <w:color w:val="auto"/>
        </w:rPr>
      </w:pPr>
    </w:p>
    <w:p>
      <w:pPr>
        <w:ind w:left="-517" w:right="160" w:firstLine="1154"/>
        <w:spacing w:after="0" w:line="254" w:lineRule="auto"/>
        <w:tabs>
          <w:tab w:leader="none" w:pos="975" w:val="left"/>
        </w:tabs>
        <w:numPr>
          <w:ilvl w:val="1"/>
          <w:numId w:val="20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Notwithstanding the foregoing, for any Offering that commences on the IPO Date, the Fair Market Value of the shares of Common Stock on the Offering Date will be the price per share at which shares are first sold to the public in the Company’s initial public offering as specified in the final prospectus for that initial public offering.</w:t>
      </w:r>
    </w:p>
    <w:p>
      <w:pPr>
        <w:spacing w:after="0" w:line="170" w:lineRule="exact"/>
        <w:rPr>
          <w:rFonts w:ascii="Times New Roman" w:cs="Times New Roman" w:eastAsia="Times New Roman" w:hAnsi="Times New Roman"/>
          <w:sz w:val="20"/>
          <w:szCs w:val="20"/>
          <w:b w:val="1"/>
          <w:bCs w:val="1"/>
          <w:color w:val="auto"/>
        </w:rPr>
      </w:pPr>
    </w:p>
    <w:p>
      <w:pPr>
        <w:ind w:left="-517" w:right="40" w:firstLine="517"/>
        <w:spacing w:after="0" w:line="243" w:lineRule="auto"/>
        <w:tabs>
          <w:tab w:leader="none" w:pos="283" w:val="left"/>
        </w:tabs>
        <w:numPr>
          <w:ilvl w:val="0"/>
          <w:numId w:val="20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Governmental Body</w:t>
      </w:r>
      <w:r>
        <w:rPr>
          <w:rFonts w:ascii="Times New Roman" w:cs="Times New Roman" w:eastAsia="Times New Roman" w:hAnsi="Times New Roman"/>
          <w:sz w:val="20"/>
          <w:szCs w:val="20"/>
          <w:color w:val="auto"/>
        </w:rPr>
        <w:t>” means any: (a) nation, state, commonwealth, province, territory, county, municipality, district or other jurisdiction of any nature; (b) federal, state, local, municipal, foreign or other government; (c)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(d) self-regulatory organization (including the New York Stock Exchange, the NASDAQ Stock Market and the Financial Industry Regulatory Authority).</w:t>
      </w:r>
    </w:p>
    <w:p>
      <w:pPr>
        <w:spacing w:after="0" w:line="182" w:lineRule="exact"/>
        <w:rPr>
          <w:rFonts w:ascii="Times New Roman" w:cs="Times New Roman" w:eastAsia="Times New Roman" w:hAnsi="Times New Roman"/>
          <w:sz w:val="20"/>
          <w:szCs w:val="20"/>
          <w:b w:val="1"/>
          <w:bCs w:val="1"/>
          <w:color w:val="auto"/>
        </w:rPr>
      </w:pPr>
    </w:p>
    <w:p>
      <w:pPr>
        <w:ind w:left="-517" w:right="20" w:firstLine="517"/>
        <w:spacing w:after="0" w:line="273" w:lineRule="auto"/>
        <w:tabs>
          <w:tab w:leader="none" w:pos="272" w:val="left"/>
        </w:tabs>
        <w:numPr>
          <w:ilvl w:val="0"/>
          <w:numId w:val="20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IPO Date</w:t>
      </w:r>
      <w:r>
        <w:rPr>
          <w:rFonts w:ascii="Times New Roman" w:cs="Times New Roman" w:eastAsia="Times New Roman" w:hAnsi="Times New Roman"/>
          <w:sz w:val="20"/>
          <w:szCs w:val="20"/>
          <w:color w:val="auto"/>
        </w:rPr>
        <w:t>” means the date of the underwriting agreement between the Company and the underwriter(s) managing the initial public offering of the Common Stock, pursuant to which the Common Stock is priced for the initial public offering.</w:t>
      </w:r>
    </w:p>
    <w:p>
      <w:pPr>
        <w:spacing w:after="0" w:line="169" w:lineRule="exact"/>
        <w:rPr>
          <w:rFonts w:ascii="Times New Roman" w:cs="Times New Roman" w:eastAsia="Times New Roman" w:hAnsi="Times New Roman"/>
          <w:sz w:val="20"/>
          <w:szCs w:val="20"/>
          <w:b w:val="1"/>
          <w:bCs w:val="1"/>
          <w:color w:val="auto"/>
        </w:rPr>
      </w:pPr>
    </w:p>
    <w:p>
      <w:pPr>
        <w:ind w:left="-517" w:right="20" w:firstLine="517"/>
        <w:spacing w:after="0" w:line="255" w:lineRule="auto"/>
        <w:tabs>
          <w:tab w:leader="none" w:pos="316" w:val="left"/>
        </w:tabs>
        <w:numPr>
          <w:ilvl w:val="0"/>
          <w:numId w:val="20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“Non-423 Component” means the part of the Plan, which excludes the 423 Component, pursuant to which Purchase Rights that are not intended to satisfy the requirements for an Employee Stock Purchase Plan may be granted to Eligible Employees.</w:t>
      </w:r>
    </w:p>
    <w:p>
      <w:pPr>
        <w:spacing w:after="0" w:line="168" w:lineRule="exact"/>
        <w:rPr>
          <w:rFonts w:ascii="Times New Roman" w:cs="Times New Roman" w:eastAsia="Times New Roman" w:hAnsi="Times New Roman"/>
          <w:sz w:val="20"/>
          <w:szCs w:val="20"/>
          <w:b w:val="1"/>
          <w:bCs w:val="1"/>
          <w:color w:val="auto"/>
        </w:rPr>
      </w:pPr>
    </w:p>
    <w:p>
      <w:pPr>
        <w:jc w:val="both"/>
        <w:ind w:left="-517" w:right="340" w:firstLine="517"/>
        <w:spacing w:after="0" w:line="256" w:lineRule="auto"/>
        <w:tabs>
          <w:tab w:leader="none" w:pos="272" w:val="left"/>
        </w:tabs>
        <w:numPr>
          <w:ilvl w:val="0"/>
          <w:numId w:val="20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Offering</w:t>
      </w:r>
      <w:r>
        <w:rPr>
          <w:rFonts w:ascii="Times New Roman" w:cs="Times New Roman" w:eastAsia="Times New Roman" w:hAnsi="Times New Roman"/>
          <w:sz w:val="20"/>
          <w:szCs w:val="20"/>
          <w:color w:val="auto"/>
        </w:rPr>
        <w:t>” means the grant to Eligible Employees of Purchase Rights, with the exercise of those Purchase Rights automatically occurring at the end of one or more Purchase Periods. The terms and conditions of an Offering will generally be set forth in the “</w:t>
      </w:r>
      <w:r>
        <w:rPr>
          <w:rFonts w:ascii="Times New Roman" w:cs="Times New Roman" w:eastAsia="Times New Roman" w:hAnsi="Times New Roman"/>
          <w:sz w:val="20"/>
          <w:szCs w:val="20"/>
          <w:b w:val="1"/>
          <w:bCs w:val="1"/>
          <w:i w:val="1"/>
          <w:iCs w:val="1"/>
          <w:color w:val="auto"/>
        </w:rPr>
        <w:t>Offering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Document</w:t>
      </w:r>
      <w:r>
        <w:rPr>
          <w:rFonts w:ascii="Times New Roman" w:cs="Times New Roman" w:eastAsia="Times New Roman" w:hAnsi="Times New Roman"/>
          <w:sz w:val="20"/>
          <w:szCs w:val="20"/>
          <w:color w:val="auto"/>
        </w:rPr>
        <w:t>” approved by the Board for that Offering.</w:t>
      </w:r>
    </w:p>
    <w:p>
      <w:pPr>
        <w:spacing w:after="0" w:line="168" w:lineRule="exact"/>
        <w:rPr>
          <w:rFonts w:ascii="Times New Roman" w:cs="Times New Roman" w:eastAsia="Times New Roman" w:hAnsi="Times New Roman"/>
          <w:sz w:val="20"/>
          <w:szCs w:val="20"/>
          <w:b w:val="1"/>
          <w:bCs w:val="1"/>
          <w:color w:val="auto"/>
        </w:rPr>
      </w:pPr>
    </w:p>
    <w:p>
      <w:pPr>
        <w:ind w:left="283" w:hanging="283"/>
        <w:spacing w:after="0"/>
        <w:tabs>
          <w:tab w:leader="none" w:pos="283" w:val="left"/>
        </w:tabs>
        <w:numPr>
          <w:ilvl w:val="0"/>
          <w:numId w:val="20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Offering Date</w:t>
      </w:r>
      <w:r>
        <w:rPr>
          <w:rFonts w:ascii="Times New Roman" w:cs="Times New Roman" w:eastAsia="Times New Roman" w:hAnsi="Times New Roman"/>
          <w:sz w:val="20"/>
          <w:szCs w:val="20"/>
          <w:color w:val="auto"/>
        </w:rPr>
        <w:t>” means a date selected by the Board for an Offering to commence.</w:t>
      </w:r>
    </w:p>
    <w:p>
      <w:pPr>
        <w:spacing w:after="0" w:line="215" w:lineRule="exact"/>
        <w:rPr>
          <w:rFonts w:ascii="Times New Roman" w:cs="Times New Roman" w:eastAsia="Times New Roman" w:hAnsi="Times New Roman"/>
          <w:sz w:val="20"/>
          <w:szCs w:val="20"/>
          <w:b w:val="1"/>
          <w:bCs w:val="1"/>
          <w:color w:val="auto"/>
        </w:rPr>
      </w:pPr>
    </w:p>
    <w:p>
      <w:pPr>
        <w:ind w:left="-517" w:right="520" w:firstLine="517"/>
        <w:spacing w:after="0" w:line="259" w:lineRule="auto"/>
        <w:tabs>
          <w:tab w:leader="none" w:pos="261" w:val="left"/>
        </w:tabs>
        <w:numPr>
          <w:ilvl w:val="0"/>
          <w:numId w:val="20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Officer</w:t>
      </w:r>
      <w:r>
        <w:rPr>
          <w:rFonts w:ascii="Times New Roman" w:cs="Times New Roman" w:eastAsia="Times New Roman" w:hAnsi="Times New Roman"/>
          <w:sz w:val="20"/>
          <w:szCs w:val="20"/>
          <w:color w:val="auto"/>
        </w:rPr>
        <w:t>” means a person who is an officer of the Company or a Related Corporation within the meaning of Section 16 of the Exchange Act.</w:t>
      </w:r>
    </w:p>
    <w:p>
      <w:pPr>
        <w:spacing w:after="0" w:line="165" w:lineRule="exact"/>
        <w:rPr>
          <w:sz w:val="20"/>
          <w:szCs w:val="20"/>
          <w:color w:val="auto"/>
        </w:rPr>
      </w:pPr>
    </w:p>
    <w:p>
      <w:pPr>
        <w:ind w:left="383" w:hanging="383"/>
        <w:spacing w:after="0"/>
        <w:tabs>
          <w:tab w:leader="none" w:pos="383" w:val="left"/>
        </w:tabs>
        <w:numPr>
          <w:ilvl w:val="0"/>
          <w:numId w:val="20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Participant</w:t>
      </w:r>
      <w:r>
        <w:rPr>
          <w:rFonts w:ascii="Times New Roman" w:cs="Times New Roman" w:eastAsia="Times New Roman" w:hAnsi="Times New Roman"/>
          <w:sz w:val="20"/>
          <w:szCs w:val="20"/>
          <w:color w:val="auto"/>
        </w:rPr>
        <w:t>” means an Eligible Employee who holds an outstanding Purchase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201295</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531" w:right="339" w:bottom="1440" w:gutter="0" w:footer="0" w:header="0"/>
        </w:sectPr>
      </w:pPr>
    </w:p>
    <w:bookmarkStart w:id="205" w:name="page206"/>
    <w:bookmarkEnd w:id="205"/>
    <w:p>
      <w:pPr>
        <w:ind w:left="-517" w:right="420" w:firstLine="517"/>
        <w:spacing w:after="0" w:line="273" w:lineRule="auto"/>
        <w:tabs>
          <w:tab w:leader="none" w:pos="393" w:val="left"/>
        </w:tabs>
        <w:numPr>
          <w:ilvl w:val="0"/>
          <w:numId w:val="2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means this Invivyd, Inc. 2021 Employee Stock Purchase Plan, as amended from time to time, including both the 423 Component and the Non-423 Component.</w:t>
      </w:r>
    </w:p>
    <w:p>
      <w:pPr>
        <w:spacing w:after="0" w:line="151" w:lineRule="exact"/>
        <w:rPr>
          <w:rFonts w:ascii="Times New Roman" w:cs="Times New Roman" w:eastAsia="Times New Roman" w:hAnsi="Times New Roman"/>
          <w:sz w:val="20"/>
          <w:szCs w:val="20"/>
          <w:b w:val="1"/>
          <w:bCs w:val="1"/>
          <w:color w:val="auto"/>
        </w:rPr>
      </w:pPr>
    </w:p>
    <w:p>
      <w:pPr>
        <w:ind w:left="-517" w:right="100" w:firstLine="517"/>
        <w:spacing w:after="0" w:line="273" w:lineRule="auto"/>
        <w:tabs>
          <w:tab w:leader="none" w:pos="349" w:val="left"/>
        </w:tabs>
        <w:numPr>
          <w:ilvl w:val="0"/>
          <w:numId w:val="2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Purchase Date</w:t>
      </w:r>
      <w:r>
        <w:rPr>
          <w:rFonts w:ascii="Times New Roman" w:cs="Times New Roman" w:eastAsia="Times New Roman" w:hAnsi="Times New Roman"/>
          <w:sz w:val="20"/>
          <w:szCs w:val="20"/>
          <w:color w:val="auto"/>
        </w:rPr>
        <w:t>” means one or more dates during an Offering selected by the Board on which Purchase Rights will be exercised and on which purchases of shares of Common Stock will be carried out in accordance with such Offering.</w:t>
      </w:r>
    </w:p>
    <w:p>
      <w:pPr>
        <w:spacing w:after="0" w:line="151" w:lineRule="exact"/>
        <w:rPr>
          <w:rFonts w:ascii="Times New Roman" w:cs="Times New Roman" w:eastAsia="Times New Roman" w:hAnsi="Times New Roman"/>
          <w:sz w:val="20"/>
          <w:szCs w:val="20"/>
          <w:b w:val="1"/>
          <w:bCs w:val="1"/>
          <w:color w:val="auto"/>
        </w:rPr>
      </w:pPr>
    </w:p>
    <w:p>
      <w:pPr>
        <w:ind w:left="-517" w:right="80" w:firstLine="517"/>
        <w:spacing w:after="0" w:line="273" w:lineRule="auto"/>
        <w:tabs>
          <w:tab w:leader="none" w:pos="393" w:val="left"/>
        </w:tabs>
        <w:numPr>
          <w:ilvl w:val="0"/>
          <w:numId w:val="2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Purchase Period</w:t>
      </w:r>
      <w:r>
        <w:rPr>
          <w:rFonts w:ascii="Times New Roman" w:cs="Times New Roman" w:eastAsia="Times New Roman" w:hAnsi="Times New Roman"/>
          <w:sz w:val="20"/>
          <w:szCs w:val="20"/>
          <w:color w:val="auto"/>
        </w:rPr>
        <w:t>” means a period of time specified within an Offering, generally beginning on the Offering Date or on the first Trading Day following a Purchase Date, and ending on a Purchase Date. An Offering may consist of one or more Purchase Periods.</w:t>
      </w:r>
    </w:p>
    <w:p>
      <w:pPr>
        <w:spacing w:after="0" w:line="138" w:lineRule="exact"/>
        <w:rPr>
          <w:rFonts w:ascii="Times New Roman" w:cs="Times New Roman" w:eastAsia="Times New Roman" w:hAnsi="Times New Roman"/>
          <w:sz w:val="20"/>
          <w:szCs w:val="20"/>
          <w:b w:val="1"/>
          <w:bCs w:val="1"/>
          <w:color w:val="auto"/>
        </w:rPr>
      </w:pPr>
    </w:p>
    <w:p>
      <w:pPr>
        <w:ind w:left="363" w:hanging="363"/>
        <w:spacing w:after="0"/>
        <w:tabs>
          <w:tab w:leader="none" w:pos="363" w:val="left"/>
        </w:tabs>
        <w:numPr>
          <w:ilvl w:val="0"/>
          <w:numId w:val="2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Purchase Right</w:t>
      </w:r>
      <w:r>
        <w:rPr>
          <w:rFonts w:ascii="Times New Roman" w:cs="Times New Roman" w:eastAsia="Times New Roman" w:hAnsi="Times New Roman"/>
          <w:sz w:val="20"/>
          <w:szCs w:val="20"/>
          <w:color w:val="auto"/>
        </w:rPr>
        <w:t>” means an option to purchase shares of Common Stock granted pursuant to the Plan.</w:t>
      </w:r>
    </w:p>
    <w:p>
      <w:pPr>
        <w:spacing w:after="0" w:line="215" w:lineRule="exact"/>
        <w:rPr>
          <w:rFonts w:ascii="Times New Roman" w:cs="Times New Roman" w:eastAsia="Times New Roman" w:hAnsi="Times New Roman"/>
          <w:sz w:val="20"/>
          <w:szCs w:val="20"/>
          <w:b w:val="1"/>
          <w:bCs w:val="1"/>
          <w:color w:val="auto"/>
        </w:rPr>
      </w:pPr>
    </w:p>
    <w:p>
      <w:pPr>
        <w:ind w:left="-517" w:firstLine="517"/>
        <w:spacing w:after="0" w:line="273" w:lineRule="auto"/>
        <w:tabs>
          <w:tab w:leader="none" w:pos="305" w:val="left"/>
        </w:tabs>
        <w:numPr>
          <w:ilvl w:val="0"/>
          <w:numId w:val="2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Related Corporation</w:t>
      </w:r>
      <w:r>
        <w:rPr>
          <w:rFonts w:ascii="Times New Roman" w:cs="Times New Roman" w:eastAsia="Times New Roman" w:hAnsi="Times New Roman"/>
          <w:sz w:val="20"/>
          <w:szCs w:val="20"/>
          <w:color w:val="auto"/>
        </w:rPr>
        <w:t>” means any “parent corporation” or “subsidiary corporation” of the Company whether now or subsequently established, as those terms are defined in Sections 424(e) and (f), respectively, of the Code.</w:t>
      </w:r>
    </w:p>
    <w:p>
      <w:pPr>
        <w:spacing w:after="0" w:line="151" w:lineRule="exact"/>
        <w:rPr>
          <w:rFonts w:ascii="Times New Roman" w:cs="Times New Roman" w:eastAsia="Times New Roman" w:hAnsi="Times New Roman"/>
          <w:sz w:val="20"/>
          <w:szCs w:val="20"/>
          <w:b w:val="1"/>
          <w:bCs w:val="1"/>
          <w:color w:val="auto"/>
        </w:rPr>
      </w:pPr>
    </w:p>
    <w:p>
      <w:pPr>
        <w:ind w:left="383" w:hanging="383"/>
        <w:spacing w:after="0"/>
        <w:tabs>
          <w:tab w:leader="none" w:pos="383" w:val="left"/>
        </w:tabs>
        <w:numPr>
          <w:ilvl w:val="0"/>
          <w:numId w:val="2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Securities Act</w:t>
      </w:r>
      <w:r>
        <w:rPr>
          <w:rFonts w:ascii="Times New Roman" w:cs="Times New Roman" w:eastAsia="Times New Roman" w:hAnsi="Times New Roman"/>
          <w:sz w:val="20"/>
          <w:szCs w:val="20"/>
          <w:color w:val="auto"/>
        </w:rPr>
        <w:t>” means the U.S. Securities Act of 1933, as amended.</w:t>
      </w:r>
    </w:p>
    <w:p>
      <w:pPr>
        <w:spacing w:after="0" w:line="215" w:lineRule="exact"/>
        <w:rPr>
          <w:rFonts w:ascii="Times New Roman" w:cs="Times New Roman" w:eastAsia="Times New Roman" w:hAnsi="Times New Roman"/>
          <w:sz w:val="20"/>
          <w:szCs w:val="20"/>
          <w:b w:val="1"/>
          <w:bCs w:val="1"/>
          <w:color w:val="auto"/>
        </w:rPr>
      </w:pPr>
    </w:p>
    <w:p>
      <w:pPr>
        <w:ind w:left="-517" w:right="160" w:firstLine="517"/>
        <w:spacing w:after="0" w:line="268" w:lineRule="auto"/>
        <w:tabs>
          <w:tab w:leader="none" w:pos="393" w:val="left"/>
        </w:tabs>
        <w:numPr>
          <w:ilvl w:val="0"/>
          <w:numId w:val="21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Tax-Related Items</w:t>
      </w:r>
      <w:r>
        <w:rPr>
          <w:rFonts w:ascii="Times New Roman" w:cs="Times New Roman" w:eastAsia="Times New Roman" w:hAnsi="Times New Roman"/>
          <w:sz w:val="19"/>
          <w:szCs w:val="19"/>
          <w:color w:val="auto"/>
        </w:rPr>
        <w:t>” means any income tax, social insurance, payroll tax, fringe benefit tax, payment on account or other tax-related items arising out of or in relation to a Participant’s participation in the Plan, including, but not limited to, the exercise of a Purchase Right and the receipt of shares of Common Stock or the sale or other disposition of shares of Common Stock acquired under the Plan.</w:t>
      </w:r>
    </w:p>
    <w:p>
      <w:pPr>
        <w:spacing w:after="0" w:line="159" w:lineRule="exact"/>
        <w:rPr>
          <w:rFonts w:ascii="Times New Roman" w:cs="Times New Roman" w:eastAsia="Times New Roman" w:hAnsi="Times New Roman"/>
          <w:sz w:val="19"/>
          <w:szCs w:val="19"/>
          <w:b w:val="1"/>
          <w:bCs w:val="1"/>
          <w:color w:val="auto"/>
        </w:rPr>
      </w:pPr>
    </w:p>
    <w:p>
      <w:pPr>
        <w:ind w:left="-517" w:right="80" w:firstLine="517"/>
        <w:spacing w:after="0" w:line="256" w:lineRule="auto"/>
        <w:tabs>
          <w:tab w:leader="none" w:pos="283" w:val="left"/>
        </w:tabs>
        <w:numPr>
          <w:ilvl w:val="0"/>
          <w:numId w:val="2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Trading Day</w:t>
      </w:r>
      <w:r>
        <w:rPr>
          <w:rFonts w:ascii="Times New Roman" w:cs="Times New Roman" w:eastAsia="Times New Roman" w:hAnsi="Times New Roman"/>
          <w:sz w:val="20"/>
          <w:szCs w:val="20"/>
          <w:color w:val="auto"/>
        </w:rPr>
        <w:t>” means any day on which the exchange(s) or market(s) on which shares of Common Stock are listed, including but not limited to the New York Stock Exchange, Nasdaq Global Select Market, the Nasdaq Global Market, the Nasdaq Capital Market or any successors thereto, is open for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548640</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3"/>
          </w:cols>
          <w:pgMar w:left="837" w:top="531" w:right="419" w:bottom="1440" w:gutter="0" w:footer="0" w:header="0"/>
        </w:sectPr>
      </w:pPr>
    </w:p>
    <w:bookmarkStart w:id="206" w:name="page207"/>
    <w:bookmarkEnd w:id="20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Hering, certify that:</w:t>
      </w:r>
    </w:p>
    <w:p>
      <w:pPr>
        <w:spacing w:after="0" w:line="212" w:lineRule="exact"/>
        <w:rPr>
          <w:sz w:val="20"/>
          <w:szCs w:val="20"/>
          <w:color w:val="auto"/>
        </w:rPr>
      </w:pPr>
    </w:p>
    <w:p>
      <w:pPr>
        <w:ind w:left="520" w:hanging="512"/>
        <w:spacing w:after="0"/>
        <w:tabs>
          <w:tab w:leader="none" w:pos="52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Invivyd, Inc.;</w:t>
      </w:r>
    </w:p>
    <w:p>
      <w:pPr>
        <w:spacing w:after="0" w:line="211" w:lineRule="exact"/>
        <w:rPr>
          <w:rFonts w:ascii="Times New Roman" w:cs="Times New Roman" w:eastAsia="Times New Roman" w:hAnsi="Times New Roman"/>
          <w:sz w:val="18"/>
          <w:szCs w:val="18"/>
          <w:color w:val="auto"/>
        </w:rPr>
      </w:pPr>
    </w:p>
    <w:p>
      <w:pPr>
        <w:jc w:val="both"/>
        <w:ind w:left="520" w:right="260" w:hanging="512"/>
        <w:spacing w:after="0" w:line="258" w:lineRule="auto"/>
        <w:tabs>
          <w:tab w:leader="none" w:pos="52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2"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9"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020" w:right="740" w:hanging="503"/>
        <w:spacing w:after="0" w:line="266" w:lineRule="auto"/>
        <w:tabs>
          <w:tab w:leader="none" w:pos="1020"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020" w:right="420" w:hanging="503"/>
        <w:spacing w:after="0" w:line="266" w:lineRule="auto"/>
        <w:tabs>
          <w:tab w:leader="none" w:pos="1020"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9" w:lineRule="exact"/>
        <w:rPr>
          <w:sz w:val="20"/>
          <w:szCs w:val="20"/>
          <w:color w:val="auto"/>
        </w:rPr>
      </w:pPr>
    </w:p>
    <w:p>
      <w:pPr>
        <w:ind w:left="20"/>
        <w:spacing w:after="0"/>
        <w:tabs>
          <w:tab w:leader="none" w:pos="5680" w:val="left"/>
          <w:tab w:leader="none" w:pos="7700" w:val="left"/>
        </w:tabs>
        <w:rPr>
          <w:sz w:val="20"/>
          <w:szCs w:val="20"/>
          <w:color w:val="auto"/>
        </w:rPr>
      </w:pPr>
      <w:r>
        <w:rPr>
          <w:rFonts w:ascii="Times New Roman" w:cs="Times New Roman" w:eastAsia="Times New Roman" w:hAnsi="Times New Roman"/>
          <w:sz w:val="18"/>
          <w:szCs w:val="18"/>
          <w:color w:val="auto"/>
        </w:rPr>
        <w:t>Date: November 10,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Hering,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5"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David Hering, M.B.A.</w:t>
      </w:r>
    </w:p>
    <w:p>
      <w:pPr>
        <w:jc w:val="center"/>
        <w:ind w:left="6000"/>
        <w:spacing w:after="0" w:line="234" w:lineRule="auto"/>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720725</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07" w:name="page208"/>
    <w:bookmarkEnd w:id="20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Frederick W. Driscoll, certify that:</w:t>
      </w:r>
    </w:p>
    <w:p>
      <w:pPr>
        <w:spacing w:after="0" w:line="212" w:lineRule="exact"/>
        <w:rPr>
          <w:sz w:val="20"/>
          <w:szCs w:val="20"/>
          <w:color w:val="auto"/>
        </w:rPr>
      </w:pPr>
    </w:p>
    <w:p>
      <w:pPr>
        <w:ind w:left="520" w:hanging="512"/>
        <w:spacing w:after="0"/>
        <w:tabs>
          <w:tab w:leader="none" w:pos="52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Invivyd, Inc.;</w:t>
      </w:r>
    </w:p>
    <w:p>
      <w:pPr>
        <w:spacing w:after="0" w:line="211" w:lineRule="exact"/>
        <w:rPr>
          <w:rFonts w:ascii="Times New Roman" w:cs="Times New Roman" w:eastAsia="Times New Roman" w:hAnsi="Times New Roman"/>
          <w:sz w:val="18"/>
          <w:szCs w:val="18"/>
          <w:color w:val="auto"/>
        </w:rPr>
      </w:pPr>
    </w:p>
    <w:p>
      <w:pPr>
        <w:jc w:val="both"/>
        <w:ind w:left="520" w:right="260" w:hanging="512"/>
        <w:spacing w:after="0" w:line="258" w:lineRule="auto"/>
        <w:tabs>
          <w:tab w:leader="none" w:pos="52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2"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9"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020" w:right="740" w:hanging="503"/>
        <w:spacing w:after="0" w:line="266" w:lineRule="auto"/>
        <w:tabs>
          <w:tab w:leader="none" w:pos="1020"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020" w:right="420" w:hanging="503"/>
        <w:spacing w:after="0" w:line="266" w:lineRule="auto"/>
        <w:tabs>
          <w:tab w:leader="none" w:pos="1020"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9" w:lineRule="exact"/>
        <w:rPr>
          <w:sz w:val="20"/>
          <w:szCs w:val="20"/>
          <w:color w:val="auto"/>
        </w:rPr>
      </w:pPr>
    </w:p>
    <w:p>
      <w:pPr>
        <w:ind w:left="20"/>
        <w:spacing w:after="0"/>
        <w:tabs>
          <w:tab w:leader="none" w:pos="5680" w:val="left"/>
          <w:tab w:leader="none" w:pos="7720" w:val="left"/>
        </w:tabs>
        <w:rPr>
          <w:sz w:val="20"/>
          <w:szCs w:val="20"/>
          <w:color w:val="auto"/>
        </w:rPr>
      </w:pPr>
      <w:r>
        <w:rPr>
          <w:rFonts w:ascii="Times New Roman" w:cs="Times New Roman" w:eastAsia="Times New Roman" w:hAnsi="Times New Roman"/>
          <w:sz w:val="18"/>
          <w:szCs w:val="18"/>
          <w:color w:val="auto"/>
        </w:rPr>
        <w:t>Date: November 10,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Frederick W. Driscoll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2">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5"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Frederick W. Driscoll</w:t>
      </w:r>
    </w:p>
    <w:p>
      <w:pPr>
        <w:jc w:val="center"/>
        <w:ind w:left="6000"/>
        <w:spacing w:after="0" w:line="234" w:lineRule="auto"/>
        <w:rPr>
          <w:sz w:val="20"/>
          <w:szCs w:val="20"/>
          <w:color w:val="auto"/>
        </w:rPr>
      </w:pPr>
      <w:r>
        <w:rPr>
          <w:rFonts w:ascii="Times New Roman" w:cs="Times New Roman" w:eastAsia="Times New Roman" w:hAnsi="Times New Roman"/>
          <w:sz w:val="18"/>
          <w:szCs w:val="18"/>
          <w:b w:val="1"/>
          <w:bCs w:val="1"/>
          <w:color w:val="auto"/>
        </w:rPr>
        <w:t>Interim Chief Financial Officer</w:t>
      </w:r>
    </w:p>
    <w:p>
      <w:pPr>
        <w:spacing w:after="0" w:line="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i w:val="1"/>
          <w:iCs w:val="1"/>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857885</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08" w:name="page209"/>
    <w:bookmarkEnd w:id="20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5" w:lineRule="exact"/>
        <w:rPr>
          <w:sz w:val="20"/>
          <w:szCs w:val="20"/>
          <w:color w:val="auto"/>
        </w:rPr>
      </w:pPr>
    </w:p>
    <w:p>
      <w:pPr>
        <w:ind w:right="120" w:firstLine="509"/>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of Invivyd, Inc. (the “Company”) on Form 10-Q for the period ended September 30, 2022 as filed with the Securities and Exchange Commission on the date hereof (the “Report”), I certify, pursuant to 18 U.S.C. § 1350, as adopted pursuant to § 906 of the Sarbanes-Oxley Act of 2002, that, to my knowledge:</w:t>
      </w:r>
    </w:p>
    <w:p>
      <w:pPr>
        <w:spacing w:after="0" w:line="190" w:lineRule="exact"/>
        <w:rPr>
          <w:sz w:val="20"/>
          <w:szCs w:val="20"/>
          <w:color w:val="auto"/>
        </w:rPr>
      </w:pPr>
    </w:p>
    <w:p>
      <w:pPr>
        <w:ind w:left="1020" w:hanging="503"/>
        <w:spacing w:after="0"/>
        <w:tabs>
          <w:tab w:leader="none" w:pos="102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1" w:lineRule="exact"/>
        <w:rPr>
          <w:rFonts w:ascii="Times New Roman" w:cs="Times New Roman" w:eastAsia="Times New Roman" w:hAnsi="Times New Roman"/>
          <w:sz w:val="18"/>
          <w:szCs w:val="18"/>
          <w:color w:val="auto"/>
        </w:rPr>
      </w:pPr>
    </w:p>
    <w:p>
      <w:pPr>
        <w:ind w:left="1020" w:right="560" w:hanging="503"/>
        <w:spacing w:after="0" w:line="266" w:lineRule="auto"/>
        <w:tabs>
          <w:tab w:leader="none" w:pos="102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49" w:lineRule="exact"/>
        <w:rPr>
          <w:sz w:val="20"/>
          <w:szCs w:val="20"/>
          <w:color w:val="auto"/>
        </w:rPr>
      </w:pPr>
    </w:p>
    <w:p>
      <w:pPr>
        <w:ind w:left="20"/>
        <w:spacing w:after="0"/>
        <w:tabs>
          <w:tab w:leader="none" w:pos="5680" w:val="left"/>
          <w:tab w:leader="none" w:pos="7720" w:val="left"/>
        </w:tabs>
        <w:rPr>
          <w:sz w:val="20"/>
          <w:szCs w:val="20"/>
          <w:color w:val="auto"/>
        </w:rPr>
      </w:pPr>
      <w:r>
        <w:rPr>
          <w:rFonts w:ascii="Times New Roman" w:cs="Times New Roman" w:eastAsia="Times New Roman" w:hAnsi="Times New Roman"/>
          <w:sz w:val="18"/>
          <w:szCs w:val="18"/>
          <w:color w:val="auto"/>
        </w:rPr>
        <w:t>Date: November 10,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Hering,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5"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David Hering, M.B.A</w:t>
      </w:r>
    </w:p>
    <w:p>
      <w:pPr>
        <w:jc w:val="center"/>
        <w:ind w:left="6000"/>
        <w:spacing w:after="0" w:line="234" w:lineRule="auto"/>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09" w:name="page210"/>
    <w:bookmarkEnd w:id="20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5" w:lineRule="exact"/>
        <w:rPr>
          <w:sz w:val="20"/>
          <w:szCs w:val="20"/>
          <w:color w:val="auto"/>
        </w:rPr>
      </w:pPr>
    </w:p>
    <w:p>
      <w:pPr>
        <w:ind w:right="120" w:firstLine="509"/>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of Invivyd, Inc. (the “Company”) on Form 10-Q for the period ended September 30, 2022 as filed with the Securities and Exchange Commission on the date hereof (the “Report”), I certify, pursuant to 18 U.S.C. § 1350, as adopted pursuant to § 906 of the Sarbanes-Oxley Act of 2002, that, to my knowledge:</w:t>
      </w:r>
    </w:p>
    <w:p>
      <w:pPr>
        <w:spacing w:after="0" w:line="190" w:lineRule="exact"/>
        <w:rPr>
          <w:sz w:val="20"/>
          <w:szCs w:val="20"/>
          <w:color w:val="auto"/>
        </w:rPr>
      </w:pPr>
    </w:p>
    <w:p>
      <w:pPr>
        <w:ind w:left="1020" w:hanging="503"/>
        <w:spacing w:after="0"/>
        <w:tabs>
          <w:tab w:leader="none" w:pos="102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1" w:lineRule="exact"/>
        <w:rPr>
          <w:rFonts w:ascii="Times New Roman" w:cs="Times New Roman" w:eastAsia="Times New Roman" w:hAnsi="Times New Roman"/>
          <w:sz w:val="18"/>
          <w:szCs w:val="18"/>
          <w:color w:val="auto"/>
        </w:rPr>
      </w:pPr>
    </w:p>
    <w:p>
      <w:pPr>
        <w:ind w:left="1020" w:right="560" w:hanging="503"/>
        <w:spacing w:after="0" w:line="266" w:lineRule="auto"/>
        <w:tabs>
          <w:tab w:leader="none" w:pos="102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49" w:lineRule="exact"/>
        <w:rPr>
          <w:sz w:val="20"/>
          <w:szCs w:val="20"/>
          <w:color w:val="auto"/>
        </w:rPr>
      </w:pPr>
    </w:p>
    <w:p>
      <w:pPr>
        <w:ind w:left="20"/>
        <w:spacing w:after="0"/>
        <w:tabs>
          <w:tab w:leader="none" w:pos="5680" w:val="left"/>
          <w:tab w:leader="none" w:pos="7720" w:val="left"/>
        </w:tabs>
        <w:rPr>
          <w:sz w:val="20"/>
          <w:szCs w:val="20"/>
          <w:color w:val="auto"/>
        </w:rPr>
      </w:pPr>
      <w:r>
        <w:rPr>
          <w:rFonts w:ascii="Times New Roman" w:cs="Times New Roman" w:eastAsia="Times New Roman" w:hAnsi="Times New Roman"/>
          <w:sz w:val="18"/>
          <w:szCs w:val="18"/>
          <w:color w:val="auto"/>
        </w:rPr>
        <w:t>Date: November 10,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Frederick W. Driscoll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5"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Frederick W. Driscoll</w:t>
      </w:r>
    </w:p>
    <w:p>
      <w:pPr>
        <w:jc w:val="center"/>
        <w:ind w:left="6000"/>
        <w:spacing w:after="0" w:line="234" w:lineRule="auto"/>
        <w:rPr>
          <w:sz w:val="20"/>
          <w:szCs w:val="20"/>
          <w:color w:val="auto"/>
        </w:rPr>
      </w:pPr>
      <w:r>
        <w:rPr>
          <w:rFonts w:ascii="Times New Roman" w:cs="Times New Roman" w:eastAsia="Times New Roman" w:hAnsi="Times New Roman"/>
          <w:sz w:val="18"/>
          <w:szCs w:val="18"/>
          <w:b w:val="1"/>
          <w:bCs w:val="1"/>
          <w:color w:val="auto"/>
        </w:rPr>
        <w:t>Interim Chief Financial Officer</w:t>
      </w:r>
    </w:p>
    <w:p>
      <w:pPr>
        <w:spacing w:after="0" w:line="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i w:val="1"/>
          <w:iCs w:val="1"/>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10" w:name="page211"/>
    <w:bookmarkEnd w:id="2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9ADEA3D"/>
    <w:multiLevelType w:val="hybridMultilevel"/>
    <w:lvl w:ilvl="0">
      <w:lvlJc w:val="left"/>
      <w:lvlText w:val="☒"/>
      <w:numFmt w:val="bullet"/>
      <w:start w:val="1"/>
    </w:lvl>
  </w:abstractNum>
  <w:abstractNum w:abstractNumId="1">
    <w:nsid w:val="288F1A34"/>
    <w:multiLevelType w:val="hybridMultilevel"/>
    <w:lvl w:ilvl="0">
      <w:lvlJc w:val="left"/>
      <w:lvlText w:val="☐"/>
      <w:numFmt w:val="bullet"/>
      <w:start w:val="1"/>
    </w:lvl>
  </w:abstractNum>
  <w:abstractNum w:abstractNumId="2">
    <w:nsid w:val="2A155DBC"/>
    <w:multiLevelType w:val="hybridMultilevel"/>
    <w:lvl w:ilvl="0">
      <w:lvlJc w:val="left"/>
      <w:lvlText w:val="•"/>
      <w:numFmt w:val="bullet"/>
      <w:start w:val="1"/>
    </w:lvl>
  </w:abstractNum>
  <w:abstractNum w:abstractNumId="3">
    <w:nsid w:val="1D9F6E5F"/>
    <w:multiLevelType w:val="hybridMultilevel"/>
    <w:lvl w:ilvl="0">
      <w:lvlJc w:val="left"/>
      <w:lvlText w:val="•"/>
      <w:numFmt w:val="bullet"/>
      <w:start w:val="1"/>
    </w:lvl>
  </w:abstractNum>
  <w:abstractNum w:abstractNumId="4">
    <w:nsid w:val="97E1B4E"/>
    <w:multiLevelType w:val="hybridMultilevel"/>
    <w:lvl w:ilvl="0">
      <w:lvlJc w:val="left"/>
      <w:lvlText w:val="•"/>
      <w:numFmt w:val="bullet"/>
      <w:start w:val="1"/>
    </w:lvl>
  </w:abstractNum>
  <w:abstractNum w:abstractNumId="5">
    <w:nsid w:val="51088277"/>
    <w:multiLevelType w:val="hybridMultilevel"/>
    <w:lvl w:ilvl="0">
      <w:lvlJc w:val="left"/>
      <w:lvlText w:val="•"/>
      <w:numFmt w:val="bullet"/>
      <w:start w:val="1"/>
    </w:lvl>
  </w:abstractNum>
  <w:abstractNum w:abstractNumId="6">
    <w:nsid w:val="1CA0C5FA"/>
    <w:multiLevelType w:val="hybridMultilevel"/>
    <w:lvl w:ilvl="0">
      <w:lvlJc w:val="left"/>
      <w:lvlText w:val="•"/>
      <w:numFmt w:val="bullet"/>
      <w:start w:val="1"/>
    </w:lvl>
  </w:abstractNum>
  <w:abstractNum w:abstractNumId="7">
    <w:nsid w:val="53584BCB"/>
    <w:multiLevelType w:val="hybridMultilevel"/>
    <w:lvl w:ilvl="0">
      <w:lvlJc w:val="left"/>
      <w:lvlText w:val="•"/>
      <w:numFmt w:val="bullet"/>
      <w:start w:val="1"/>
    </w:lvl>
  </w:abstractNum>
  <w:abstractNum w:abstractNumId="8">
    <w:nsid w:val="415E286C"/>
    <w:multiLevelType w:val="hybridMultilevel"/>
    <w:lvl w:ilvl="0">
      <w:lvlJc w:val="left"/>
      <w:lvlText w:val="(%1)"/>
      <w:numFmt w:val="decimal"/>
      <w:start w:val="1"/>
    </w:lvl>
  </w:abstractNum>
  <w:abstractNum w:abstractNumId="9">
    <w:nsid w:val="7C58FD05"/>
    <w:multiLevelType w:val="hybridMultilevel"/>
    <w:lvl w:ilvl="0">
      <w:lvlJc w:val="left"/>
      <w:lvlText w:val="%1."/>
      <w:numFmt w:val="decimal"/>
      <w:start w:val="4"/>
    </w:lvl>
  </w:abstractNum>
  <w:abstractNum w:abstractNumId="10">
    <w:nsid w:val="23D86AAC"/>
    <w:multiLevelType w:val="hybridMultilevel"/>
    <w:lvl w:ilvl="0">
      <w:lvlJc w:val="left"/>
      <w:lvlText w:val="•"/>
      <w:numFmt w:val="bullet"/>
      <w:start w:val="1"/>
    </w:lvl>
    <w:lvl w:ilvl="1">
      <w:lvlJc w:val="left"/>
      <w:lvlText w:val="•"/>
      <w:numFmt w:val="bullet"/>
      <w:start w:val="1"/>
    </w:lvl>
  </w:abstractNum>
  <w:abstractNum w:abstractNumId="11">
    <w:nsid w:val="45E6D486"/>
    <w:multiLevelType w:val="hybridMultilevel"/>
    <w:lvl w:ilvl="0">
      <w:lvlJc w:val="left"/>
      <w:lvlText w:val="%1."/>
      <w:numFmt w:val="decimal"/>
      <w:start w:val="11"/>
    </w:lvl>
  </w:abstractNum>
  <w:abstractNum w:abstractNumId="12">
    <w:nsid w:val="5C10FE21"/>
    <w:multiLevelType w:val="hybridMultilevel"/>
    <w:lvl w:ilvl="0">
      <w:lvlJc w:val="left"/>
      <w:lvlText w:val="•"/>
      <w:numFmt w:val="bullet"/>
      <w:start w:val="1"/>
    </w:lvl>
  </w:abstractNum>
  <w:abstractNum w:abstractNumId="13">
    <w:nsid w:val="E7FFA2B"/>
    <w:multiLevelType w:val="hybridMultilevel"/>
    <w:lvl w:ilvl="0">
      <w:lvlJc w:val="left"/>
      <w:lvlText w:val="%1."/>
      <w:numFmt w:val="decimal"/>
      <w:start w:val="19"/>
    </w:lvl>
  </w:abstractNum>
  <w:abstractNum w:abstractNumId="14">
    <w:nsid w:val="3C5991AA"/>
    <w:multiLevelType w:val="hybridMultilevel"/>
    <w:lvl w:ilvl="0">
      <w:lvlJc w:val="left"/>
      <w:lvlText w:val="•"/>
      <w:numFmt w:val="bullet"/>
      <w:start w:val="1"/>
    </w:lvl>
  </w:abstractNum>
  <w:abstractNum w:abstractNumId="15">
    <w:nsid w:val="4BD8591A"/>
    <w:multiLevelType w:val="hybridMultilevel"/>
    <w:lvl w:ilvl="0">
      <w:lvlJc w:val="left"/>
      <w:lvlText w:val="•"/>
      <w:numFmt w:val="bullet"/>
      <w:start w:val="1"/>
    </w:lvl>
  </w:abstractNum>
  <w:abstractNum w:abstractNumId="16">
    <w:nsid w:val="78DF6A55"/>
    <w:multiLevelType w:val="hybridMultilevel"/>
    <w:lvl w:ilvl="0">
      <w:lvlJc w:val="left"/>
      <w:lvlText w:val="•"/>
      <w:numFmt w:val="bullet"/>
      <w:start w:val="1"/>
    </w:lvl>
  </w:abstractNum>
  <w:abstractNum w:abstractNumId="17">
    <w:nsid w:val="39B7AAA2"/>
    <w:multiLevelType w:val="hybridMultilevel"/>
    <w:lvl w:ilvl="0">
      <w:lvlJc w:val="left"/>
      <w:lvlText w:val="•"/>
      <w:numFmt w:val="bullet"/>
      <w:start w:val="1"/>
    </w:lvl>
  </w:abstractNum>
  <w:abstractNum w:abstractNumId="18">
    <w:nsid w:val="2B0D8DBE"/>
    <w:multiLevelType w:val="hybridMultilevel"/>
    <w:lvl w:ilvl="0">
      <w:lvlJc w:val="left"/>
      <w:lvlText w:val="•"/>
      <w:numFmt w:val="bullet"/>
      <w:start w:val="1"/>
    </w:lvl>
  </w:abstractNum>
  <w:abstractNum w:abstractNumId="19">
    <w:nsid w:val="6C80EC70"/>
    <w:multiLevelType w:val="hybridMultilevel"/>
    <w:lvl w:ilvl="0">
      <w:lvlJc w:val="left"/>
      <w:lvlText w:val="•"/>
      <w:numFmt w:val="bullet"/>
      <w:start w:val="1"/>
    </w:lvl>
  </w:abstractNum>
  <w:abstractNum w:abstractNumId="20">
    <w:nsid w:val="379E21B5"/>
    <w:multiLevelType w:val="hybridMultilevel"/>
    <w:lvl w:ilvl="0">
      <w:lvlJc w:val="left"/>
      <w:lvlText w:val="•"/>
      <w:numFmt w:val="bullet"/>
      <w:start w:val="1"/>
    </w:lvl>
  </w:abstractNum>
  <w:abstractNum w:abstractNumId="21">
    <w:nsid w:val="69E373"/>
    <w:multiLevelType w:val="hybridMultilevel"/>
    <w:lvl w:ilvl="0">
      <w:lvlJc w:val="left"/>
      <w:lvlText w:val="•"/>
      <w:numFmt w:val="bullet"/>
      <w:start w:val="1"/>
    </w:lvl>
  </w:abstractNum>
  <w:abstractNum w:abstractNumId="22">
    <w:nsid w:val="2C27173B"/>
    <w:multiLevelType w:val="hybridMultilevel"/>
    <w:lvl w:ilvl="0">
      <w:lvlJc w:val="left"/>
      <w:lvlText w:val="•"/>
      <w:numFmt w:val="bullet"/>
      <w:start w:val="1"/>
    </w:lvl>
  </w:abstractNum>
  <w:abstractNum w:abstractNumId="23">
    <w:nsid w:val="4C9B0904"/>
    <w:multiLevelType w:val="hybridMultilevel"/>
    <w:lvl w:ilvl="0">
      <w:lvlJc w:val="left"/>
      <w:lvlText w:val="•"/>
      <w:numFmt w:val="bullet"/>
      <w:start w:val="1"/>
    </w:lvl>
  </w:abstractNum>
  <w:abstractNum w:abstractNumId="24">
    <w:nsid w:val="6AA7B75C"/>
    <w:multiLevelType w:val="hybridMultilevel"/>
    <w:lvl w:ilvl="0">
      <w:lvlJc w:val="left"/>
      <w:lvlText w:val="•"/>
      <w:numFmt w:val="bullet"/>
      <w:start w:val="1"/>
    </w:lvl>
  </w:abstractNum>
  <w:abstractNum w:abstractNumId="25">
    <w:nsid w:val="1DF029D3"/>
    <w:multiLevelType w:val="hybridMultilevel"/>
    <w:lvl w:ilvl="0">
      <w:lvlJc w:val="left"/>
      <w:lvlText w:val="•"/>
      <w:numFmt w:val="bullet"/>
      <w:start w:val="1"/>
    </w:lvl>
  </w:abstractNum>
  <w:abstractNum w:abstractNumId="26">
    <w:nsid w:val="5675FF36"/>
    <w:multiLevelType w:val="hybridMultilevel"/>
    <w:lvl w:ilvl="0">
      <w:lvlJc w:val="left"/>
      <w:lvlText w:val="•"/>
      <w:numFmt w:val="bullet"/>
      <w:start w:val="1"/>
    </w:lvl>
  </w:abstractNum>
  <w:abstractNum w:abstractNumId="27">
    <w:nsid w:val="3DD15094"/>
    <w:multiLevelType w:val="hybridMultilevel"/>
    <w:lvl w:ilvl="0">
      <w:lvlJc w:val="left"/>
      <w:lvlText w:val="•"/>
      <w:numFmt w:val="bullet"/>
      <w:start w:val="1"/>
    </w:lvl>
  </w:abstractNum>
  <w:abstractNum w:abstractNumId="28">
    <w:nsid w:val="3DB012B3"/>
    <w:multiLevelType w:val="hybridMultilevel"/>
    <w:lvl w:ilvl="0">
      <w:lvlJc w:val="left"/>
      <w:lvlText w:val="•"/>
      <w:numFmt w:val="bullet"/>
      <w:start w:val="1"/>
    </w:lvl>
  </w:abstractNum>
  <w:abstractNum w:abstractNumId="29">
    <w:nsid w:val="2708C9AF"/>
    <w:multiLevelType w:val="hybridMultilevel"/>
    <w:lvl w:ilvl="0">
      <w:lvlJc w:val="left"/>
      <w:lvlText w:val="•"/>
      <w:numFmt w:val="bullet"/>
      <w:start w:val="1"/>
    </w:lvl>
  </w:abstractNum>
  <w:abstractNum w:abstractNumId="30">
    <w:nsid w:val="5B25ACE2"/>
    <w:multiLevelType w:val="hybridMultilevel"/>
    <w:lvl w:ilvl="0">
      <w:lvlJc w:val="left"/>
      <w:lvlText w:val="•"/>
      <w:numFmt w:val="bullet"/>
      <w:start w:val="1"/>
    </w:lvl>
  </w:abstractNum>
  <w:abstractNum w:abstractNumId="31">
    <w:nsid w:val="175DFCF0"/>
    <w:multiLevelType w:val="hybridMultilevel"/>
    <w:lvl w:ilvl="0">
      <w:lvlJc w:val="left"/>
      <w:lvlText w:val="•"/>
      <w:numFmt w:val="bullet"/>
      <w:start w:val="1"/>
    </w:lvl>
  </w:abstractNum>
  <w:abstractNum w:abstractNumId="32">
    <w:nsid w:val="4F97E3E4"/>
    <w:multiLevelType w:val="hybridMultilevel"/>
    <w:lvl w:ilvl="0">
      <w:lvlJc w:val="left"/>
      <w:lvlText w:val="•"/>
      <w:numFmt w:val="bullet"/>
      <w:start w:val="1"/>
    </w:lvl>
  </w:abstractNum>
  <w:abstractNum w:abstractNumId="33">
    <w:nsid w:val="53B0A9E"/>
    <w:multiLevelType w:val="hybridMultilevel"/>
    <w:lvl w:ilvl="0">
      <w:lvlJc w:val="left"/>
      <w:lvlText w:val="•"/>
      <w:numFmt w:val="bullet"/>
      <w:start w:val="1"/>
    </w:lvl>
  </w:abstractNum>
  <w:abstractNum w:abstractNumId="34">
    <w:nsid w:val="34FD6B4F"/>
    <w:multiLevelType w:val="hybridMultilevel"/>
    <w:lvl w:ilvl="0">
      <w:lvlJc w:val="left"/>
      <w:lvlText w:val="•"/>
      <w:numFmt w:val="bullet"/>
      <w:start w:val="1"/>
    </w:lvl>
  </w:abstractNum>
  <w:abstractNum w:abstractNumId="35">
    <w:nsid w:val="5915FF32"/>
    <w:multiLevelType w:val="hybridMultilevel"/>
    <w:lvl w:ilvl="0">
      <w:lvlJc w:val="left"/>
      <w:lvlText w:val="•"/>
      <w:numFmt w:val="bullet"/>
      <w:start w:val="1"/>
    </w:lvl>
  </w:abstractNum>
  <w:abstractNum w:abstractNumId="36">
    <w:nsid w:val="56438D15"/>
    <w:multiLevelType w:val="hybridMultilevel"/>
    <w:lvl w:ilvl="0">
      <w:lvlJc w:val="left"/>
      <w:lvlText w:val="•"/>
      <w:numFmt w:val="bullet"/>
      <w:start w:val="1"/>
    </w:lvl>
  </w:abstractNum>
  <w:abstractNum w:abstractNumId="37">
    <w:nsid w:val="519E3149"/>
    <w:multiLevelType w:val="hybridMultilevel"/>
    <w:lvl w:ilvl="0">
      <w:lvlJc w:val="left"/>
      <w:lvlText w:val="•"/>
      <w:numFmt w:val="bullet"/>
      <w:start w:val="1"/>
    </w:lvl>
  </w:abstractNum>
  <w:abstractNum w:abstractNumId="38">
    <w:nsid w:val="2C6E4AFD"/>
    <w:multiLevelType w:val="hybridMultilevel"/>
    <w:lvl w:ilvl="0">
      <w:lvlJc w:val="left"/>
      <w:lvlText w:val="•"/>
      <w:numFmt w:val="bullet"/>
      <w:start w:val="1"/>
    </w:lvl>
  </w:abstractNum>
  <w:abstractNum w:abstractNumId="39">
    <w:nsid w:val="17A1B582"/>
    <w:multiLevelType w:val="hybridMultilevel"/>
    <w:lvl w:ilvl="0">
      <w:lvlJc w:val="left"/>
      <w:lvlText w:val="•"/>
      <w:numFmt w:val="bullet"/>
      <w:start w:val="1"/>
    </w:lvl>
  </w:abstractNum>
  <w:abstractNum w:abstractNumId="40">
    <w:nsid w:val="4DF72E4E"/>
    <w:multiLevelType w:val="hybridMultilevel"/>
    <w:lvl w:ilvl="0">
      <w:lvlJc w:val="left"/>
      <w:lvlText w:val="•"/>
      <w:numFmt w:val="bullet"/>
      <w:start w:val="1"/>
    </w:lvl>
  </w:abstractNum>
  <w:abstractNum w:abstractNumId="41">
    <w:nsid w:val="5046B5A9"/>
    <w:multiLevelType w:val="hybridMultilevel"/>
    <w:lvl w:ilvl="0">
      <w:lvlJc w:val="left"/>
      <w:lvlText w:val="•"/>
      <w:numFmt w:val="bullet"/>
      <w:start w:val="1"/>
    </w:lvl>
  </w:abstractNum>
  <w:abstractNum w:abstractNumId="42">
    <w:nsid w:val="5D888A08"/>
    <w:multiLevelType w:val="hybridMultilevel"/>
    <w:lvl w:ilvl="0">
      <w:lvlJc w:val="left"/>
      <w:lvlText w:val="•"/>
      <w:numFmt w:val="bullet"/>
      <w:start w:val="1"/>
    </w:lvl>
  </w:abstractNum>
  <w:abstractNum w:abstractNumId="43">
    <w:nsid w:val="2A082C70"/>
    <w:multiLevelType w:val="hybridMultilevel"/>
    <w:lvl w:ilvl="0">
      <w:lvlJc w:val="left"/>
      <w:lvlText w:val="•"/>
      <w:numFmt w:val="bullet"/>
      <w:start w:val="1"/>
    </w:lvl>
  </w:abstractNum>
  <w:abstractNum w:abstractNumId="44">
    <w:nsid w:val="5EC6AFD4"/>
    <w:multiLevelType w:val="hybridMultilevel"/>
    <w:lvl w:ilvl="0">
      <w:lvlJc w:val="left"/>
      <w:lvlText w:val="•"/>
      <w:numFmt w:val="bullet"/>
      <w:start w:val="1"/>
    </w:lvl>
  </w:abstractNum>
  <w:abstractNum w:abstractNumId="45">
    <w:nsid w:val="19E21BB2"/>
    <w:multiLevelType w:val="hybridMultilevel"/>
    <w:lvl w:ilvl="0">
      <w:lvlJc w:val="left"/>
      <w:lvlText w:val="•"/>
      <w:numFmt w:val="bullet"/>
      <w:start w:val="1"/>
    </w:lvl>
  </w:abstractNum>
  <w:abstractNum w:abstractNumId="46">
    <w:nsid w:val="75E0858A"/>
    <w:multiLevelType w:val="hybridMultilevel"/>
    <w:lvl w:ilvl="0">
      <w:lvlJc w:val="left"/>
      <w:lvlText w:val="•"/>
      <w:numFmt w:val="bullet"/>
      <w:start w:val="1"/>
    </w:lvl>
  </w:abstractNum>
  <w:abstractNum w:abstractNumId="47">
    <w:nsid w:val="57A61A29"/>
    <w:multiLevelType w:val="hybridMultilevel"/>
    <w:lvl w:ilvl="0">
      <w:lvlJc w:val="left"/>
      <w:lvlText w:val="•"/>
      <w:numFmt w:val="bullet"/>
      <w:start w:val="1"/>
    </w:lvl>
  </w:abstractNum>
  <w:abstractNum w:abstractNumId="48">
    <w:nsid w:val="5399C654"/>
    <w:multiLevelType w:val="hybridMultilevel"/>
    <w:lvl w:ilvl="0">
      <w:lvlJc w:val="left"/>
      <w:lvlText w:val="•"/>
      <w:numFmt w:val="bullet"/>
      <w:start w:val="1"/>
    </w:lvl>
  </w:abstractNum>
  <w:abstractNum w:abstractNumId="49">
    <w:nsid w:val="20EE1348"/>
    <w:multiLevelType w:val="hybridMultilevel"/>
    <w:lvl w:ilvl="0">
      <w:lvlJc w:val="left"/>
      <w:lvlText w:val="•"/>
      <w:numFmt w:val="bullet"/>
      <w:start w:val="1"/>
    </w:lvl>
  </w:abstractNum>
  <w:abstractNum w:abstractNumId="50">
    <w:nsid w:val="4427069A"/>
    <w:multiLevelType w:val="hybridMultilevel"/>
    <w:lvl w:ilvl="0">
      <w:lvlJc w:val="left"/>
      <w:lvlText w:val="•"/>
      <w:numFmt w:val="bullet"/>
      <w:start w:val="1"/>
    </w:lvl>
  </w:abstractNum>
  <w:abstractNum w:abstractNumId="51">
    <w:nsid w:val="B37E80A"/>
    <w:multiLevelType w:val="hybridMultilevel"/>
    <w:lvl w:ilvl="0">
      <w:lvlJc w:val="left"/>
      <w:lvlText w:val="•"/>
      <w:numFmt w:val="bullet"/>
      <w:start w:val="1"/>
    </w:lvl>
  </w:abstractNum>
  <w:abstractNum w:abstractNumId="52">
    <w:nsid w:val="2157F6BC"/>
    <w:multiLevelType w:val="hybridMultilevel"/>
    <w:lvl w:ilvl="0">
      <w:lvlJc w:val="left"/>
      <w:lvlText w:val="•"/>
      <w:numFmt w:val="bullet"/>
      <w:start w:val="1"/>
    </w:lvl>
  </w:abstractNum>
  <w:abstractNum w:abstractNumId="53">
    <w:nsid w:val="704E1DD5"/>
    <w:multiLevelType w:val="hybridMultilevel"/>
    <w:lvl w:ilvl="0">
      <w:lvlJc w:val="left"/>
      <w:lvlText w:val="•"/>
      <w:numFmt w:val="bullet"/>
      <w:start w:val="1"/>
    </w:lvl>
  </w:abstractNum>
  <w:abstractNum w:abstractNumId="54">
    <w:nsid w:val="57D2F10E"/>
    <w:multiLevelType w:val="hybridMultilevel"/>
    <w:lvl w:ilvl="0">
      <w:lvlJc w:val="left"/>
      <w:lvlText w:val="•"/>
      <w:numFmt w:val="bullet"/>
      <w:start w:val="1"/>
    </w:lvl>
  </w:abstractNum>
  <w:abstractNum w:abstractNumId="55">
    <w:nsid w:val="BFFAE18"/>
    <w:multiLevelType w:val="hybridMultilevel"/>
    <w:lvl w:ilvl="0">
      <w:lvlJc w:val="left"/>
      <w:lvlText w:val="•"/>
      <w:numFmt w:val="bullet"/>
      <w:start w:val="1"/>
    </w:lvl>
  </w:abstractNum>
  <w:abstractNum w:abstractNumId="56">
    <w:nsid w:val="E3E47A8"/>
    <w:multiLevelType w:val="hybridMultilevel"/>
    <w:lvl w:ilvl="0">
      <w:lvlJc w:val="left"/>
      <w:lvlText w:val="•"/>
      <w:numFmt w:val="bullet"/>
      <w:start w:val="1"/>
    </w:lvl>
  </w:abstractNum>
  <w:abstractNum w:abstractNumId="57">
    <w:nsid w:val="2E48F044"/>
    <w:multiLevelType w:val="hybridMultilevel"/>
    <w:lvl w:ilvl="0">
      <w:lvlJc w:val="left"/>
      <w:lvlText w:val="•"/>
      <w:numFmt w:val="bullet"/>
      <w:start w:val="1"/>
    </w:lvl>
  </w:abstractNum>
  <w:abstractNum w:abstractNumId="58">
    <w:nsid w:val="49D0FEAC"/>
    <w:multiLevelType w:val="hybridMultilevel"/>
    <w:lvl w:ilvl="0">
      <w:lvlJc w:val="left"/>
      <w:lvlText w:val="•"/>
      <w:numFmt w:val="bullet"/>
      <w:start w:val="1"/>
    </w:lvl>
  </w:abstractNum>
  <w:abstractNum w:abstractNumId="59">
    <w:nsid w:val="4BEE5A5B"/>
    <w:multiLevelType w:val="hybridMultilevel"/>
    <w:lvl w:ilvl="0">
      <w:lvlJc w:val="left"/>
      <w:lvlText w:val="•"/>
      <w:numFmt w:val="bullet"/>
      <w:start w:val="1"/>
    </w:lvl>
  </w:abstractNum>
  <w:abstractNum w:abstractNumId="60">
    <w:nsid w:val="5551B9F3"/>
    <w:multiLevelType w:val="hybridMultilevel"/>
    <w:lvl w:ilvl="0">
      <w:lvlJc w:val="left"/>
      <w:lvlText w:val="•"/>
      <w:numFmt w:val="bullet"/>
      <w:start w:val="1"/>
    </w:lvl>
  </w:abstractNum>
  <w:abstractNum w:abstractNumId="61">
    <w:nsid w:val="24F6AB8E"/>
    <w:multiLevelType w:val="hybridMultilevel"/>
    <w:lvl w:ilvl="0">
      <w:lvlJc w:val="left"/>
      <w:lvlText w:val="•"/>
      <w:numFmt w:val="bullet"/>
      <w:start w:val="1"/>
    </w:lvl>
  </w:abstractNum>
  <w:abstractNum w:abstractNumId="62">
    <w:nsid w:val="634C574C"/>
    <w:multiLevelType w:val="hybridMultilevel"/>
    <w:lvl w:ilvl="0">
      <w:lvlJc w:val="left"/>
      <w:lvlText w:val="•"/>
      <w:numFmt w:val="bullet"/>
      <w:start w:val="1"/>
    </w:lvl>
  </w:abstractNum>
  <w:abstractNum w:abstractNumId="63">
    <w:nsid w:val="24E99DD7"/>
    <w:multiLevelType w:val="hybridMultilevel"/>
    <w:lvl w:ilvl="0">
      <w:lvlJc w:val="left"/>
      <w:lvlText w:val="%1."/>
      <w:numFmt w:val="decimal"/>
      <w:start w:val="382"/>
    </w:lvl>
  </w:abstractNum>
  <w:abstractNum w:abstractNumId="64">
    <w:nsid w:val="2A31B62D"/>
    <w:multiLevelType w:val="hybridMultilevel"/>
    <w:lvl w:ilvl="0">
      <w:lvlJc w:val="left"/>
      <w:lvlText w:val="*"/>
      <w:numFmt w:val="bullet"/>
      <w:start w:val="1"/>
    </w:lvl>
  </w:abstractNum>
  <w:abstractNum w:abstractNumId="65">
    <w:nsid w:val="1849C29B"/>
    <w:multiLevelType w:val="hybridMultilevel"/>
    <w:lvl w:ilvl="0">
      <w:lvlJc w:val="left"/>
      <w:lvlText w:val="+"/>
      <w:numFmt w:val="bullet"/>
      <w:start w:val="1"/>
    </w:lvl>
  </w:abstractNum>
  <w:abstractNum w:abstractNumId="66">
    <w:nsid w:val="7DFF9D09"/>
    <w:multiLevelType w:val="hybridMultilevel"/>
    <w:lvl w:ilvl="0">
      <w:lvlJc w:val="left"/>
      <w:lvlText w:val="^"/>
      <w:numFmt w:val="bullet"/>
      <w:start w:val="1"/>
    </w:lvl>
  </w:abstractNum>
  <w:abstractNum w:abstractNumId="67">
    <w:nsid w:val="754342"/>
    <w:multiLevelType w:val="hybridMultilevel"/>
    <w:lvl w:ilvl="0">
      <w:lvlJc w:val="left"/>
      <w:lvlText w:val="#"/>
      <w:numFmt w:val="bullet"/>
      <w:start w:val="1"/>
    </w:lvl>
  </w:abstractNum>
  <w:abstractNum w:abstractNumId="68">
    <w:nsid w:val="69E7F3E5"/>
    <w:multiLevelType w:val="hybridMultilevel"/>
    <w:lvl w:ilvl="0">
      <w:lvlJc w:val="left"/>
      <w:lvlText w:val="(%1)"/>
      <w:numFmt w:val="lowerLetter"/>
      <w:start w:val="6"/>
    </w:lvl>
  </w:abstractNum>
  <w:abstractNum w:abstractNumId="69">
    <w:nsid w:val="2A6DE806"/>
    <w:multiLevelType w:val="hybridMultilevel"/>
    <w:lvl w:ilvl="0">
      <w:lvlJc w:val="left"/>
      <w:lvlText w:val="(%1)"/>
      <w:numFmt w:val="lowerLetter"/>
      <w:start w:val="1"/>
    </w:lvl>
  </w:abstractNum>
  <w:abstractNum w:abstractNumId="70">
    <w:nsid w:val="1816F8C4"/>
    <w:multiLevelType w:val="hybridMultilevel"/>
    <w:lvl w:ilvl="0">
      <w:lvlJc w:val="left"/>
      <w:lvlText w:val="(%1)"/>
      <w:numFmt w:val="lowerLetter"/>
      <w:start w:val="5"/>
    </w:lvl>
  </w:abstractNum>
  <w:abstractNum w:abstractNumId="71">
    <w:nsid w:val="37DF2233"/>
    <w:multiLevelType w:val="hybridMultilevel"/>
    <w:lvl w:ilvl="0">
      <w:lvlJc w:val="left"/>
      <w:lvlText w:val="(%1)"/>
      <w:numFmt w:val="lowerLetter"/>
      <w:start w:val="1"/>
    </w:lvl>
  </w:abstractNum>
  <w:abstractNum w:abstractNumId="72">
    <w:nsid w:val="7AB49DAF"/>
    <w:multiLevelType w:val="hybridMultilevel"/>
    <w:lvl w:ilvl="0">
      <w:lvlJc w:val="left"/>
      <w:lvlText w:val="(%1)"/>
      <w:numFmt w:val="lowerLetter"/>
      <w:start w:val="1"/>
    </w:lvl>
  </w:abstractNum>
  <w:abstractNum w:abstractNumId="73">
    <w:nsid w:val="759F82CD"/>
    <w:multiLevelType w:val="hybridMultilevel"/>
    <w:lvl w:ilvl="0">
      <w:lvlJc w:val="left"/>
      <w:lvlText w:val="(%1)"/>
      <w:numFmt w:val="lowerLetter"/>
      <w:start w:val="1"/>
    </w:lvl>
  </w:abstractNum>
  <w:abstractNum w:abstractNumId="74">
    <w:nsid w:val="61E74EA3"/>
    <w:multiLevelType w:val="hybridMultilevel"/>
    <w:lvl w:ilvl="0">
      <w:lvlJc w:val="left"/>
      <w:lvlText w:val="(%1)"/>
      <w:numFmt w:val="lowerLetter"/>
      <w:start w:val="2"/>
    </w:lvl>
  </w:abstractNum>
  <w:abstractNum w:abstractNumId="75">
    <w:nsid w:val="597B4D84"/>
    <w:multiLevelType w:val="hybridMultilevel"/>
    <w:lvl w:ilvl="0">
      <w:lvlJc w:val="left"/>
      <w:lvlText w:val="(%1)"/>
      <w:numFmt w:val="lowerLetter"/>
      <w:start w:val="1"/>
    </w:lvl>
  </w:abstractNum>
  <w:abstractNum w:abstractNumId="76">
    <w:nsid w:val="F819E7F"/>
    <w:multiLevelType w:val="hybridMultilevel"/>
    <w:lvl w:ilvl="0">
      <w:lvlJc w:val="left"/>
      <w:lvlText w:val="(%1)"/>
      <w:numFmt w:val="lowerLetter"/>
      <w:start w:val="1"/>
    </w:lvl>
  </w:abstractNum>
  <w:abstractNum w:abstractNumId="77">
    <w:nsid w:val="57C7D42D"/>
    <w:multiLevelType w:val="hybridMultilevel"/>
    <w:lvl w:ilvl="0">
      <w:lvlJc w:val="left"/>
      <w:lvlText w:val="(%1)"/>
      <w:numFmt w:val="lowerLetter"/>
      <w:start w:val="2"/>
    </w:lvl>
  </w:abstractNum>
  <w:abstractNum w:abstractNumId="78">
    <w:nsid w:val="312167AD"/>
    <w:multiLevelType w:val="hybridMultilevel"/>
    <w:lvl w:ilvl="0">
      <w:lvlJc w:val="left"/>
      <w:lvlText w:val="(%1)"/>
      <w:numFmt w:val="lowerLetter"/>
      <w:start w:val="1"/>
    </w:lvl>
  </w:abstractNum>
  <w:abstractNum w:abstractNumId="79">
    <w:nsid w:val="631B64D4"/>
    <w:multiLevelType w:val="hybridMultilevel"/>
    <w:lvl w:ilvl="0">
      <w:lvlJc w:val="left"/>
      <w:lvlText w:val="(%1)"/>
      <w:numFmt w:val="lowerLetter"/>
      <w:start w:val="6"/>
    </w:lvl>
  </w:abstractNum>
  <w:abstractNum w:abstractNumId="80">
    <w:nsid w:val="78B5E776"/>
    <w:multiLevelType w:val="hybridMultilevel"/>
    <w:lvl w:ilvl="0">
      <w:lvlJc w:val="left"/>
      <w:lvlText w:val="(%1)"/>
      <w:numFmt w:val="lowerLetter"/>
      <w:start w:val="7"/>
    </w:lvl>
  </w:abstractNum>
  <w:abstractNum w:abstractNumId="81">
    <w:nsid w:val="75486E47"/>
    <w:multiLevelType w:val="hybridMultilevel"/>
    <w:lvl w:ilvl="0">
      <w:lvlJc w:val="left"/>
      <w:lvlText w:val="%1."/>
      <w:numFmt w:val="decimal"/>
      <w:start w:val="1"/>
    </w:lvl>
    <w:lvl w:ilvl="1">
      <w:lvlJc w:val="left"/>
      <w:lvlText w:val="*"/>
      <w:numFmt w:val="bullet"/>
      <w:start w:val="1"/>
    </w:lvl>
  </w:abstractNum>
  <w:abstractNum w:abstractNumId="82">
    <w:nsid w:val="6E534CDE"/>
    <w:multiLevelType w:val="hybridMultilevel"/>
    <w:lvl w:ilvl="0">
      <w:lvlJc w:val="left"/>
      <w:lvlText w:val="(%1)"/>
      <w:numFmt w:val="lowerLetter"/>
      <w:start w:val="1"/>
    </w:lvl>
  </w:abstractNum>
  <w:abstractNum w:abstractNumId="83">
    <w:nsid w:val="1A0DDE32"/>
    <w:multiLevelType w:val="hybridMultilevel"/>
    <w:lvl w:ilvl="0">
      <w:lvlJc w:val="left"/>
      <w:lvlText w:val="(%1)"/>
      <w:numFmt w:val="lowerLetter"/>
      <w:start w:val="3"/>
    </w:lvl>
  </w:abstractNum>
  <w:abstractNum w:abstractNumId="84">
    <w:nsid w:val="65968C1C"/>
    <w:multiLevelType w:val="hybridMultilevel"/>
    <w:lvl w:ilvl="0">
      <w:lvlJc w:val="left"/>
      <w:lvlText w:val="(%1)"/>
      <w:numFmt w:val="lowerLetter"/>
      <w:start w:val="1"/>
    </w:lvl>
  </w:abstractNum>
  <w:abstractNum w:abstractNumId="85">
    <w:nsid w:val="46263DEC"/>
    <w:multiLevelType w:val="hybridMultilevel"/>
    <w:lvl w:ilvl="0">
      <w:lvlJc w:val="left"/>
      <w:lvlText w:val="(%1)"/>
      <w:numFmt w:val="lowerLetter"/>
      <w:start w:val="1"/>
    </w:lvl>
  </w:abstractNum>
  <w:abstractNum w:abstractNumId="86">
    <w:nsid w:val="260D8C4A"/>
    <w:multiLevelType w:val="hybridMultilevel"/>
    <w:lvl w:ilvl="0">
      <w:lvlJc w:val="left"/>
      <w:lvlText w:val="(%1)"/>
      <w:numFmt w:val="lowerRoman"/>
      <w:start w:val="1"/>
    </w:lvl>
  </w:abstractNum>
  <w:abstractNum w:abstractNumId="87">
    <w:nsid w:val="73D4D3C4"/>
    <w:multiLevelType w:val="hybridMultilevel"/>
    <w:lvl w:ilvl="0">
      <w:lvlJc w:val="left"/>
      <w:lvlText w:val="(%1)"/>
      <w:numFmt w:val="lowerLetter"/>
      <w:start w:val="1"/>
    </w:lvl>
  </w:abstractNum>
  <w:abstractNum w:abstractNumId="88">
    <w:nsid w:val="746F2E30"/>
    <w:multiLevelType w:val="hybridMultilevel"/>
    <w:lvl w:ilvl="0">
      <w:lvlJc w:val="left"/>
      <w:lvlText w:val="(%1)"/>
      <w:numFmt w:val="lowerLetter"/>
      <w:start w:val="1"/>
    </w:lvl>
  </w:abstractNum>
  <w:abstractNum w:abstractNumId="89">
    <w:nsid w:val="6FDE8AF6"/>
    <w:multiLevelType w:val="hybridMultilevel"/>
    <w:lvl w:ilvl="0">
      <w:lvlJc w:val="left"/>
      <w:lvlText w:val="(%1)"/>
      <w:numFmt w:val="lowerLetter"/>
      <w:start w:val="2"/>
    </w:lvl>
  </w:abstractNum>
  <w:abstractNum w:abstractNumId="90">
    <w:nsid w:val="3FC32E20"/>
    <w:multiLevelType w:val="hybridMultilevel"/>
    <w:lvl w:ilvl="0">
      <w:lvlJc w:val="left"/>
      <w:lvlText w:val="(%1)"/>
      <w:numFmt w:val="lowerLetter"/>
      <w:start w:val="1"/>
    </w:lvl>
  </w:abstractNum>
  <w:abstractNum w:abstractNumId="91">
    <w:nsid w:val="49C0E823"/>
    <w:multiLevelType w:val="hybridMultilevel"/>
    <w:lvl w:ilvl="0">
      <w:lvlJc w:val="left"/>
      <w:lvlText w:val="%1."/>
      <w:numFmt w:val="decimal"/>
      <w:start w:val="1"/>
    </w:lvl>
    <w:lvl w:ilvl="1">
      <w:lvlJc w:val="left"/>
      <w:lvlText w:val="(%2)"/>
      <w:numFmt w:val="lowerLetter"/>
      <w:start w:val="1"/>
    </w:lvl>
  </w:abstractNum>
  <w:abstractNum w:abstractNumId="92">
    <w:nsid w:val="14D53685"/>
    <w:multiLevelType w:val="hybridMultilevel"/>
    <w:lvl w:ilvl="0">
      <w:lvlJc w:val="left"/>
      <w:lvlText w:val="%1"/>
      <w:numFmt w:val="decimal"/>
      <w:start w:val="1"/>
    </w:lvl>
    <w:lvl w:ilvl="1">
      <w:lvlJc w:val="left"/>
      <w:lvlText w:val="(%2)"/>
      <w:numFmt w:val="lowerLetter"/>
      <w:start w:val="6"/>
    </w:lvl>
  </w:abstractNum>
  <w:abstractNum w:abstractNumId="93">
    <w:nsid w:val="230F856C"/>
    <w:multiLevelType w:val="hybridMultilevel"/>
    <w:lvl w:ilvl="0">
      <w:lvlJc w:val="left"/>
      <w:lvlText w:val="%1."/>
      <w:numFmt w:val="decimal"/>
      <w:start w:val="2"/>
    </w:lvl>
    <w:lvl w:ilvl="1">
      <w:lvlJc w:val="left"/>
      <w:lvlText w:val="(%2)"/>
      <w:numFmt w:val="lowerLetter"/>
      <w:start w:val="1"/>
    </w:lvl>
  </w:abstractNum>
  <w:abstractNum w:abstractNumId="94">
    <w:nsid w:val="6EAA85FB"/>
    <w:multiLevelType w:val="hybridMultilevel"/>
    <w:lvl w:ilvl="0">
      <w:lvlJc w:val="left"/>
      <w:lvlText w:val="(%1)"/>
      <w:numFmt w:val="lowerLetter"/>
      <w:start w:val="2"/>
    </w:lvl>
  </w:abstractNum>
  <w:abstractNum w:abstractNumId="95">
    <w:nsid w:val="3F06ECB2"/>
    <w:multiLevelType w:val="hybridMultilevel"/>
    <w:lvl w:ilvl="0">
      <w:lvlJc w:val="left"/>
      <w:lvlText w:val="%1."/>
      <w:numFmt w:val="decimal"/>
      <w:start w:val="4"/>
    </w:lvl>
  </w:abstractNum>
  <w:abstractNum w:abstractNumId="96">
    <w:nsid w:val="3B594807"/>
    <w:multiLevelType w:val="hybridMultilevel"/>
    <w:lvl w:ilvl="0">
      <w:lvlJc w:val="left"/>
      <w:lvlText w:val="%1."/>
      <w:numFmt w:val="decimal"/>
      <w:start w:val="1"/>
    </w:lvl>
  </w:abstractNum>
  <w:abstractNum w:abstractNumId="97">
    <w:nsid w:val="6CAA2304"/>
    <w:multiLevelType w:val="hybridMultilevel"/>
    <w:lvl w:ilvl="0">
      <w:lvlJc w:val="left"/>
      <w:lvlText w:val="%1."/>
      <w:numFmt w:val="decimal"/>
      <w:start w:val="6"/>
    </w:lvl>
  </w:abstractNum>
  <w:abstractNum w:abstractNumId="98">
    <w:nsid w:val="3F7C2FF4"/>
    <w:multiLevelType w:val="hybridMultilevel"/>
    <w:lvl w:ilvl="0">
      <w:lvlJc w:val="left"/>
      <w:lvlText w:val="%1."/>
      <w:numFmt w:val="decimal"/>
      <w:start w:val="17"/>
    </w:lvl>
  </w:abstractNum>
  <w:abstractNum w:abstractNumId="99">
    <w:nsid w:val="25413BEC"/>
    <w:multiLevelType w:val="hybridMultilevel"/>
    <w:lvl w:ilvl="0">
      <w:lvlJc w:val="left"/>
      <w:lvlText w:val="%1:"/>
      <w:numFmt w:val="lowerLetter"/>
      <w:start w:val="29"/>
    </w:lvl>
  </w:abstractNum>
  <w:abstractNum w:abstractNumId="100">
    <w:nsid w:val="17180B0B"/>
    <w:multiLevelType w:val="hybridMultilevel"/>
    <w:lvl w:ilvl="0">
      <w:lvlJc w:val="left"/>
      <w:lvlText w:val="(%1)"/>
      <w:numFmt w:val="lowerLetter"/>
      <w:start w:val="1"/>
    </w:lvl>
  </w:abstractNum>
  <w:abstractNum w:abstractNumId="101">
    <w:nsid w:val="579328B9"/>
    <w:multiLevelType w:val="hybridMultilevel"/>
    <w:lvl w:ilvl="0">
      <w:lvlJc w:val="left"/>
      <w:lvlText w:val="(%1)"/>
      <w:numFmt w:val="lowerLetter"/>
      <w:start w:val="1"/>
    </w:lvl>
  </w:abstractNum>
  <w:abstractNum w:abstractNumId="102">
    <w:nsid w:val="5D205E20"/>
    <w:multiLevelType w:val="hybridMultilevel"/>
    <w:lvl w:ilvl="0">
      <w:lvlJc w:val="left"/>
      <w:lvlText w:val="(%1)"/>
      <w:numFmt w:val="lowerLetter"/>
      <w:start w:val="1"/>
    </w:lvl>
  </w:abstractNum>
  <w:abstractNum w:abstractNumId="103">
    <w:nsid w:val="11CCA8BA"/>
    <w:multiLevelType w:val="hybridMultilevel"/>
    <w:lvl w:ilvl="0">
      <w:lvlJc w:val="left"/>
      <w:lvlText w:val="(%1)"/>
      <w:numFmt w:val="lowerLetter"/>
      <w:start w:val="1"/>
    </w:lvl>
  </w:abstractNum>
  <w:abstractNum w:abstractNumId="104">
    <w:nsid w:val="4D32AB86"/>
    <w:multiLevelType w:val="hybridMultilevel"/>
    <w:lvl w:ilvl="0">
      <w:lvlJc w:val="left"/>
      <w:lvlText w:val="%1."/>
      <w:numFmt w:val="decimal"/>
      <w:start w:val="1"/>
    </w:lvl>
    <w:lvl w:ilvl="1">
      <w:lvlJc w:val="left"/>
      <w:lvlText w:val="(%2)"/>
      <w:numFmt w:val="lowerLetter"/>
      <w:start w:val="1"/>
    </w:lvl>
  </w:abstractNum>
  <w:abstractNum w:abstractNumId="105">
    <w:nsid w:val="3F07ACC3"/>
    <w:multiLevelType w:val="hybridMultilevel"/>
    <w:lvl w:ilvl="0">
      <w:lvlJc w:val="left"/>
      <w:lvlText w:val="%1"/>
      <w:numFmt w:val="decimal"/>
      <w:start w:val="1"/>
    </w:lvl>
    <w:lvl w:ilvl="1">
      <w:lvlJc w:val="left"/>
      <w:lvlText w:val="(%2)"/>
      <w:numFmt w:val="lowerLetter"/>
      <w:start w:val="4"/>
    </w:lvl>
  </w:abstractNum>
  <w:abstractNum w:abstractNumId="106">
    <w:nsid w:val="6B47F63E"/>
    <w:multiLevelType w:val="hybridMultilevel"/>
    <w:lvl w:ilvl="0">
      <w:lvlJc w:val="left"/>
      <w:lvlText w:val="%1."/>
      <w:numFmt w:val="decimal"/>
      <w:start w:val="2"/>
    </w:lvl>
    <w:lvl w:ilvl="1">
      <w:lvlJc w:val="left"/>
      <w:lvlText w:val="(%2)"/>
      <w:numFmt w:val="lowerLetter"/>
      <w:start w:val="1"/>
    </w:lvl>
  </w:abstractNum>
  <w:abstractNum w:abstractNumId="107">
    <w:nsid w:val="5CB44A05"/>
    <w:multiLevelType w:val="hybridMultilevel"/>
    <w:lvl w:ilvl="0">
      <w:lvlJc w:val="left"/>
      <w:lvlText w:val="(%1)"/>
      <w:numFmt w:val="lowerLetter"/>
      <w:start w:val="2"/>
    </w:lvl>
  </w:abstractNum>
  <w:abstractNum w:abstractNumId="108">
    <w:nsid w:val="16CF80F1"/>
    <w:multiLevelType w:val="hybridMultilevel"/>
    <w:lvl w:ilvl="0">
      <w:lvlJc w:val="left"/>
      <w:lvlText w:val="%1"/>
      <w:numFmt w:val="decimal"/>
      <w:start w:val="1"/>
    </w:lvl>
    <w:lvl w:ilvl="1">
      <w:lvlJc w:val="left"/>
      <w:lvlText w:val="(%2)"/>
      <w:numFmt w:val="lowerLetter"/>
      <w:start w:val="3"/>
    </w:lvl>
  </w:abstractNum>
  <w:abstractNum w:abstractNumId="109">
    <w:nsid w:val="1C695DEC"/>
    <w:multiLevelType w:val="hybridMultilevel"/>
    <w:lvl w:ilvl="0">
      <w:lvlJc w:val="left"/>
      <w:lvlText w:val="%1."/>
      <w:numFmt w:val="decimal"/>
      <w:start w:val="4"/>
    </w:lvl>
    <w:lvl w:ilvl="1">
      <w:lvlJc w:val="left"/>
      <w:lvlText w:val="%2"/>
      <w:numFmt w:val="lowerLetter"/>
      <w:start w:val="1"/>
    </w:lvl>
  </w:abstractNum>
  <w:abstractNum w:abstractNumId="110">
    <w:nsid w:val="3FCFAED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111">
    <w:nsid w:val="F85686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12">
    <w:nsid w:val="11B1CC33"/>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13">
    <w:nsid w:val="2E22FBB7"/>
    <w:multiLevelType w:val="hybridMultilevel"/>
    <w:lvl w:ilvl="0">
      <w:lvlJc w:val="left"/>
      <w:lvlText w:val="%1."/>
      <w:numFmt w:val="decimal"/>
      <w:start w:val="4"/>
    </w:lvl>
  </w:abstractNum>
  <w:abstractNum w:abstractNumId="114">
    <w:nsid w:val="29934699"/>
    <w:multiLevelType w:val="hybridMultilevel"/>
    <w:lvl w:ilvl="0">
      <w:lvlJc w:val="left"/>
      <w:lvlText w:val="(%1)"/>
      <w:numFmt w:val="lowerLetter"/>
      <w:start w:val="1"/>
    </w:lvl>
    <w:lvl w:ilvl="1">
      <w:lvlJc w:val="left"/>
      <w:lvlText w:val="(%2)"/>
      <w:numFmt w:val="lowerRoman"/>
      <w:start w:val="1"/>
    </w:lvl>
  </w:abstractNum>
  <w:abstractNum w:abstractNumId="115">
    <w:nsid w:val="77485850"/>
    <w:multiLevelType w:val="hybridMultilevel"/>
    <w:lvl w:ilvl="0">
      <w:lvlJc w:val="left"/>
      <w:lvlText w:val="(%1)"/>
      <w:numFmt w:val="lowerLetter"/>
      <w:start w:val="5"/>
    </w:lvl>
    <w:lvl w:ilvl="1">
      <w:lvlJc w:val="left"/>
      <w:lvlText w:val="(%2)"/>
      <w:numFmt w:val="lowerRoman"/>
      <w:start w:val="1"/>
    </w:lvl>
  </w:abstractNum>
  <w:abstractNum w:abstractNumId="116">
    <w:nsid w:val="744939A3"/>
    <w:multiLevelType w:val="hybridMultilevel"/>
    <w:lvl w:ilvl="0">
      <w:lvlJc w:val="left"/>
      <w:lvlText w:val="%1"/>
      <w:numFmt w:val="decimal"/>
      <w:start w:val="1"/>
    </w:lvl>
    <w:lvl w:ilvl="1">
      <w:lvlJc w:val="left"/>
      <w:lvlText w:val="(%2)"/>
      <w:numFmt w:val="lowerLetter"/>
      <w:start w:val="9"/>
    </w:lvl>
    <w:lvl w:ilvl="2">
      <w:lvlJc w:val="left"/>
      <w:lvlText w:val="%3"/>
      <w:numFmt w:val="lowerRoman"/>
      <w:start w:val="1"/>
    </w:lvl>
    <w:lvl w:ilvl="3">
      <w:lvlJc w:val="left"/>
      <w:lvlText w:val="%4"/>
      <w:numFmt w:val="decimal"/>
      <w:start w:val="1"/>
    </w:lvl>
  </w:abstractNum>
  <w:abstractNum w:abstractNumId="117">
    <w:nsid w:val="4FA0D2E3"/>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118">
    <w:nsid w:val="6B1D2C14"/>
    <w:multiLevelType w:val="hybridMultilevel"/>
    <w:lvl w:ilvl="0">
      <w:lvlJc w:val="left"/>
      <w:lvlText w:val="%1"/>
      <w:numFmt w:val="lowerRoman"/>
      <w:start w:val="1"/>
    </w:lvl>
    <w:lvl w:ilvl="1">
      <w:lvlJc w:val="left"/>
      <w:lvlText w:val="%2"/>
      <w:numFmt w:val="lowerRoman"/>
      <w:start w:val="1"/>
    </w:lvl>
    <w:lvl w:ilvl="2">
      <w:lvlJc w:val="left"/>
      <w:lvlText w:val="(%3)"/>
      <w:numFmt w:val="decimal"/>
      <w:start w:val="1"/>
    </w:lvl>
  </w:abstractNum>
  <w:abstractNum w:abstractNumId="119">
    <w:nsid w:val="68B867D3"/>
    <w:multiLevelType w:val="hybridMultilevel"/>
    <w:lvl w:ilvl="0">
      <w:lvlJc w:val="left"/>
      <w:lvlText w:val="(%1)"/>
      <w:numFmt w:val="lowerRoman"/>
      <w:start w:val="3"/>
    </w:lvl>
    <w:lvl w:ilvl="1">
      <w:lvlJc w:val="left"/>
      <w:lvlText w:val="(%2)"/>
      <w:numFmt w:val="lowerRoman"/>
      <w:start w:val="6"/>
    </w:lvl>
    <w:lvl w:ilvl="2">
      <w:lvlJc w:val="left"/>
      <w:lvlText w:val="%3"/>
      <w:numFmt w:val="decimal"/>
      <w:start w:val="1"/>
    </w:lvl>
  </w:abstractNum>
  <w:abstractNum w:abstractNumId="120">
    <w:nsid w:val="3F7F5DD9"/>
    <w:multiLevelType w:val="hybridMultilevel"/>
    <w:lvl w:ilvl="0">
      <w:lvlJc w:val="left"/>
      <w:lvlText w:val="%1"/>
      <w:numFmt w:val="decimal"/>
      <w:start w:val="1"/>
    </w:lvl>
    <w:lvl w:ilvl="1">
      <w:lvlJc w:val="left"/>
      <w:lvlText w:val="(%2)"/>
      <w:numFmt w:val="lowerLetter"/>
      <w:start w:val="2"/>
    </w:lvl>
  </w:abstractNum>
  <w:abstractNum w:abstractNumId="121">
    <w:nsid w:val="2AE05A34"/>
    <w:multiLevelType w:val="hybridMultilevel"/>
    <w:lvl w:ilvl="0">
      <w:lvlJc w:val="left"/>
      <w:lvlText w:val="%1."/>
      <w:numFmt w:val="decimal"/>
      <w:start w:val="6"/>
    </w:lvl>
    <w:lvl w:ilvl="1">
      <w:lvlJc w:val="left"/>
      <w:lvlText w:val="(%2)"/>
      <w:numFmt w:val="lowerLetter"/>
      <w:start w:val="1"/>
    </w:lvl>
  </w:abstractNum>
  <w:abstractNum w:abstractNumId="122">
    <w:nsid w:val="32794FF7"/>
    <w:multiLevelType w:val="hybridMultilevel"/>
    <w:lvl w:ilvl="0">
      <w:lvlJc w:val="left"/>
      <w:lvlText w:val="(%1)"/>
      <w:numFmt w:val="lowerLetter"/>
      <w:start w:val="2"/>
    </w:lvl>
    <w:lvl w:ilvl="1">
      <w:lvlJc w:val="left"/>
      <w:lvlText w:val="(%2)"/>
      <w:numFmt w:val="lowerRoman"/>
      <w:start w:val="1"/>
    </w:lvl>
  </w:abstractNum>
  <w:abstractNum w:abstractNumId="123">
    <w:nsid w:val="5454945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124">
    <w:nsid w:val="4DEFDFA0"/>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25">
    <w:nsid w:val="2123D5F2"/>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26">
    <w:nsid w:val="135B8110"/>
    <w:multiLevelType w:val="hybridMultilevel"/>
    <w:lvl w:ilvl="0">
      <w:lvlJc w:val="left"/>
      <w:lvlText w:val="%1"/>
      <w:numFmt w:val="lowerLetter"/>
      <w:start w:val="1"/>
    </w:lvl>
    <w:lvl w:ilvl="1">
      <w:lvlJc w:val="left"/>
      <w:lvlText w:val="(%2)"/>
      <w:numFmt w:val="lowerRoman"/>
      <w:start w:val="6"/>
    </w:lvl>
  </w:abstractNum>
  <w:abstractNum w:abstractNumId="127">
    <w:nsid w:val="94927A8"/>
    <w:multiLevelType w:val="hybridMultilevel"/>
    <w:lvl w:ilvl="0">
      <w:lvlJc w:val="left"/>
      <w:lvlText w:val="(%1)"/>
      <w:numFmt w:val="lowerLetter"/>
      <w:start w:val="3"/>
    </w:lvl>
    <w:lvl w:ilvl="1">
      <w:lvlJc w:val="left"/>
      <w:lvlText w:val="(%2)"/>
      <w:numFmt w:val="lowerRoman"/>
      <w:start w:val="1"/>
    </w:lvl>
  </w:abstractNum>
  <w:abstractNum w:abstractNumId="128">
    <w:nsid w:val="DCDF8F6"/>
    <w:multiLevelType w:val="hybridMultilevel"/>
    <w:lvl w:ilvl="0">
      <w:lvlJc w:val="left"/>
      <w:lvlText w:val="%1"/>
      <w:numFmt w:val="decimal"/>
      <w:start w:val="1"/>
    </w:lvl>
    <w:lvl w:ilvl="1">
      <w:lvlJc w:val="left"/>
      <w:lvlText w:val="(%2)"/>
      <w:numFmt w:val="lowerLetter"/>
      <w:start w:val="4"/>
    </w:lvl>
  </w:abstractNum>
  <w:abstractNum w:abstractNumId="129">
    <w:nsid w:val="52D7B105"/>
    <w:multiLevelType w:val="hybridMultilevel"/>
    <w:lvl w:ilvl="0">
      <w:lvlJc w:val="left"/>
      <w:lvlText w:val="%1."/>
      <w:numFmt w:val="decimal"/>
      <w:start w:val="8"/>
    </w:lvl>
    <w:lvl w:ilvl="1">
      <w:lvlJc w:val="left"/>
      <w:lvlText w:val="(%2)"/>
      <w:numFmt w:val="lowerLetter"/>
      <w:start w:val="1"/>
    </w:lvl>
  </w:abstractNum>
  <w:abstractNum w:abstractNumId="130">
    <w:nsid w:val="2E8A6394"/>
    <w:multiLevelType w:val="hybridMultilevel"/>
    <w:lvl w:ilvl="0">
      <w:lvlJc w:val="left"/>
      <w:lvlText w:val="%1."/>
      <w:numFmt w:val="decimal"/>
      <w:start w:val="9"/>
    </w:lvl>
    <w:lvl w:ilvl="1">
      <w:lvlJc w:val="left"/>
      <w:lvlText w:val="(%2)"/>
      <w:numFmt w:val="lowerLetter"/>
      <w:start w:val="1"/>
    </w:lvl>
  </w:abstractNum>
  <w:abstractNum w:abstractNumId="131">
    <w:nsid w:val="24E60401"/>
    <w:multiLevelType w:val="hybridMultilevel"/>
    <w:lvl w:ilvl="0">
      <w:lvlJc w:val="left"/>
      <w:lvlText w:val="(%1)"/>
      <w:numFmt w:val="lowerLetter"/>
      <w:start w:val="9"/>
    </w:lvl>
  </w:abstractNum>
  <w:abstractNum w:abstractNumId="132">
    <w:nsid w:val="2A6AD9BE"/>
    <w:multiLevelType w:val="hybridMultilevel"/>
    <w:lvl w:ilvl="0">
      <w:lvlJc w:val="left"/>
      <w:lvlText w:val="%1"/>
      <w:numFmt w:val="decimal"/>
      <w:start w:val="1"/>
    </w:lvl>
    <w:lvl w:ilvl="1">
      <w:lvlJc w:val="left"/>
      <w:lvlText w:val="(%2)"/>
      <w:numFmt w:val="lowerLetter"/>
      <w:start w:val="15"/>
    </w:lvl>
  </w:abstractNum>
  <w:abstractNum w:abstractNumId="133">
    <w:nsid w:val="BAAC1B4"/>
    <w:multiLevelType w:val="hybridMultilevel"/>
    <w:lvl w:ilvl="0">
      <w:lvlJc w:val="left"/>
      <w:lvlText w:val="%1."/>
      <w:numFmt w:val="decimal"/>
      <w:start w:val="10"/>
    </w:lvl>
    <w:lvl w:ilvl="1">
      <w:lvlJc w:val="left"/>
      <w:lvlText w:val="%2"/>
      <w:numFmt w:val="lowerLetter"/>
      <w:start w:val="1"/>
    </w:lvl>
  </w:abstractNum>
  <w:abstractNum w:abstractNumId="134">
    <w:nsid w:val="36B2ACBC"/>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135">
    <w:nsid w:val="779D8544"/>
    <w:multiLevelType w:val="hybridMultilevel"/>
    <w:lvl w:ilvl="0">
      <w:lvlJc w:val="left"/>
      <w:lvlText w:val="(%1)"/>
      <w:numFmt w:val="lowerRoman"/>
      <w:start w:val="1"/>
    </w:lvl>
  </w:abstractNum>
  <w:abstractNum w:abstractNumId="136">
    <w:nsid w:val="4AB26E78"/>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137">
    <w:nsid w:val="21FAA2FA"/>
    <w:multiLevelType w:val="hybridMultilevel"/>
    <w:lvl w:ilvl="0">
      <w:lvlJc w:val="left"/>
      <w:lvlText w:val="%1"/>
      <w:numFmt w:val="lowerLetter"/>
      <w:start w:val="1"/>
    </w:lvl>
    <w:lvl w:ilvl="1">
      <w:lvlJc w:val="left"/>
      <w:lvlText w:val="(%2)"/>
      <w:numFmt w:val="lowerLetter"/>
      <w:start w:val="35"/>
    </w:lvl>
    <w:lvl w:ilvl="2">
      <w:lvlJc w:val="left"/>
      <w:lvlText w:val="(%3)"/>
      <w:numFmt w:val="decimal"/>
      <w:start w:val="1"/>
    </w:lvl>
  </w:abstractNum>
  <w:abstractNum w:abstractNumId="138">
    <w:nsid w:val="5451CF49"/>
    <w:multiLevelType w:val="hybridMultilevel"/>
    <w:lvl w:ilvl="0">
      <w:lvlJc w:val="left"/>
      <w:lvlText w:val="(%1)"/>
      <w:numFmt w:val="lowerLetter"/>
      <w:start w:val="4"/>
    </w:lvl>
    <w:lvl w:ilvl="1">
      <w:lvlJc w:val="left"/>
      <w:lvlText w:val="(%2)"/>
      <w:numFmt w:val="lowerLetter"/>
      <w:start w:val="9"/>
    </w:lvl>
    <w:lvl w:ilvl="2">
      <w:lvlJc w:val="left"/>
      <w:lvlText w:val="%3"/>
      <w:numFmt w:val="decimal"/>
      <w:start w:val="1"/>
    </w:lvl>
  </w:abstractNum>
  <w:abstractNum w:abstractNumId="139">
    <w:nsid w:val="6181EF69"/>
    <w:multiLevelType w:val="hybridMultilevel"/>
    <w:lvl w:ilvl="0">
      <w:lvlJc w:val="left"/>
      <w:lvlText w:val="%1"/>
      <w:numFmt w:val="lowerLetter"/>
      <w:start w:val="1"/>
    </w:lvl>
    <w:lvl w:ilvl="1">
      <w:lvlJc w:val="left"/>
      <w:lvlText w:val="(%2)"/>
      <w:numFmt w:val="lowerLetter"/>
      <w:start w:val="35"/>
    </w:lvl>
  </w:abstractNum>
  <w:abstractNum w:abstractNumId="140">
    <w:nsid w:val="3E6400E6"/>
    <w:multiLevelType w:val="hybridMultilevel"/>
    <w:lvl w:ilvl="0">
      <w:lvlJc w:val="left"/>
      <w:lvlText w:val="(%1)"/>
      <w:numFmt w:val="lowerLetter"/>
      <w:start w:val="5"/>
    </w:lvl>
    <w:lvl w:ilvl="1">
      <w:lvlJc w:val="left"/>
      <w:lvlText w:val="(%2)"/>
      <w:numFmt w:val="lowerLetter"/>
      <w:start w:val="9"/>
    </w:lvl>
  </w:abstractNum>
  <w:abstractNum w:abstractNumId="141">
    <w:nsid w:val="14217E23"/>
    <w:multiLevelType w:val="hybridMultilevel"/>
    <w:lvl w:ilvl="0">
      <w:lvlJc w:val="left"/>
      <w:lvlText w:val="(%1)"/>
      <w:numFmt w:val="lowerRoman"/>
      <w:start w:val="2"/>
    </w:lvl>
  </w:abstractNum>
  <w:abstractNum w:abstractNumId="142">
    <w:nsid w:val="710757D0"/>
    <w:multiLevelType w:val="hybridMultilevel"/>
    <w:lvl w:ilvl="0">
      <w:lvlJc w:val="left"/>
      <w:lvlText w:val="%1."/>
      <w:numFmt w:val="decimal"/>
      <w:start w:val="12"/>
    </w:lvl>
  </w:abstractNum>
  <w:abstractNum w:abstractNumId="143">
    <w:nsid w:val="5015CD1A"/>
    <w:multiLevelType w:val="hybridMultilevel"/>
    <w:lvl w:ilvl="0">
      <w:lvlJc w:val="left"/>
      <w:lvlText w:val="%1."/>
      <w:numFmt w:val="decimal"/>
      <w:start w:val="13"/>
    </w:lvl>
  </w:abstractNum>
  <w:abstractNum w:abstractNumId="144">
    <w:nsid w:val="424479DA"/>
    <w:multiLevelType w:val="hybridMultilevel"/>
    <w:lvl w:ilvl="0">
      <w:lvlJc w:val="left"/>
      <w:lvlText w:val="(%1)"/>
      <w:numFmt w:val="lowerRoman"/>
      <w:start w:val="1"/>
    </w:lvl>
  </w:abstractNum>
  <w:abstractNum w:abstractNumId="145">
    <w:nsid w:val="1A9A9E69"/>
    <w:multiLevelType w:val="hybridMultilevel"/>
    <w:lvl w:ilvl="0">
      <w:lvlJc w:val="left"/>
      <w:lvlText w:val="%1."/>
      <w:numFmt w:val="decimal"/>
      <w:start w:val="14"/>
    </w:lvl>
  </w:abstractNum>
  <w:abstractNum w:abstractNumId="146">
    <w:nsid w:val="475E256A"/>
    <w:multiLevelType w:val="hybridMultilevel"/>
    <w:lvl w:ilvl="0">
      <w:lvlJc w:val="left"/>
      <w:lvlText w:val="(%1)"/>
      <w:numFmt w:val="lowerLetter"/>
      <w:start w:val="1"/>
    </w:lvl>
  </w:abstractNum>
  <w:abstractNum w:abstractNumId="147">
    <w:nsid w:val="368DB37E"/>
    <w:multiLevelType w:val="hybridMultilevel"/>
    <w:lvl w:ilvl="0">
      <w:lvlJc w:val="left"/>
      <w:lvlText w:val="(%1)"/>
      <w:numFmt w:val="lowerLetter"/>
      <w:start w:val="10"/>
    </w:lvl>
    <w:lvl w:ilvl="1">
      <w:lvlJc w:val="left"/>
      <w:lvlText w:val="(%2)"/>
      <w:numFmt w:val="lowerRoman"/>
      <w:start w:val="1"/>
    </w:lvl>
  </w:abstractNum>
  <w:abstractNum w:abstractNumId="148">
    <w:nsid w:val="6A3B714C"/>
    <w:multiLevelType w:val="hybridMultilevel"/>
    <w:lvl w:ilvl="0">
      <w:lvlJc w:val="left"/>
      <w:lvlText w:val="(%1)"/>
      <w:numFmt w:val="lowerLetter"/>
      <w:start w:val="11"/>
    </w:lvl>
  </w:abstractNum>
  <w:abstractNum w:abstractNumId="149">
    <w:nsid w:val="327B517E"/>
    <w:multiLevelType w:val="hybridMultilevel"/>
    <w:lvl w:ilvl="0">
      <w:lvlJc w:val="left"/>
      <w:lvlText w:val="(%1)"/>
      <w:numFmt w:val="lowerLetter"/>
      <w:start w:val="13"/>
    </w:lvl>
    <w:lvl w:ilvl="1">
      <w:lvlJc w:val="left"/>
      <w:lvlText w:val="(%2)"/>
      <w:numFmt w:val="lowerRoman"/>
      <w:start w:val="1"/>
    </w:lvl>
  </w:abstractNum>
  <w:abstractNum w:abstractNumId="150">
    <w:nsid w:val="1F461B51"/>
    <w:multiLevelType w:val="hybridMultilevel"/>
    <w:lvl w:ilvl="0">
      <w:lvlJc w:val="left"/>
      <w:lvlText w:val="(%1)"/>
      <w:numFmt w:val="lowerLetter"/>
      <w:start w:val="19"/>
    </w:lvl>
  </w:abstractNum>
  <w:abstractNum w:abstractNumId="151">
    <w:nsid w:val="29BACF25"/>
    <w:multiLevelType w:val="hybridMultilevel"/>
    <w:lvl w:ilvl="0">
      <w:lvlJc w:val="left"/>
      <w:lvlText w:val="(%1)"/>
      <w:numFmt w:val="lowerLetter"/>
      <w:start w:val="27"/>
    </w:lvl>
    <w:lvl w:ilvl="1">
      <w:lvlJc w:val="left"/>
      <w:lvlText w:val="(%2)"/>
      <w:numFmt w:val="lowerRoman"/>
      <w:start w:val="1"/>
    </w:lvl>
  </w:abstractNum>
  <w:abstractNum w:abstractNumId="152">
    <w:nsid w:val="5D5BABB3"/>
    <w:multiLevelType w:val="hybridMultilevel"/>
    <w:lvl w:ilvl="0">
      <w:lvlJc w:val="left"/>
      <w:lvlText w:val="(%1)"/>
      <w:numFmt w:val="lowerLetter"/>
      <w:start w:val="31"/>
    </w:lvl>
  </w:abstractNum>
  <w:abstractNum w:abstractNumId="153">
    <w:nsid w:val="51BF6B48"/>
    <w:multiLevelType w:val="hybridMultilevel"/>
    <w:lvl w:ilvl="0">
      <w:lvlJc w:val="left"/>
      <w:lvlText w:val="(%1)"/>
      <w:numFmt w:val="lowerLetter"/>
      <w:start w:val="42"/>
    </w:lvl>
  </w:abstractNum>
  <w:abstractNum w:abstractNumId="154">
    <w:nsid w:val="7E0F6384"/>
    <w:multiLevelType w:val="hybridMultilevel"/>
    <w:lvl w:ilvl="0">
      <w:lvlJc w:val="left"/>
      <w:lvlText w:val="(%1)"/>
      <w:numFmt w:val="lowerLetter"/>
      <w:start w:val="50"/>
    </w:lvl>
  </w:abstractNum>
  <w:abstractNum w:abstractNumId="155">
    <w:nsid w:val="2B4B8B53"/>
    <w:multiLevelType w:val="hybridMultilevel"/>
    <w:lvl w:ilvl="0">
      <w:lvlJc w:val="left"/>
      <w:lvlText w:val="(%1)"/>
      <w:numFmt w:val="lowerLetter"/>
      <w:start w:val="53"/>
    </w:lvl>
  </w:abstractNum>
  <w:abstractNum w:abstractNumId="156">
    <w:nsid w:val="72E3413A"/>
    <w:multiLevelType w:val="hybridMultilevel"/>
    <w:lvl w:ilvl="0">
      <w:lvlJc w:val="left"/>
      <w:lvlText w:val="(%1)"/>
      <w:numFmt w:val="lowerLetter"/>
      <w:start w:val="61"/>
    </w:lvl>
  </w:abstractNum>
  <w:abstractNum w:abstractNumId="157">
    <w:nsid w:val="116AE494"/>
    <w:multiLevelType w:val="hybridMultilevel"/>
    <w:lvl w:ilvl="0">
      <w:lvlJc w:val="left"/>
      <w:lvlText w:val="•"/>
      <w:numFmt w:val="bullet"/>
      <w:start w:val="1"/>
    </w:lvl>
  </w:abstractNum>
  <w:abstractNum w:abstractNumId="158">
    <w:nsid w:val="3494B2FB"/>
    <w:multiLevelType w:val="hybridMultilevel"/>
    <w:lvl w:ilvl="0">
      <w:lvlJc w:val="left"/>
      <w:lvlText w:val="•"/>
      <w:numFmt w:val="bullet"/>
      <w:start w:val="1"/>
    </w:lvl>
  </w:abstractNum>
  <w:abstractNum w:abstractNumId="159">
    <w:nsid w:val="B13A31"/>
    <w:multiLevelType w:val="hybridMultilevel"/>
    <w:lvl w:ilvl="0">
      <w:lvlJc w:val="left"/>
      <w:lvlText w:val="%1."/>
      <w:numFmt w:val="decimal"/>
      <w:start w:val="1"/>
    </w:lvl>
    <w:lvl w:ilvl="1">
      <w:lvlJc w:val="left"/>
      <w:lvlText w:val="(%2)"/>
      <w:numFmt w:val="lowerLetter"/>
      <w:start w:val="1"/>
    </w:lvl>
  </w:abstractNum>
  <w:abstractNum w:abstractNumId="160">
    <w:nsid w:val="64429599"/>
    <w:multiLevelType w:val="hybridMultilevel"/>
    <w:lvl w:ilvl="0">
      <w:lvlJc w:val="left"/>
      <w:lvlText w:val="%1."/>
      <w:numFmt w:val="decimal"/>
      <w:start w:val="2"/>
    </w:lvl>
  </w:abstractNum>
  <w:abstractNum w:abstractNumId="161">
    <w:nsid w:val="631F1690"/>
    <w:multiLevelType w:val="hybridMultilevel"/>
    <w:lvl w:ilvl="0">
      <w:lvlJc w:val="left"/>
      <w:lvlText w:val="(%1)"/>
      <w:numFmt w:val="lowerLetter"/>
      <w:start w:val="1"/>
    </w:lvl>
    <w:lvl w:ilvl="1">
      <w:lvlJc w:val="left"/>
      <w:lvlText w:val="(%2)"/>
      <w:numFmt w:val="lowerRoman"/>
      <w:start w:val="1"/>
    </w:lvl>
  </w:abstractNum>
  <w:abstractNum w:abstractNumId="162">
    <w:nsid w:val="25973E32"/>
    <w:multiLevelType w:val="hybridMultilevel"/>
    <w:lvl w:ilvl="0">
      <w:lvlJc w:val="left"/>
      <w:lvlText w:val="%1."/>
      <w:numFmt w:val="decimal"/>
      <w:start w:val="3"/>
    </w:lvl>
    <w:lvl w:ilvl="1">
      <w:lvlJc w:val="left"/>
      <w:lvlText w:val="(%2)"/>
      <w:numFmt w:val="lowerLetter"/>
      <w:start w:val="1"/>
    </w:lvl>
  </w:abstractNum>
  <w:abstractNum w:abstractNumId="163">
    <w:nsid w:val="EAD6F57"/>
    <w:multiLevelType w:val="hybridMultilevel"/>
    <w:lvl w:ilvl="0">
      <w:lvlJc w:val="left"/>
      <w:lvlText w:val="%1."/>
      <w:numFmt w:val="decimal"/>
      <w:start w:val="4"/>
    </w:lvl>
  </w:abstractNum>
  <w:abstractNum w:abstractNumId="164">
    <w:nsid w:val="6EC9D844"/>
    <w:multiLevelType w:val="hybridMultilevel"/>
    <w:lvl w:ilvl="0">
      <w:lvlJc w:val="left"/>
      <w:lvlText w:val="%1"/>
      <w:numFmt w:val="decimal"/>
      <w:start w:val="1"/>
    </w:lvl>
    <w:lvl w:ilvl="1">
      <w:lvlJc w:val="left"/>
      <w:lvlText w:val="%2."/>
      <w:numFmt w:val="decimal"/>
      <w:start w:val="6"/>
    </w:lvl>
    <w:lvl w:ilvl="2">
      <w:lvlJc w:val="left"/>
      <w:lvlText w:val="*"/>
      <w:numFmt w:val="bullet"/>
      <w:start w:val="1"/>
    </w:lvl>
  </w:abstractNum>
  <w:abstractNum w:abstractNumId="165">
    <w:nsid w:val="5C49EAEE"/>
    <w:multiLevelType w:val="hybridMultilevel"/>
    <w:lvl w:ilvl="0">
      <w:lvlJc w:val="left"/>
      <w:lvlText w:val="(%1)"/>
      <w:numFmt w:val="decimal"/>
      <w:start w:val="1"/>
    </w:lvl>
    <w:lvl w:ilvl="1">
      <w:lvlJc w:val="left"/>
      <w:lvlText w:val="%2."/>
      <w:numFmt w:val="decimal"/>
      <w:start w:val="11"/>
    </w:lvl>
    <w:lvl w:ilvl="2">
      <w:lvlJc w:val="left"/>
      <w:lvlText w:val="*"/>
      <w:numFmt w:val="bullet"/>
      <w:start w:val="1"/>
    </w:lvl>
  </w:abstractNum>
  <w:abstractNum w:abstractNumId="166">
    <w:nsid w:val="64AF49B"/>
    <w:multiLevelType w:val="hybridMultilevel"/>
    <w:lvl w:ilvl="0">
      <w:lvlJc w:val="left"/>
      <w:lvlText w:val="•"/>
      <w:numFmt w:val="bullet"/>
      <w:start w:val="1"/>
    </w:lvl>
  </w:abstractNum>
  <w:abstractNum w:abstractNumId="167">
    <w:nsid w:val="397C46BC"/>
    <w:multiLevelType w:val="hybridMultilevel"/>
    <w:lvl w:ilvl="0">
      <w:lvlJc w:val="left"/>
      <w:lvlText w:val="•"/>
      <w:numFmt w:val="bullet"/>
      <w:start w:val="1"/>
    </w:lvl>
  </w:abstractNum>
  <w:abstractNum w:abstractNumId="168">
    <w:nsid w:val="7E448DE9"/>
    <w:multiLevelType w:val="hybridMultilevel"/>
    <w:lvl w:ilvl="0">
      <w:lvlJc w:val="left"/>
      <w:lvlText w:val="%1."/>
      <w:numFmt w:val="decimal"/>
      <w:start w:val="1"/>
    </w:lvl>
    <w:lvl w:ilvl="1">
      <w:lvlJc w:val="left"/>
      <w:lvlText w:val="(%2)"/>
      <w:numFmt w:val="lowerLetter"/>
      <w:start w:val="1"/>
    </w:lvl>
  </w:abstractNum>
  <w:abstractNum w:abstractNumId="169">
    <w:nsid w:val="5A9CC3E5"/>
    <w:multiLevelType w:val="hybridMultilevel"/>
    <w:lvl w:ilvl="0">
      <w:lvlJc w:val="left"/>
      <w:lvlText w:val="%1."/>
      <w:numFmt w:val="decimal"/>
      <w:start w:val="2"/>
    </w:lvl>
    <w:lvl w:ilvl="1">
      <w:lvlJc w:val="left"/>
      <w:lvlText w:val="(%2)"/>
      <w:numFmt w:val="lowerLetter"/>
      <w:start w:val="1"/>
    </w:lvl>
  </w:abstractNum>
  <w:abstractNum w:abstractNumId="170">
    <w:nsid w:val="1AFE3625"/>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71">
    <w:nsid w:val="3CA88ECF"/>
    <w:multiLevelType w:val="hybridMultilevel"/>
    <w:lvl w:ilvl="0">
      <w:lvlJc w:val="left"/>
      <w:lvlText w:val="(%1)"/>
      <w:numFmt w:val="lowerLetter"/>
      <w:start w:val="1"/>
    </w:lvl>
  </w:abstractNum>
  <w:abstractNum w:abstractNumId="172">
    <w:nsid w:val="6EBE4208"/>
    <w:multiLevelType w:val="hybridMultilevel"/>
    <w:lvl w:ilvl="0">
      <w:lvlJc w:val="left"/>
      <w:lvlText w:val="(%1)"/>
      <w:numFmt w:val="lowerLetter"/>
      <w:start w:val="4"/>
    </w:lvl>
  </w:abstractNum>
  <w:abstractNum w:abstractNumId="173">
    <w:nsid w:val="C058DF5"/>
    <w:multiLevelType w:val="hybridMultilevel"/>
    <w:lvl w:ilvl="0">
      <w:lvlJc w:val="left"/>
      <w:lvlText w:val="%1"/>
      <w:numFmt w:val="decimal"/>
      <w:start w:val="1"/>
    </w:lvl>
    <w:lvl w:ilvl="1">
      <w:lvlJc w:val="left"/>
      <w:lvlText w:val="%2."/>
      <w:numFmt w:val="decimal"/>
      <w:start w:val="5"/>
    </w:lvl>
    <w:lvl w:ilvl="2">
      <w:lvlJc w:val="left"/>
      <w:lvlText w:val="*"/>
      <w:numFmt w:val="bullet"/>
      <w:start w:val="1"/>
    </w:lvl>
  </w:abstractNum>
  <w:abstractNum w:abstractNumId="174">
    <w:nsid w:val="CBE5BE9"/>
    <w:multiLevelType w:val="hybridMultilevel"/>
    <w:lvl w:ilvl="0">
      <w:lvlJc w:val="left"/>
      <w:lvlText w:val="(%1)"/>
      <w:numFmt w:val="decimal"/>
      <w:start w:val="1"/>
    </w:lvl>
    <w:lvl w:ilvl="1">
      <w:lvlJc w:val="left"/>
      <w:lvlText w:val="%2."/>
      <w:numFmt w:val="decimal"/>
      <w:start w:val="11"/>
    </w:lvl>
    <w:lvl w:ilvl="2">
      <w:lvlJc w:val="left"/>
      <w:lvlText w:val="*"/>
      <w:numFmt w:val="bullet"/>
      <w:start w:val="1"/>
    </w:lvl>
  </w:abstractNum>
  <w:abstractNum w:abstractNumId="175">
    <w:nsid w:val="3102BBE2"/>
    <w:multiLevelType w:val="hybridMultilevel"/>
    <w:lvl w:ilvl="0">
      <w:lvlJc w:val="left"/>
      <w:lvlText w:val="•"/>
      <w:numFmt w:val="bullet"/>
      <w:start w:val="1"/>
    </w:lvl>
  </w:abstractNum>
  <w:abstractNum w:abstractNumId="176">
    <w:nsid w:val="26A02C5E"/>
    <w:multiLevelType w:val="hybridMultilevel"/>
    <w:lvl w:ilvl="0">
      <w:lvlJc w:val="left"/>
      <w:lvlText w:val="%1."/>
      <w:numFmt w:val="decimal"/>
      <w:start w:val="1"/>
    </w:lvl>
    <w:lvl w:ilvl="1">
      <w:lvlJc w:val="left"/>
      <w:lvlText w:val="(%2)"/>
      <w:numFmt w:val="lowerLetter"/>
      <w:start w:val="1"/>
    </w:lvl>
  </w:abstractNum>
  <w:abstractNum w:abstractNumId="177">
    <w:nsid w:val="541C8153"/>
    <w:multiLevelType w:val="hybridMultilevel"/>
    <w:lvl w:ilvl="0">
      <w:lvlJc w:val="left"/>
      <w:lvlText w:val="%1."/>
      <w:numFmt w:val="decimal"/>
      <w:start w:val="2"/>
    </w:lvl>
    <w:lvl w:ilvl="1">
      <w:lvlJc w:val="left"/>
      <w:lvlText w:val="(%2)"/>
      <w:numFmt w:val="lowerLetter"/>
      <w:start w:val="1"/>
    </w:lvl>
  </w:abstractNum>
  <w:abstractNum w:abstractNumId="178">
    <w:nsid w:val="67906F60"/>
    <w:multiLevelType w:val="hybridMultilevel"/>
    <w:lvl w:ilvl="0">
      <w:lvlJc w:val="left"/>
      <w:lvlText w:val="(%1)"/>
      <w:numFmt w:val="lowerLetter"/>
      <w:start w:val="2"/>
    </w:lvl>
  </w:abstractNum>
  <w:abstractNum w:abstractNumId="179">
    <w:nsid w:val="10DB9DAA"/>
    <w:multiLevelType w:val="hybridMultilevel"/>
    <w:lvl w:ilvl="0">
      <w:lvlJc w:val="left"/>
      <w:lvlText w:val="(%1)"/>
      <w:numFmt w:val="lowerRoman"/>
      <w:start w:val="1"/>
    </w:lvl>
  </w:abstractNum>
  <w:abstractNum w:abstractNumId="180">
    <w:nsid w:val="697D2D2"/>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181">
    <w:nsid w:val="6D68AB2"/>
    <w:multiLevelType w:val="hybridMultilevel"/>
    <w:lvl w:ilvl="0">
      <w:lvlJc w:val="left"/>
      <w:lvlText w:val="%1"/>
      <w:numFmt w:val="decimal"/>
      <w:start w:val="1"/>
    </w:lvl>
    <w:lvl w:ilvl="1">
      <w:lvlJc w:val="left"/>
      <w:lvlText w:val="%2."/>
      <w:numFmt w:val="decimal"/>
      <w:start w:val="6"/>
    </w:lvl>
    <w:lvl w:ilvl="2">
      <w:lvlJc w:val="left"/>
      <w:lvlText w:val="%3"/>
      <w:numFmt w:val="lowerLetter"/>
      <w:start w:val="1"/>
    </w:lvl>
  </w:abstractNum>
  <w:abstractNum w:abstractNumId="182">
    <w:nsid w:val="3A966CD0"/>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83">
    <w:nsid w:val="63F37E85"/>
    <w:multiLevelType w:val="hybridMultilevel"/>
    <w:lvl w:ilvl="0">
      <w:lvlJc w:val="left"/>
      <w:lvlText w:val="%1."/>
      <w:numFmt w:val="decimal"/>
      <w:start w:val="11"/>
    </w:lvl>
  </w:abstractNum>
  <w:abstractNum w:abstractNumId="184">
    <w:nsid w:val="5895F5F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85">
    <w:nsid w:val="38A5D05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186">
    <w:nsid w:val="F3F09D8"/>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87">
    <w:nsid w:val="4B793735"/>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88">
    <w:nsid w:val="4A10B4E8"/>
    <w:multiLevelType w:val="hybridMultilevel"/>
    <w:lvl w:ilvl="0">
      <w:lvlJc w:val="left"/>
      <w:lvlText w:val="%1"/>
      <w:numFmt w:val="decimal"/>
      <w:start w:val="1"/>
    </w:lvl>
    <w:lvl w:ilvl="1">
      <w:lvlJc w:val="left"/>
      <w:lvlText w:val="(%2)"/>
      <w:numFmt w:val="lowerLetter"/>
      <w:start w:val="2"/>
    </w:lvl>
  </w:abstractNum>
  <w:abstractNum w:abstractNumId="189">
    <w:nsid w:val="43D3BCD4"/>
    <w:multiLevelType w:val="hybridMultilevel"/>
    <w:lvl w:ilvl="0">
      <w:lvlJc w:val="left"/>
      <w:lvlText w:val="%1."/>
      <w:numFmt w:val="decimal"/>
      <w:start w:val="4"/>
    </w:lvl>
    <w:lvl w:ilvl="1">
      <w:lvlJc w:val="left"/>
      <w:lvlText w:val="(%2)"/>
      <w:numFmt w:val="lowerLetter"/>
      <w:start w:val="1"/>
    </w:lvl>
  </w:abstractNum>
  <w:abstractNum w:abstractNumId="190">
    <w:nsid w:val="4C2A7166"/>
    <w:multiLevelType w:val="hybridMultilevel"/>
    <w:lvl w:ilvl="0">
      <w:lvlJc w:val="left"/>
      <w:lvlText w:val="(%1)"/>
      <w:numFmt w:val="lowerLetter"/>
      <w:start w:val="2"/>
    </w:lvl>
    <w:lvl w:ilvl="1">
      <w:lvlJc w:val="left"/>
      <w:lvlText w:val="(%2)"/>
      <w:numFmt w:val="lowerRoman"/>
      <w:start w:val="1"/>
    </w:lvl>
  </w:abstractNum>
  <w:abstractNum w:abstractNumId="191">
    <w:nsid w:val="2E534A82"/>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92">
    <w:nsid w:val="26F2D364"/>
    <w:multiLevelType w:val="hybridMultilevel"/>
    <w:lvl w:ilvl="0">
      <w:lvlJc w:val="left"/>
      <w:lvlText w:val="%1"/>
      <w:numFmt w:val="decimal"/>
      <w:start w:val="1"/>
    </w:lvl>
    <w:lvl w:ilvl="1">
      <w:lvlJc w:val="left"/>
      <w:lvlText w:val="(%2)"/>
      <w:numFmt w:val="lowerLetter"/>
      <w:start w:val="3"/>
    </w:lvl>
  </w:abstractNum>
  <w:abstractNum w:abstractNumId="193">
    <w:nsid w:val="71C1AF98"/>
    <w:multiLevelType w:val="hybridMultilevel"/>
    <w:lvl w:ilvl="0">
      <w:lvlJc w:val="left"/>
      <w:lvlText w:val="%1."/>
      <w:numFmt w:val="decimal"/>
      <w:start w:val="8"/>
    </w:lvl>
    <w:lvl w:ilvl="1">
      <w:lvlJc w:val="left"/>
      <w:lvlText w:val="(%2)"/>
      <w:numFmt w:val="lowerLetter"/>
      <w:start w:val="1"/>
    </w:lvl>
  </w:abstractNum>
  <w:abstractNum w:abstractNumId="194">
    <w:nsid w:val="3D00B9D9"/>
    <w:multiLevelType w:val="hybridMultilevel"/>
    <w:lvl w:ilvl="0">
      <w:lvlJc w:val="left"/>
      <w:lvlText w:val="%1"/>
      <w:numFmt w:val="decimal"/>
      <w:start w:val="1"/>
    </w:lvl>
    <w:lvl w:ilvl="1">
      <w:lvlJc w:val="left"/>
      <w:lvlText w:val="(%2)"/>
      <w:numFmt w:val="lowerLetter"/>
      <w:start w:val="3"/>
    </w:lvl>
  </w:abstractNum>
  <w:abstractNum w:abstractNumId="195">
    <w:nsid w:val="15BCABA8"/>
    <w:multiLevelType w:val="hybridMultilevel"/>
    <w:lvl w:ilvl="0">
      <w:lvlJc w:val="left"/>
      <w:lvlText w:val="%1."/>
      <w:numFmt w:val="decimal"/>
      <w:start w:val="9"/>
    </w:lvl>
    <w:lvl w:ilvl="1">
      <w:lvlJc w:val="left"/>
      <w:lvlText w:val="%2"/>
      <w:numFmt w:val="lowerLetter"/>
      <w:start w:val="1"/>
    </w:lvl>
  </w:abstractNum>
  <w:abstractNum w:abstractNumId="196">
    <w:nsid w:val="4E0B9A87"/>
    <w:multiLevelType w:val="hybridMultilevel"/>
    <w:lvl w:ilvl="0">
      <w:lvlJc w:val="left"/>
      <w:lvlText w:val="%1."/>
      <w:numFmt w:val="decimal"/>
      <w:start w:val="10"/>
    </w:lvl>
    <w:lvl w:ilvl="1">
      <w:lvlJc w:val="left"/>
      <w:lvlText w:val="(%2)"/>
      <w:numFmt w:val="lowerLetter"/>
      <w:start w:val="1"/>
    </w:lvl>
  </w:abstractNum>
  <w:abstractNum w:abstractNumId="197">
    <w:nsid w:val="434BAE75"/>
    <w:multiLevelType w:val="hybridMultilevel"/>
    <w:lvl w:ilvl="0">
      <w:lvlJc w:val="left"/>
      <w:lvlText w:val="%1"/>
      <w:numFmt w:val="decimal"/>
      <w:start w:val="1"/>
    </w:lvl>
    <w:lvl w:ilvl="1">
      <w:lvlJc w:val="left"/>
      <w:lvlText w:val="(%2)"/>
      <w:numFmt w:val="lowerLetter"/>
      <w:start w:val="2"/>
    </w:lvl>
  </w:abstractNum>
  <w:abstractNum w:abstractNumId="198">
    <w:nsid w:val="4F38F265"/>
    <w:multiLevelType w:val="hybridMultilevel"/>
    <w:lvl w:ilvl="0">
      <w:lvlJc w:val="left"/>
      <w:lvlText w:val="%1."/>
      <w:numFmt w:val="decimal"/>
      <w:start w:val="12"/>
    </w:lvl>
    <w:lvl w:ilvl="1">
      <w:lvlJc w:val="left"/>
      <w:lvlText w:val="(%2)"/>
      <w:numFmt w:val="lowerLetter"/>
      <w:start w:val="1"/>
    </w:lvl>
  </w:abstractNum>
  <w:abstractNum w:abstractNumId="199">
    <w:nsid w:val="4C502870"/>
    <w:multiLevelType w:val="hybridMultilevel"/>
    <w:lvl w:ilvl="0">
      <w:lvlJc w:val="left"/>
      <w:lvlText w:val="(%1)"/>
      <w:numFmt w:val="lowerLetter"/>
      <w:start w:val="2"/>
    </w:lvl>
  </w:abstractNum>
  <w:abstractNum w:abstractNumId="200">
    <w:nsid w:val="1DE8725A"/>
    <w:multiLevelType w:val="hybridMultilevel"/>
    <w:lvl w:ilvl="0">
      <w:lvlJc w:val="left"/>
      <w:lvlText w:val="%1."/>
      <w:numFmt w:val="decimal"/>
      <w:start w:val="14"/>
    </w:lvl>
  </w:abstractNum>
  <w:abstractNum w:abstractNumId="201">
    <w:nsid w:val="6A37288A"/>
    <w:multiLevelType w:val="hybridMultilevel"/>
    <w:lvl w:ilvl="0">
      <w:lvlJc w:val="left"/>
      <w:lvlText w:val="%1."/>
      <w:numFmt w:val="decimal"/>
      <w:start w:val="15"/>
    </w:lvl>
    <w:lvl w:ilvl="1">
      <w:lvlJc w:val="left"/>
      <w:lvlText w:val="(%2)"/>
      <w:numFmt w:val="lowerLetter"/>
      <w:start w:val="1"/>
    </w:lvl>
  </w:abstractNum>
  <w:abstractNum w:abstractNumId="202">
    <w:nsid w:val="8F8B73F"/>
    <w:multiLevelType w:val="hybridMultilevel"/>
    <w:lvl w:ilvl="0">
      <w:lvlJc w:val="left"/>
      <w:lvlText w:val="(%1)"/>
      <w:numFmt w:val="lowerLetter"/>
      <w:start w:val="4"/>
    </w:lvl>
  </w:abstractNum>
  <w:abstractNum w:abstractNumId="203">
    <w:nsid w:val="CA6B462"/>
    <w:multiLevelType w:val="hybridMultilevel"/>
    <w:lvl w:ilvl="0">
      <w:lvlJc w:val="left"/>
      <w:lvlText w:val="(%1)"/>
      <w:numFmt w:val="lowerLetter"/>
      <w:start w:val="5"/>
    </w:lvl>
  </w:abstractNum>
  <w:abstractNum w:abstractNumId="204">
    <w:nsid w:val="763CB680"/>
    <w:multiLevelType w:val="hybridMultilevel"/>
    <w:lvl w:ilvl="0">
      <w:lvlJc w:val="left"/>
      <w:lvlText w:val="%1."/>
      <w:numFmt w:val="decimal"/>
      <w:start w:val="16"/>
    </w:lvl>
  </w:abstractNum>
  <w:abstractNum w:abstractNumId="205">
    <w:nsid w:val="15B71329"/>
    <w:multiLevelType w:val="hybridMultilevel"/>
    <w:lvl w:ilvl="0">
      <w:lvlJc w:val="left"/>
      <w:lvlText w:val="(%1)"/>
      <w:numFmt w:val="lowerLetter"/>
      <w:start w:val="1"/>
    </w:lvl>
  </w:abstractNum>
  <w:abstractNum w:abstractNumId="206">
    <w:nsid w:val="3DA97044"/>
    <w:multiLevelType w:val="hybridMultilevel"/>
    <w:lvl w:ilvl="0">
      <w:lvlJc w:val="left"/>
      <w:lvlText w:val="(%1)"/>
      <w:numFmt w:val="lowerLetter"/>
      <w:start w:val="9"/>
    </w:lvl>
    <w:lvl w:ilvl="1">
      <w:lvlJc w:val="left"/>
      <w:lvlText w:val="(%2)"/>
      <w:numFmt w:val="lowerRoman"/>
      <w:start w:val="1"/>
    </w:lvl>
  </w:abstractNum>
  <w:abstractNum w:abstractNumId="207">
    <w:nsid w:val="1CDCE2DE"/>
    <w:multiLevelType w:val="hybridMultilevel"/>
    <w:lvl w:ilvl="0">
      <w:lvlJc w:val="left"/>
      <w:lvlText w:val="(%1)"/>
      <w:numFmt w:val="lowerLetter"/>
      <w:start w:val="19"/>
    </w:lvl>
    <w:lvl w:ilvl="1">
      <w:lvlJc w:val="left"/>
      <w:lvlText w:val="(%2)"/>
      <w:numFmt w:val="lowerRoman"/>
      <w:start w:val="1"/>
    </w:lvl>
  </w:abstractNum>
  <w:abstractNum w:abstractNumId="208">
    <w:nsid w:val="69D3947C"/>
    <w:multiLevelType w:val="hybridMultilevel"/>
    <w:lvl w:ilvl="0">
      <w:lvlJc w:val="left"/>
      <w:lvlText w:val="(%1)"/>
      <w:numFmt w:val="lowerLetter"/>
      <w:start w:val="27"/>
    </w:lvl>
  </w:abstractNum>
  <w:abstractNum w:abstractNumId="209">
    <w:nsid w:val="2539DFA5"/>
    <w:multiLevelType w:val="hybridMultilevel"/>
    <w:lvl w:ilvl="0">
      <w:lvlJc w:val="left"/>
      <w:lvlText w:val="(%1)"/>
      <w:numFmt w:val="lowerLetter"/>
      <w:start w:val="28"/>
    </w:lvl>
  </w:abstractNum>
  <w:abstractNum w:abstractNumId="210">
    <w:nsid w:val="2DB88089"/>
    <w:multiLevelType w:val="hybridMultilevel"/>
    <w:lvl w:ilvl="0">
      <w:lvlJc w:val="left"/>
      <w:lvlText w:val="%1."/>
      <w:numFmt w:val="decimal"/>
      <w:start w:val="1"/>
    </w:lvl>
    <w:lvl w:ilvl="1">
      <w:lvlJc w:val="left"/>
      <w:lvlText w:val="(%2)"/>
      <w:numFmt w:val="lowerLetter"/>
      <w:start w:val="1"/>
    </w:lvl>
  </w:abstractNum>
  <w:abstractNum w:abstractNumId="211">
    <w:nsid w:val="706B674E"/>
    <w:multiLevelType w:val="hybridMultilevel"/>
    <w:lvl w:ilvl="0">
      <w:lvlJc w:val="left"/>
      <w:lvlText w:val="%1."/>
      <w:numFmt w:val="decimal"/>
      <w:start w:val="1"/>
    </w:lvl>
    <w:lvl w:ilvl="1">
      <w:lvlJc w:val="left"/>
      <w:lvlText w:val="(%2)"/>
      <w:numFmt w:val="lowerLetter"/>
      <w:start w:val="1"/>
    </w:lvl>
  </w:abstractNum>
  <w:abstractNum w:abstractNumId="212">
    <w:nsid w:val="2C106A57"/>
    <w:multiLevelType w:val="hybridMultilevel"/>
    <w:lvl w:ilvl="0">
      <w:lvlJc w:val="left"/>
      <w:lvlText w:val="(%1)"/>
      <w:numFmt w:val="decimal"/>
      <w:start w:val="1"/>
    </w:lvl>
  </w:abstractNum>
  <w:abstractNum w:abstractNumId="213">
    <w:nsid w:val="684EED5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9" Type="http://schemas.openxmlformats.org/officeDocument/2006/relationships/image" Target="media/image314.png"/><Relationship Id="rId330" Type="http://schemas.openxmlformats.org/officeDocument/2006/relationships/image" Target="media/image315.png"/><Relationship Id="rId331" Type="http://schemas.openxmlformats.org/officeDocument/2006/relationships/image" Target="media/image316.png"/><Relationship Id="rId332" Type="http://schemas.openxmlformats.org/officeDocument/2006/relationships/image" Target="media/image317.png"/><Relationship Id="rId333" Type="http://schemas.openxmlformats.org/officeDocument/2006/relationships/image" Target="media/image318.png"/><Relationship Id="rId334" Type="http://schemas.openxmlformats.org/officeDocument/2006/relationships/image" Target="media/image319.png"/><Relationship Id="rId335" Type="http://schemas.openxmlformats.org/officeDocument/2006/relationships/image" Target="media/image320.png"/><Relationship Id="rId336" Type="http://schemas.openxmlformats.org/officeDocument/2006/relationships/image" Target="media/image321.png"/><Relationship Id="rId337" Type="http://schemas.openxmlformats.org/officeDocument/2006/relationships/image" Target="media/image322.png"/><Relationship Id="rId338" Type="http://schemas.openxmlformats.org/officeDocument/2006/relationships/image" Target="media/image323.png"/><Relationship Id="rId339" Type="http://schemas.openxmlformats.org/officeDocument/2006/relationships/image" Target="media/image324.png"/><Relationship Id="rId340" Type="http://schemas.openxmlformats.org/officeDocument/2006/relationships/image" Target="media/image325.png"/><Relationship Id="rId341" Type="http://schemas.openxmlformats.org/officeDocument/2006/relationships/image" Target="media/image326.png"/><Relationship Id="rId342" Type="http://schemas.openxmlformats.org/officeDocument/2006/relationships/image" Target="media/image327.png"/><Relationship Id="rId343" Type="http://schemas.openxmlformats.org/officeDocument/2006/relationships/image" Target="media/image328.png"/><Relationship Id="rId344" Type="http://schemas.openxmlformats.org/officeDocument/2006/relationships/image" Target="media/image329.png"/><Relationship Id="rId345" Type="http://schemas.openxmlformats.org/officeDocument/2006/relationships/image" Target="media/image330.png"/><Relationship Id="rId346" Type="http://schemas.openxmlformats.org/officeDocument/2006/relationships/image" Target="media/image331.png"/><Relationship Id="rId347" Type="http://schemas.openxmlformats.org/officeDocument/2006/relationships/image" Target="media/image332.png"/><Relationship Id="rId348" Type="http://schemas.openxmlformats.org/officeDocument/2006/relationships/image" Target="media/image333.png"/><Relationship Id="rId349" Type="http://schemas.openxmlformats.org/officeDocument/2006/relationships/image" Target="media/image334.png"/><Relationship Id="rId350" Type="http://schemas.openxmlformats.org/officeDocument/2006/relationships/image" Target="media/image335.png"/><Relationship Id="rId351" Type="http://schemas.openxmlformats.org/officeDocument/2006/relationships/image" Target="media/image336.png"/><Relationship Id="rId352" Type="http://schemas.openxmlformats.org/officeDocument/2006/relationships/image" Target="media/image337.png"/><Relationship Id="rId353" Type="http://schemas.openxmlformats.org/officeDocument/2006/relationships/image" Target="media/image338.png"/><Relationship Id="rId354" Type="http://schemas.openxmlformats.org/officeDocument/2006/relationships/image" Target="media/image339.png"/><Relationship Id="rId355" Type="http://schemas.openxmlformats.org/officeDocument/2006/relationships/image" Target="media/image340.png"/><Relationship Id="rId356" Type="http://schemas.openxmlformats.org/officeDocument/2006/relationships/image" Target="media/image341.png"/><Relationship Id="rId357" Type="http://schemas.openxmlformats.org/officeDocument/2006/relationships/image" Target="media/image342.png"/><Relationship Id="rId358" Type="http://schemas.openxmlformats.org/officeDocument/2006/relationships/image" Target="media/image343.png"/><Relationship Id="rId359" Type="http://schemas.openxmlformats.org/officeDocument/2006/relationships/image" Target="media/image344.png"/><Relationship Id="rId360" Type="http://schemas.openxmlformats.org/officeDocument/2006/relationships/image" Target="media/image345.png"/><Relationship Id="rId361" Type="http://schemas.openxmlformats.org/officeDocument/2006/relationships/image" Target="media/image346.png"/><Relationship Id="rId362" Type="http://schemas.openxmlformats.org/officeDocument/2006/relationships/image" Target="media/image347.png"/><Relationship Id="rId363" Type="http://schemas.openxmlformats.org/officeDocument/2006/relationships/image" Target="media/image348.png"/><Relationship Id="rId364" Type="http://schemas.openxmlformats.org/officeDocument/2006/relationships/image" Target="media/image349.png"/><Relationship Id="rId365" Type="http://schemas.openxmlformats.org/officeDocument/2006/relationships/image" Target="media/image350.png"/><Relationship Id="rId366" Type="http://schemas.openxmlformats.org/officeDocument/2006/relationships/image" Target="media/image351.png"/><Relationship Id="rId367" Type="http://schemas.openxmlformats.org/officeDocument/2006/relationships/image" Target="media/image352.png"/><Relationship Id="rId368" Type="http://schemas.openxmlformats.org/officeDocument/2006/relationships/image" Target="media/image353.png"/><Relationship Id="rId369" Type="http://schemas.openxmlformats.org/officeDocument/2006/relationships/image" Target="media/image354.png"/><Relationship Id="rId370" Type="http://schemas.openxmlformats.org/officeDocument/2006/relationships/image" Target="media/image355.png"/><Relationship Id="rId371" Type="http://schemas.openxmlformats.org/officeDocument/2006/relationships/image" Target="media/image356.png"/><Relationship Id="rId372" Type="http://schemas.openxmlformats.org/officeDocument/2006/relationships/image" Target="media/image357.png"/><Relationship Id="rId373" Type="http://schemas.openxmlformats.org/officeDocument/2006/relationships/image" Target="media/image358.png"/><Relationship Id="rId374" Type="http://schemas.openxmlformats.org/officeDocument/2006/relationships/image" Target="media/image359.png"/><Relationship Id="rId375" Type="http://schemas.openxmlformats.org/officeDocument/2006/relationships/image" Target="media/image360.png"/><Relationship Id="rId376" Type="http://schemas.openxmlformats.org/officeDocument/2006/relationships/image" Target="media/image361.png"/><Relationship Id="rId377" Type="http://schemas.openxmlformats.org/officeDocument/2006/relationships/image" Target="media/image362.png"/><Relationship Id="rId378" Type="http://schemas.openxmlformats.org/officeDocument/2006/relationships/image" Target="media/image363.png"/><Relationship Id="rId379" Type="http://schemas.openxmlformats.org/officeDocument/2006/relationships/image" Target="media/image364.png"/><Relationship Id="rId380" Type="http://schemas.openxmlformats.org/officeDocument/2006/relationships/image" Target="media/image365.png"/><Relationship Id="rId381" Type="http://schemas.openxmlformats.org/officeDocument/2006/relationships/image" Target="media/image366.png"/><Relationship Id="rId382" Type="http://schemas.openxmlformats.org/officeDocument/2006/relationships/image" Target="media/image367.png"/><Relationship Id="rId383" Type="http://schemas.openxmlformats.org/officeDocument/2006/relationships/image" Target="media/image368.png"/><Relationship Id="rId384" Type="http://schemas.openxmlformats.org/officeDocument/2006/relationships/image" Target="media/image369.png"/><Relationship Id="rId385" Type="http://schemas.openxmlformats.org/officeDocument/2006/relationships/image" Target="media/image370.png"/><Relationship Id="rId386" Type="http://schemas.openxmlformats.org/officeDocument/2006/relationships/image" Target="media/image371.png"/><Relationship Id="rId387" Type="http://schemas.openxmlformats.org/officeDocument/2006/relationships/image" Target="media/image372.png"/><Relationship Id="rId388" Type="http://schemas.openxmlformats.org/officeDocument/2006/relationships/image" Target="media/image373.png"/><Relationship Id="rId389" Type="http://schemas.openxmlformats.org/officeDocument/2006/relationships/image" Target="media/image374.png"/><Relationship Id="rId390" Type="http://schemas.openxmlformats.org/officeDocument/2006/relationships/image" Target="media/image375.png"/><Relationship Id="rId391" Type="http://schemas.openxmlformats.org/officeDocument/2006/relationships/image" Target="media/image376.png"/><Relationship Id="rId392" Type="http://schemas.openxmlformats.org/officeDocument/2006/relationships/image" Target="media/image377.png"/><Relationship Id="rId393" Type="http://schemas.openxmlformats.org/officeDocument/2006/relationships/image" Target="media/image378.png"/><Relationship Id="rId394" Type="http://schemas.openxmlformats.org/officeDocument/2006/relationships/image" Target="media/image379.png"/><Relationship Id="rId395" Type="http://schemas.openxmlformats.org/officeDocument/2006/relationships/image" Target="media/image380.png"/><Relationship Id="rId396" Type="http://schemas.openxmlformats.org/officeDocument/2006/relationships/image" Target="media/image381.png"/><Relationship Id="rId397" Type="http://schemas.openxmlformats.org/officeDocument/2006/relationships/image" Target="media/image382.png"/><Relationship Id="rId398" Type="http://schemas.openxmlformats.org/officeDocument/2006/relationships/image" Target="media/image383.png"/><Relationship Id="rId399" Type="http://schemas.openxmlformats.org/officeDocument/2006/relationships/image" Target="media/image384.png"/><Relationship Id="rId400" Type="http://schemas.openxmlformats.org/officeDocument/2006/relationships/image" Target="media/image385.png"/><Relationship Id="rId401" Type="http://schemas.openxmlformats.org/officeDocument/2006/relationships/image" Target="media/image386.png"/><Relationship Id="rId402" Type="http://schemas.openxmlformats.org/officeDocument/2006/relationships/image" Target="media/image387.png"/><Relationship Id="rId403" Type="http://schemas.openxmlformats.org/officeDocument/2006/relationships/image" Target="media/image388.png"/><Relationship Id="rId404" Type="http://schemas.openxmlformats.org/officeDocument/2006/relationships/image" Target="media/image389.png"/><Relationship Id="rId405" Type="http://schemas.openxmlformats.org/officeDocument/2006/relationships/image" Target="media/image390.png"/><Relationship Id="rId406" Type="http://schemas.openxmlformats.org/officeDocument/2006/relationships/image" Target="media/image391.png"/><Relationship Id="rId407" Type="http://schemas.openxmlformats.org/officeDocument/2006/relationships/image" Target="media/image392.png"/><Relationship Id="rId408" Type="http://schemas.openxmlformats.org/officeDocument/2006/relationships/image" Target="media/image393.png"/><Relationship Id="rId409" Type="http://schemas.openxmlformats.org/officeDocument/2006/relationships/image" Target="media/image394.png"/><Relationship Id="rId410" Type="http://schemas.openxmlformats.org/officeDocument/2006/relationships/image" Target="media/image395.png"/><Relationship Id="rId411" Type="http://schemas.openxmlformats.org/officeDocument/2006/relationships/image" Target="media/image396.png"/><Relationship Id="rId412" Type="http://schemas.openxmlformats.org/officeDocument/2006/relationships/image" Target="media/image397.png"/><Relationship Id="rId413" Type="http://schemas.openxmlformats.org/officeDocument/2006/relationships/image" Target="media/image398.png"/><Relationship Id="rId414" Type="http://schemas.openxmlformats.org/officeDocument/2006/relationships/image" Target="media/image399.png"/><Relationship Id="rId415" Type="http://schemas.openxmlformats.org/officeDocument/2006/relationships/image" Target="media/image400.png"/><Relationship Id="rId416" Type="http://schemas.openxmlformats.org/officeDocument/2006/relationships/image" Target="media/image401.png"/><Relationship Id="rId417" Type="http://schemas.openxmlformats.org/officeDocument/2006/relationships/image" Target="media/image402.png"/><Relationship Id="rId418" Type="http://schemas.openxmlformats.org/officeDocument/2006/relationships/image" Target="media/image403.png"/><Relationship Id="rId419" Type="http://schemas.openxmlformats.org/officeDocument/2006/relationships/image" Target="media/image404.png"/><Relationship Id="rId420" Type="http://schemas.openxmlformats.org/officeDocument/2006/relationships/image" Target="media/image405.png"/><Relationship Id="rId421" Type="http://schemas.openxmlformats.org/officeDocument/2006/relationships/image" Target="media/image406.png"/><Relationship Id="rId422" Type="http://schemas.openxmlformats.org/officeDocument/2006/relationships/image" Target="media/image407.png"/><Relationship Id="rId423" Type="http://schemas.openxmlformats.org/officeDocument/2006/relationships/image" Target="media/image408.png"/><Relationship Id="rId424" Type="http://schemas.openxmlformats.org/officeDocument/2006/relationships/image" Target="media/image409.png"/><Relationship Id="rId425" Type="http://schemas.openxmlformats.org/officeDocument/2006/relationships/image" Target="media/image410.png"/><Relationship Id="rId426" Type="http://schemas.openxmlformats.org/officeDocument/2006/relationships/image" Target="media/image411.png"/><Relationship Id="rId427" Type="http://schemas.openxmlformats.org/officeDocument/2006/relationships/image" Target="media/image412.png"/><Relationship Id="rId428" Type="http://schemas.openxmlformats.org/officeDocument/2006/relationships/image" Target="media/image413.png"/><Relationship Id="rId429" Type="http://schemas.openxmlformats.org/officeDocument/2006/relationships/image" Target="media/image414.png"/><Relationship Id="rId430" Type="http://schemas.openxmlformats.org/officeDocument/2006/relationships/image" Target="media/image415.png"/><Relationship Id="rId431" Type="http://schemas.openxmlformats.org/officeDocument/2006/relationships/image" Target="media/image416.png"/><Relationship Id="rId432" Type="http://schemas.openxmlformats.org/officeDocument/2006/relationships/image" Target="media/image417.png"/><Relationship Id="rId433" Type="http://schemas.openxmlformats.org/officeDocument/2006/relationships/image" Target="media/image418.png"/><Relationship Id="rId434" Type="http://schemas.openxmlformats.org/officeDocument/2006/relationships/image" Target="media/image419.png"/><Relationship Id="rId435" Type="http://schemas.openxmlformats.org/officeDocument/2006/relationships/image" Target="media/image420.png"/><Relationship Id="rId436" Type="http://schemas.openxmlformats.org/officeDocument/2006/relationships/image" Target="media/image421.png"/><Relationship Id="rId437" Type="http://schemas.openxmlformats.org/officeDocument/2006/relationships/image" Target="media/image422.png"/><Relationship Id="rId438" Type="http://schemas.openxmlformats.org/officeDocument/2006/relationships/image" Target="media/image423.png"/><Relationship Id="rId439" Type="http://schemas.openxmlformats.org/officeDocument/2006/relationships/image" Target="media/image424.png"/><Relationship Id="rId440" Type="http://schemas.openxmlformats.org/officeDocument/2006/relationships/image" Target="media/image425.png"/><Relationship Id="rId441" Type="http://schemas.openxmlformats.org/officeDocument/2006/relationships/image" Target="media/image426.png"/><Relationship Id="rId442" Type="http://schemas.openxmlformats.org/officeDocument/2006/relationships/image" Target="media/image427.png"/><Relationship Id="rId443" Type="http://schemas.openxmlformats.org/officeDocument/2006/relationships/image" Target="media/image428.png"/><Relationship Id="rId444" Type="http://schemas.openxmlformats.org/officeDocument/2006/relationships/image" Target="media/image429.png"/><Relationship Id="rId445" Type="http://schemas.openxmlformats.org/officeDocument/2006/relationships/image" Target="media/image430.png"/><Relationship Id="rId446" Type="http://schemas.openxmlformats.org/officeDocument/2006/relationships/image" Target="media/image431.png"/><Relationship Id="rId447" Type="http://schemas.openxmlformats.org/officeDocument/2006/relationships/image" Target="media/image432.png"/><Relationship Id="rId448" Type="http://schemas.openxmlformats.org/officeDocument/2006/relationships/image" Target="media/image433.png"/><Relationship Id="rId449" Type="http://schemas.openxmlformats.org/officeDocument/2006/relationships/image" Target="media/image434.png"/><Relationship Id="rId450" Type="http://schemas.openxmlformats.org/officeDocument/2006/relationships/image" Target="media/image435.png"/><Relationship Id="rId451" Type="http://schemas.openxmlformats.org/officeDocument/2006/relationships/image" Target="media/image436.png"/><Relationship Id="rId452" Type="http://schemas.openxmlformats.org/officeDocument/2006/relationships/image" Target="media/image437.png"/><Relationship Id="rId453" Type="http://schemas.openxmlformats.org/officeDocument/2006/relationships/image" Target="media/image438.png"/><Relationship Id="rId454" Type="http://schemas.openxmlformats.org/officeDocument/2006/relationships/image" Target="media/image439.png"/><Relationship Id="rId455" Type="http://schemas.openxmlformats.org/officeDocument/2006/relationships/image" Target="media/image440.png"/><Relationship Id="rId456" Type="http://schemas.openxmlformats.org/officeDocument/2006/relationships/image" Target="media/image441.png"/><Relationship Id="rId457" Type="http://schemas.openxmlformats.org/officeDocument/2006/relationships/image" Target="media/image442.png"/><Relationship Id="rId458" Type="http://schemas.openxmlformats.org/officeDocument/2006/relationships/image" Target="media/image443.png"/><Relationship Id="rId459" Type="http://schemas.openxmlformats.org/officeDocument/2006/relationships/image" Target="media/image444.png"/><Relationship Id="rId460" Type="http://schemas.openxmlformats.org/officeDocument/2006/relationships/image" Target="media/image445.png"/><Relationship Id="rId461" Type="http://schemas.openxmlformats.org/officeDocument/2006/relationships/image" Target="media/image446.png"/><Relationship Id="rId462" Type="http://schemas.openxmlformats.org/officeDocument/2006/relationships/image" Target="media/image447.png"/><Relationship Id="rId463" Type="http://schemas.openxmlformats.org/officeDocument/2006/relationships/image" Target="media/image448.png"/><Relationship Id="rId464" Type="http://schemas.openxmlformats.org/officeDocument/2006/relationships/image" Target="media/image449.png"/><Relationship Id="rId465" Type="http://schemas.openxmlformats.org/officeDocument/2006/relationships/image" Target="media/image450.png"/><Relationship Id="rId466" Type="http://schemas.openxmlformats.org/officeDocument/2006/relationships/image" Target="media/image451.png"/><Relationship Id="rId467" Type="http://schemas.openxmlformats.org/officeDocument/2006/relationships/image" Target="media/image452.png"/><Relationship Id="rId468" Type="http://schemas.openxmlformats.org/officeDocument/2006/relationships/image" Target="media/image453.png"/><Relationship Id="rId469" Type="http://schemas.openxmlformats.org/officeDocument/2006/relationships/image" Target="media/image454.png"/><Relationship Id="rId470" Type="http://schemas.openxmlformats.org/officeDocument/2006/relationships/image" Target="media/image455.png"/><Relationship Id="rId471" Type="http://schemas.openxmlformats.org/officeDocument/2006/relationships/image" Target="media/image456.png"/><Relationship Id="rId472" Type="http://schemas.openxmlformats.org/officeDocument/2006/relationships/image" Target="media/image457.png"/><Relationship Id="rId473" Type="http://schemas.openxmlformats.org/officeDocument/2006/relationships/image" Target="media/image458.png"/><Relationship Id="rId474" Type="http://schemas.openxmlformats.org/officeDocument/2006/relationships/image" Target="media/image459.png"/><Relationship Id="rId475" Type="http://schemas.openxmlformats.org/officeDocument/2006/relationships/image" Target="media/image460.png"/><Relationship Id="rId476" Type="http://schemas.openxmlformats.org/officeDocument/2006/relationships/image" Target="media/image461.png"/><Relationship Id="rId477" Type="http://schemas.openxmlformats.org/officeDocument/2006/relationships/image" Target="media/image462.png"/><Relationship Id="rId478" Type="http://schemas.openxmlformats.org/officeDocument/2006/relationships/image" Target="media/image463.png"/><Relationship Id="rId479" Type="http://schemas.openxmlformats.org/officeDocument/2006/relationships/image" Target="media/image464.png"/><Relationship Id="rId480" Type="http://schemas.openxmlformats.org/officeDocument/2006/relationships/image" Target="media/image465.png"/><Relationship Id="rId481" Type="http://schemas.openxmlformats.org/officeDocument/2006/relationships/image" Target="media/image466.png"/><Relationship Id="rId482" Type="http://schemas.openxmlformats.org/officeDocument/2006/relationships/image" Target="media/image467.png"/><Relationship Id="rId483" Type="http://schemas.openxmlformats.org/officeDocument/2006/relationships/image" Target="media/image468.png"/><Relationship Id="rId484" Type="http://schemas.openxmlformats.org/officeDocument/2006/relationships/image" Target="media/image469.png"/><Relationship Id="rId485" Type="http://schemas.openxmlformats.org/officeDocument/2006/relationships/image" Target="media/image470.png"/><Relationship Id="rId486" Type="http://schemas.openxmlformats.org/officeDocument/2006/relationships/image" Target="media/image471.png"/><Relationship Id="rId487" Type="http://schemas.openxmlformats.org/officeDocument/2006/relationships/image" Target="media/image472.png"/><Relationship Id="rId321" Type="http://schemas.openxmlformats.org/officeDocument/2006/relationships/hyperlink" Target="https://www.sec.gov/Archives/edgar/data/1832038/000119312521242044/d211424dex31.htm" TargetMode="External"/><Relationship Id="rId322" Type="http://schemas.openxmlformats.org/officeDocument/2006/relationships/hyperlink" Target="https://www.sec.gov/Archives/edgar/data/1832038/000119312521242044/d211424dex32.htm" TargetMode="External"/><Relationship Id="rId323" Type="http://schemas.openxmlformats.org/officeDocument/2006/relationships/hyperlink" Target="https://www.sec.gov/Archives/edgar/data/1832038/000119312522243285/d388436dex31.htm" TargetMode="External"/><Relationship Id="rId324" Type="http://schemas.openxmlformats.org/officeDocument/2006/relationships/hyperlink" Target="https://www.sec.gov/Archives/edgar/data/1832038/000119312522243285/d388436dex32.htm" TargetMode="External"/><Relationship Id="rId325" Type="http://schemas.openxmlformats.org/officeDocument/2006/relationships/hyperlink" Target="https://www.sec.gov/Archives/edgar/data/1832038/000119312522253372/d392092dex33.htm" TargetMode="External"/><Relationship Id="rId326" Type="http://schemas.openxmlformats.org/officeDocument/2006/relationships/hyperlink" Target="https://www.sec.gov/Archives/edgar/data/1832038/000119312522187977/d304609dex101.htm" TargetMode="External"/><Relationship Id="rId327" Type="http://schemas.openxmlformats.org/officeDocument/2006/relationships/hyperlink" Target="https://www.sec.gov/Archives/edgar/data/1832038/000119312522262167/d811070dex101.htm" TargetMode="External"/><Relationship Id="rId328" Type="http://schemas.openxmlformats.org/officeDocument/2006/relationships/hyperlink" Target="https://www.sec.gov/Archives/edgar/data/1832038/000119312522262167/d811070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2022-11-10T17:34:35Z</dcterms:created>
  <dcterms:modified xsi:type="dcterms:W3CDTF">2022-11-10T17:34:35Z</dcterms:modified>
</cp:coreProperties>
</file>