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left"/>
        <w:rPr/>
      </w:pPr>
      <w:bookmarkStart w:id="0" w:name="ivvd-20230331.htm"/>
      <w:bookmarkStart w:id="1" w:name="ksivvd20230331"/>
      <w:bookmarkEnd w:id="0"/>
      <w:bookmarkEnd w:id="1"/>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60" w:after="120"/>
        <w:jc w:val="center"/>
        <w:rPr/>
      </w:pPr>
      <w:r>
        <w:rPr/>
        <w:t> </w:t>
      </w:r>
    </w:p>
    <w:p>
      <w:pPr>
        <w:pStyle w:val="TextBody"/>
        <w:bidi w:val="0"/>
        <w:spacing w:before="9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bidi w:val="0"/>
        <w:spacing w:before="12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transition period from ___________________ to ___________________</w:t>
      </w:r>
    </w:p>
    <w:p>
      <w:pPr>
        <w:pStyle w:val="TextBody"/>
        <w:bidi w:val="0"/>
        <w:spacing w:before="120" w:after="0"/>
        <w:jc w:val="center"/>
        <w:rPr>
          <w:rFonts w:ascii="Times New Roman;serif" w:hAnsi="Times New Roman;serif"/>
          <w:b/>
          <w:sz w:val="20"/>
        </w:rPr>
      </w:pPr>
      <w:r>
        <w:rPr>
          <w:rFonts w:ascii="Times New Roman;serif" w:hAnsi="Times New Roman;serif"/>
          <w:b/>
          <w:sz w:val="20"/>
        </w:rPr>
        <w:t>Commission File Number: 001-40703</w:t>
      </w:r>
    </w:p>
    <w:p>
      <w:pPr>
        <w:pStyle w:val="TextBody"/>
        <w:pBdr>
          <w:bottom w:val="single" w:sz="4" w:space="1" w:color="000000"/>
        </w:pBdr>
        <w:bidi w:val="0"/>
        <w:spacing w:before="60" w:after="120"/>
        <w:jc w:val="center"/>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INVIVYD,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60" w:after="0"/>
        <w:jc w:val="center"/>
        <w:rPr/>
      </w:pPr>
      <w:r>
        <w:rPr/>
        <w:t> </w:t>
      </w:r>
    </w:p>
    <w:p>
      <w:pPr>
        <w:pStyle w:val="TextBody"/>
        <w:bidi w:val="0"/>
        <w:spacing w:before="0" w:after="0"/>
        <w:jc w:val="left"/>
        <w:rPr/>
      </w:pPr>
      <w:r>
        <w:rPr/>
        <w:t> </w:t>
      </w:r>
    </w:p>
    <w:tbl>
      <w:tblPr>
        <w:tblW w:w="3887" w:type="dxa"/>
        <w:jc w:val="left"/>
        <w:tblInd w:w="0" w:type="dxa"/>
        <w:tblLayout w:type="fixed"/>
        <w:tblCellMar>
          <w:top w:w="28" w:type="dxa"/>
          <w:left w:w="28" w:type="dxa"/>
          <w:bottom w:w="28" w:type="dxa"/>
          <w:right w:w="28" w:type="dxa"/>
        </w:tblCellMar>
      </w:tblPr>
      <w:tblGrid>
        <w:gridCol w:w="2641"/>
        <w:gridCol w:w="1246"/>
      </w:tblGrid>
      <w:tr>
        <w:trPr/>
        <w:tc>
          <w:tcPr>
            <w:tcW w:w="264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85-1403134</w:t>
            </w:r>
          </w:p>
        </w:tc>
      </w:tr>
      <w:tr>
        <w:trPr/>
        <w:tc>
          <w:tcPr>
            <w:tcW w:w="26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641" w:type="dxa"/>
            <w:tcBorders/>
            <w:tcMar>
              <w:top w:w="0" w:type="dxa"/>
              <w:left w:w="0" w:type="dxa"/>
              <w:bottom w:w="0" w:type="dxa"/>
              <w:right w:w="0" w:type="dxa"/>
            </w:tcMar>
            <w:vAlign w:val="center"/>
          </w:tcPr>
          <w:p>
            <w:pPr>
              <w:pStyle w:val="TableContents"/>
              <w:bidi w:val="0"/>
              <w:spacing w:before="80" w:after="15"/>
              <w:ind w:left="0" w:right="0" w:hanging="0"/>
              <w:jc w:val="center"/>
              <w:rPr>
                <w:rFonts w:ascii="Times New Roman;serif" w:hAnsi="Times New Roman;serif"/>
                <w:b/>
                <w:sz w:val="20"/>
              </w:rPr>
            </w:pPr>
            <w:r>
              <w:rPr>
                <w:rFonts w:ascii="Times New Roman;serif" w:hAnsi="Times New Roman;serif"/>
                <w:b/>
                <w:sz w:val="20"/>
              </w:rPr>
              <w:t>1601 Trapelo Road, Suite 178</w:t>
              <w:br/>
              <w:t>Waltham, MA</w:t>
            </w:r>
          </w:p>
        </w:tc>
        <w:tc>
          <w:tcPr>
            <w:tcW w:w="1246" w:type="dxa"/>
            <w:tcBorders/>
            <w:tcMar>
              <w:top w:w="0" w:type="dxa"/>
              <w:left w:w="0" w:type="dxa"/>
              <w:bottom w:w="0" w:type="dxa"/>
              <w:right w:w="0" w:type="dxa"/>
            </w:tcMar>
            <w:vAlign w:val="center"/>
          </w:tcPr>
          <w:p>
            <w:pPr>
              <w:pStyle w:val="TableContents"/>
              <w:bidi w:val="0"/>
              <w:spacing w:before="80" w:after="0"/>
              <w:ind w:left="0" w:right="0" w:hanging="0"/>
              <w:jc w:val="center"/>
              <w:rPr>
                <w:rFonts w:ascii="Times New Roman;serif" w:hAnsi="Times New Roman;serif"/>
                <w:b/>
                <w:sz w:val="20"/>
              </w:rPr>
            </w:pPr>
            <w:r>
              <w:rPr>
                <w:rFonts w:ascii="Times New Roman;serif" w:hAnsi="Times New Roman;serif"/>
                <w:b/>
                <w:sz w:val="20"/>
              </w:rPr>
              <w:t>02451</w:t>
            </w:r>
          </w:p>
        </w:tc>
      </w:tr>
      <w:tr>
        <w:trPr/>
        <w:tc>
          <w:tcPr>
            <w:tcW w:w="26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Registrant’s telephone number, including area code: (781) 819-0080</w:t>
      </w:r>
    </w:p>
    <w:p>
      <w:pPr>
        <w:pStyle w:val="TextBody"/>
        <w:pBdr>
          <w:bottom w:val="single" w:sz="4" w:space="1" w:color="000000"/>
        </w:pBdr>
        <w:bidi w:val="0"/>
        <w:spacing w:before="60" w:after="0"/>
        <w:jc w:val="center"/>
        <w:rPr/>
      </w:pPr>
      <w:r>
        <w:rPr/>
        <w:t> </w:t>
      </w:r>
    </w:p>
    <w:p>
      <w:pPr>
        <w:pStyle w:val="TextBody"/>
        <w:bidi w:val="0"/>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Common Stock, $0.0001 par value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IVVD</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Global Market</w:t>
            </w:r>
          </w:p>
        </w:tc>
      </w:tr>
    </w:tbl>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As of May 4, 2023, the registrant had 109,481,666</w:t>
      </w:r>
      <w:r>
        <w:rPr>
          <w:rFonts w:ascii="Times New Roman" w:hAnsi="Times New Roman"/>
          <w:sz w:val="20"/>
        </w:rPr>
        <w:t xml:space="preserve"> </w:t>
      </w:r>
      <w:r>
        <w:rPr>
          <w:rFonts w:ascii="Times New Roman;serif" w:hAnsi="Times New Roman;serif"/>
          <w:b w:val="false"/>
          <w:sz w:val="18"/>
        </w:rPr>
        <w:t>shares of common stock, $0.0001 par value per share, outstanding.</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serif" w:hAnsi="Times New Roman;serif"/>
          <w:b/>
          <w:sz w:val="20"/>
        </w:rPr>
      </w:pPr>
      <w:r>
        <w:rPr>
          <w:rFonts w:ascii="Times New Roman;serif" w:hAnsi="Times New Roman;serif"/>
          <w:b/>
          <w:sz w:val="20"/>
        </w:rPr>
        <w:t>Table of Contents</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0"/>
              <w:ind w:left="137" w:right="0" w:hanging="0"/>
              <w:jc w:val="left"/>
              <w:rPr>
                <w:rFonts w:ascii="Times New Roman;serif" w:hAnsi="Times New Roman;serif"/>
                <w:b/>
                <w:sz w:val="16"/>
              </w:rPr>
            </w:pPr>
            <w:r>
              <w:rPr>
                <w:rFonts w:ascii="Times New Roman;serif" w:hAnsi="Times New Roman;serif"/>
                <w:b/>
                <w:sz w:val="16"/>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1">
              <w:r>
                <w:rPr>
                  <w:rStyle w:val="InternetLink"/>
                  <w:rFonts w:ascii="Times New Roman;serif" w:hAnsi="Times New Roman;serif"/>
                  <w:b w:val="false"/>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balance_sheets">
              <w:r>
                <w:rPr>
                  <w:rStyle w:val="InternetLink"/>
                  <w:rFonts w:ascii="Times New Roman;serif" w:hAnsi="Times New Roman;serif"/>
                  <w:b w:val="false"/>
                  <w:sz w:val="20"/>
                  <w:u w:val="single"/>
                </w:rPr>
                <w:t>Condensed Consolidated Balance Sheets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of_operations">
              <w:r>
                <w:rPr>
                  <w:rStyle w:val="InternetLink"/>
                  <w:rFonts w:ascii="Times New Roman;serif" w:hAnsi="Times New Roman;serif"/>
                  <w:b w:val="false"/>
                  <w:sz w:val="20"/>
                  <w:u w:val="single"/>
                </w:rPr>
                <w:t>Condensed Consolidated 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of_convertible">
              <w:r>
                <w:rPr>
                  <w:rStyle w:val="InternetLink"/>
                  <w:rFonts w:ascii="Times New Roman;serif" w:hAnsi="Times New Roman;serif"/>
                  <w:b w:val="false"/>
                  <w:sz w:val="20"/>
                  <w:u w:val="single"/>
                </w:rPr>
                <w:t>Condensed Consolidated Statements of Stockholders’ Equity (Deficit)</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of_cash_flows">
              <w:r>
                <w:rPr>
                  <w:rStyle w:val="InternetLink"/>
                  <w:rFonts w:ascii="Times New Roman;serif" w:hAnsi="Times New Roman;serif"/>
                  <w:b w:val="false"/>
                  <w:sz w:val="20"/>
                  <w:u w:val="single"/>
                </w:rPr>
                <w:t>Condensed 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financial_statements">
              <w:r>
                <w:rPr>
                  <w:rStyle w:val="InternetLink"/>
                  <w:rFonts w:ascii="Times New Roman;serif" w:hAnsi="Times New Roman;serif"/>
                  <w:b w:val="false"/>
                  <w:sz w:val="20"/>
                  <w:u w:val="single"/>
                </w:rPr>
                <w:t>Notes to Unaudited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2">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3">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4">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_othe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1">
              <w:r>
                <w:rPr>
                  <w:rStyle w:val="InternetLink"/>
                  <w:rFonts w:ascii="Times New Roman;serif" w:hAnsi="Times New Roman;serif"/>
                  <w:b w:val="false"/>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1a">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2">
              <w:r>
                <w:rPr>
                  <w:rStyle w:val="InternetLink"/>
                  <w:rFonts w:ascii="Times New Roman;serif" w:hAnsi="Times New Roman;serif"/>
                  <w:b w:val="false"/>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5_othe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6">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25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bookmarkStart w:id="2" w:name="part_i_financial_information"/>
      <w:bookmarkEnd w:id="2"/>
      <w:r>
        <w:rPr>
          <w:rFonts w:ascii="Times New Roman;serif" w:hAnsi="Times New Roman;serif"/>
          <w:b/>
          <w:sz w:val="20"/>
        </w:rPr>
        <w:t>PART I—FINANCIAL INFORMATION</w:t>
      </w:r>
    </w:p>
    <w:p>
      <w:pPr>
        <w:pStyle w:val="TextBody"/>
        <w:bidi w:val="0"/>
        <w:spacing w:before="240" w:after="0"/>
        <w:jc w:val="left"/>
        <w:rPr>
          <w:rFonts w:ascii="Times New Roman;serif" w:hAnsi="Times New Roman;serif"/>
          <w:b/>
          <w:sz w:val="20"/>
        </w:rPr>
      </w:pPr>
      <w:bookmarkStart w:id="3" w:name="i_item1"/>
      <w:bookmarkEnd w:id="3"/>
      <w:r>
        <w:rPr>
          <w:rFonts w:ascii="Times New Roman;serif" w:hAnsi="Times New Roman;serif"/>
          <w:b/>
          <w:sz w:val="20"/>
        </w:rPr>
        <w:t>Item 1. Financial Statements.</w:t>
      </w:r>
    </w:p>
    <w:p>
      <w:pPr>
        <w:pStyle w:val="TextBody"/>
        <w:bidi w:val="0"/>
        <w:spacing w:before="0" w:after="0"/>
        <w:jc w:val="center"/>
        <w:rPr>
          <w:rFonts w:ascii="Times New Roman" w:hAnsi="Times New Roman"/>
          <w:sz w:val="20"/>
        </w:rPr>
      </w:pPr>
      <w:bookmarkStart w:id="4" w:name="balance_sheets"/>
      <w:bookmarkEnd w:id="4"/>
      <w:r>
        <w:rPr>
          <w:rFonts w:ascii="Times New Roman;serif" w:hAnsi="Times New Roman;serif"/>
          <w:b/>
          <w:sz w:val="20"/>
        </w:rPr>
        <w:t>INVIVYD, INC.</w:t>
      </w:r>
      <w:r>
        <w:rPr>
          <w:rFonts w:ascii="Times New Roman" w:hAnsi="Times New Roman"/>
          <w:sz w:val="20"/>
        </w:rPr>
        <w:t xml:space="preserve"> </w:t>
      </w:r>
    </w:p>
    <w:p>
      <w:pPr>
        <w:pStyle w:val="TextBody"/>
        <w:bidi w:val="0"/>
        <w:spacing w:before="120" w:after="0"/>
        <w:jc w:val="center"/>
        <w:rPr>
          <w:rFonts w:ascii="Times New Roman" w:hAnsi="Times New Roman"/>
          <w:sz w:val="20"/>
        </w:rPr>
      </w:pPr>
      <w:bookmarkStart w:id="5" w:name="consolidated_balance_sheets"/>
      <w:bookmarkEnd w:id="5"/>
      <w:r>
        <w:rPr>
          <w:rFonts w:ascii="Times New Roman;serif" w:hAnsi="Times New Roman;serif"/>
          <w:b/>
          <w:caps/>
          <w:sz w:val="20"/>
        </w:rPr>
        <w:t>Condensed Consolidated Balance Sheets</w:t>
      </w:r>
      <w:r>
        <w:rPr>
          <w:rFonts w:ascii="Times New Roman" w:hAnsi="Times New Roman"/>
          <w:caps/>
          <w:sz w:val="20"/>
        </w:rPr>
        <w:t xml:space="preserve"> </w:t>
      </w:r>
    </w:p>
    <w:p>
      <w:pPr>
        <w:pStyle w:val="TextBody"/>
        <w:bidi w:val="0"/>
        <w:spacing w:before="120" w:after="0"/>
        <w:jc w:val="center"/>
        <w:rPr>
          <w:rFonts w:ascii="Times New Roman;serif" w:hAnsi="Times New Roman;serif"/>
          <w:b/>
          <w:caps/>
          <w:sz w:val="20"/>
        </w:rPr>
      </w:pPr>
      <w:r>
        <w:rPr>
          <w:rFonts w:ascii="Times New Roman;serif" w:hAnsi="Times New Roman;serif"/>
          <w:b/>
          <w:caps/>
          <w:sz w:val="20"/>
        </w:rPr>
        <w:t>(UNaudited)</w:t>
      </w:r>
    </w:p>
    <w:p>
      <w:pPr>
        <w:pStyle w:val="TextBody"/>
        <w:bidi w:val="0"/>
        <w:spacing w:before="120" w:after="80"/>
        <w:jc w:val="center"/>
        <w:rPr>
          <w:rFonts w:ascii="Times New Roman" w:hAnsi="Times New Roman"/>
          <w:sz w:val="20"/>
        </w:rPr>
      </w:pPr>
      <w:r>
        <w:rPr>
          <w:rFonts w:ascii="Times New Roman;serif" w:hAnsi="Times New Roman;serif"/>
          <w:b/>
          <w:sz w:val="20"/>
        </w:rPr>
        <w:t>(In thousands, except share and per share amounts)</w:t>
      </w:r>
      <w:r>
        <w:rPr>
          <w:rFonts w:ascii="Times New Roman" w:hAnsi="Times New Roman"/>
          <w:sz w:val="20"/>
        </w:rPr>
        <w:t xml:space="preserve"> </w:t>
      </w:r>
    </w:p>
    <w:tbl>
      <w:tblPr>
        <w:tblW w:w="9442" w:type="dxa"/>
        <w:jc w:val="left"/>
        <w:tblInd w:w="0" w:type="dxa"/>
        <w:tblLayout w:type="fixed"/>
        <w:tblCellMar>
          <w:top w:w="28" w:type="dxa"/>
          <w:left w:w="28" w:type="dxa"/>
          <w:bottom w:w="28" w:type="dxa"/>
          <w:right w:w="28" w:type="dxa"/>
        </w:tblCellMar>
      </w:tblPr>
      <w:tblGrid>
        <w:gridCol w:w="6226"/>
        <w:gridCol w:w="146"/>
        <w:gridCol w:w="211"/>
        <w:gridCol w:w="841"/>
        <w:gridCol w:w="166"/>
        <w:gridCol w:w="146"/>
        <w:gridCol w:w="219"/>
        <w:gridCol w:w="876"/>
        <w:gridCol w:w="611"/>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92,076</w:t>
            </w:r>
          </w:p>
        </w:tc>
        <w:tc>
          <w:tcPr>
            <w:tcW w:w="61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206,955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279,915</w:t>
            </w:r>
          </w:p>
        </w:tc>
        <w:tc>
          <w:tcPr>
            <w:tcW w:w="61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22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344,623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376,917</w:t>
            </w:r>
          </w:p>
        </w:tc>
        <w:tc>
          <w:tcPr>
            <w:tcW w:w="61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2,282</w:t>
            </w:r>
          </w:p>
        </w:tc>
        <w:tc>
          <w:tcPr>
            <w:tcW w:w="61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3,777</w:t>
            </w:r>
          </w:p>
        </w:tc>
        <w:tc>
          <w:tcPr>
            <w:tcW w:w="61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22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350,564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383,167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Preferred Stock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1,517</w:t>
            </w:r>
          </w:p>
        </w:tc>
        <w:tc>
          <w:tcPr>
            <w:tcW w:w="61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21,911</w:t>
            </w:r>
          </w:p>
        </w:tc>
        <w:tc>
          <w:tcPr>
            <w:tcW w:w="61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w:t>
            </w:r>
          </w:p>
        </w:tc>
        <w:tc>
          <w:tcPr>
            <w:tcW w:w="61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22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non-current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2,165</w:t>
            </w:r>
          </w:p>
        </w:tc>
        <w:tc>
          <w:tcPr>
            <w:tcW w:w="61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Early-exercise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22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27,197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9)</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 (deficit):</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22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Preferred stock (undesignated), $0.0001</w:t>
            </w:r>
            <w:r>
              <w:rPr>
                <w:rFonts w:ascii="Times New Roman" w:hAnsi="Times New Roman"/>
                <w:sz w:val="20"/>
              </w:rPr>
              <w:t> </w:t>
            </w:r>
            <w:r>
              <w:rPr>
                <w:rFonts w:ascii="Times New Roman;serif" w:hAnsi="Times New Roman;serif"/>
                <w:b w:val="false"/>
                <w:sz w:val="20"/>
              </w:rPr>
              <w:t>par value; 10,000,000</w:t>
            </w:r>
            <w:r>
              <w:rPr>
                <w:rFonts w:ascii="Times New Roman" w:hAnsi="Times New Roman"/>
                <w:sz w:val="20"/>
              </w:rPr>
              <w:t> </w:t>
            </w:r>
            <w:r>
              <w:rPr>
                <w:rFonts w:ascii="Times New Roman;serif" w:hAnsi="Times New Roman;serif"/>
                <w:b w:val="false"/>
                <w:sz w:val="20"/>
              </w:rPr>
              <w:t>shares</w:t>
              <w:br/>
              <w:t>           authorized and no</w:t>
            </w:r>
            <w:r>
              <w:rPr>
                <w:rFonts w:ascii="Times New Roman" w:hAnsi="Times New Roman"/>
                <w:sz w:val="20"/>
              </w:rPr>
              <w:t> </w:t>
            </w:r>
            <w:r>
              <w:rPr>
                <w:rFonts w:ascii="Times New Roman;serif" w:hAnsi="Times New Roman;serif"/>
                <w:b w:val="false"/>
                <w:sz w:val="20"/>
              </w:rPr>
              <w:t>shares issued and outstanding at March 31, 2023</w:t>
              <w:br/>
              <w:t>           and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1,000,000,000</w:t>
            </w:r>
            <w:r>
              <w:rPr>
                <w:rFonts w:ascii="Times New Roman" w:hAnsi="Times New Roman"/>
                <w:sz w:val="20"/>
              </w:rPr>
              <w:t> </w:t>
            </w:r>
            <w:r>
              <w:rPr>
                <w:rFonts w:ascii="Times New Roman;serif" w:hAnsi="Times New Roman;serif"/>
                <w:b w:val="false"/>
                <w:sz w:val="20"/>
              </w:rPr>
              <w:t xml:space="preserve">shares authorized, </w:t>
              <w:br/>
              <w:t>           109,316,226</w:t>
            </w:r>
            <w:r>
              <w:rPr>
                <w:rFonts w:ascii="Times New Roman" w:hAnsi="Times New Roman"/>
                <w:sz w:val="20"/>
              </w:rPr>
              <w:t> </w:t>
            </w:r>
            <w:r>
              <w:rPr>
                <w:rFonts w:ascii="Times New Roman;serif" w:hAnsi="Times New Roman;serif"/>
                <w:b w:val="false"/>
                <w:sz w:val="20"/>
              </w:rPr>
              <w:t xml:space="preserve">shares issued and outstanding at March 31, 2023; </w:t>
              <w:br/>
              <w:t>           109,044,046</w:t>
            </w:r>
            <w:r>
              <w:rPr>
                <w:rFonts w:ascii="Times New Roman" w:hAnsi="Times New Roman"/>
                <w:sz w:val="20"/>
              </w:rPr>
              <w:t> </w:t>
            </w:r>
            <w:r>
              <w:rPr>
                <w:rFonts w:ascii="Times New Roman;serif" w:hAnsi="Times New Roman;serif"/>
                <w:b w:val="false"/>
                <w:sz w:val="20"/>
              </w:rPr>
              <w:t>shares issued and outstanding at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61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895,600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889,657</w:t>
            </w:r>
          </w:p>
        </w:tc>
        <w:tc>
          <w:tcPr>
            <w:tcW w:w="61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(568,747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(533,426</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326,749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355,970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22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preferred stock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350,564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383,167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80" w:after="0"/>
        <w:jc w:val="center"/>
        <w:rPr>
          <w:rFonts w:ascii="Times New Roman" w:hAnsi="Times New Roman"/>
          <w:sz w:val="20"/>
        </w:rPr>
      </w:pPr>
      <w:r>
        <w:rPr>
          <w:rFonts w:ascii="Times New Roman;serif" w:hAnsi="Times New Roman;serif"/>
          <w:b w:val="false"/>
          <w:sz w:val="20"/>
        </w:rPr>
        <w:t>The accompanying notes are an integral part of these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bookmarkStart w:id="6" w:name="statements_of_operations"/>
      <w:bookmarkEnd w:id="6"/>
      <w:r>
        <w:rPr>
          <w:rFonts w:ascii="Times New Roman;serif" w:hAnsi="Times New Roman;serif"/>
          <w:b/>
          <w:sz w:val="20"/>
        </w:rPr>
        <w:t>INVIVYD, INC.</w:t>
      </w:r>
      <w:r>
        <w:rPr>
          <w:rFonts w:ascii="Times New Roman" w:hAnsi="Times New Roman"/>
          <w:sz w:val="20"/>
        </w:rPr>
        <w:t xml:space="preserve"> </w:t>
      </w:r>
    </w:p>
    <w:p>
      <w:pPr>
        <w:pStyle w:val="TextBody"/>
        <w:bidi w:val="0"/>
        <w:spacing w:before="120" w:after="0"/>
        <w:jc w:val="center"/>
        <w:rPr>
          <w:rFonts w:ascii="Times New Roman" w:hAnsi="Times New Roman"/>
          <w:sz w:val="20"/>
        </w:rPr>
      </w:pPr>
      <w:bookmarkStart w:id="7" w:name="consolidated_statements_of_operations"/>
      <w:bookmarkEnd w:id="7"/>
      <w:r>
        <w:rPr>
          <w:rFonts w:ascii="Times New Roman;serif" w:hAnsi="Times New Roman;serif"/>
          <w:b/>
          <w:caps/>
          <w:sz w:val="20"/>
        </w:rPr>
        <w:t>Condensed Consolidated Statements of Operations and Comprehensive Loss</w:t>
      </w:r>
      <w:r>
        <w:rPr>
          <w:rFonts w:ascii="Times New Roman" w:hAnsi="Times New Roman"/>
          <w:caps/>
          <w:sz w:val="20"/>
        </w:rPr>
        <w:t xml:space="preserve"> </w:t>
      </w:r>
    </w:p>
    <w:p>
      <w:pPr>
        <w:pStyle w:val="TextBody"/>
        <w:bidi w:val="0"/>
        <w:spacing w:before="120" w:after="0"/>
        <w:jc w:val="center"/>
        <w:rPr>
          <w:rFonts w:ascii="Times New Roman;serif" w:hAnsi="Times New Roman;serif"/>
          <w:b/>
          <w:caps/>
          <w:sz w:val="20"/>
        </w:rPr>
      </w:pPr>
      <w:r>
        <w:rPr>
          <w:rFonts w:ascii="Times New Roman;serif" w:hAnsi="Times New Roman;serif"/>
          <w:b/>
          <w:caps/>
          <w:sz w:val="20"/>
        </w:rPr>
        <w:t>(UNaudited)</w:t>
      </w:r>
    </w:p>
    <w:p>
      <w:pPr>
        <w:pStyle w:val="TextBody"/>
        <w:bidi w:val="0"/>
        <w:spacing w:before="120" w:after="80"/>
        <w:jc w:val="center"/>
        <w:rPr>
          <w:rFonts w:ascii="Times New Roman;serif" w:hAnsi="Times New Roman;serif"/>
          <w:b/>
          <w:sz w:val="20"/>
        </w:rPr>
      </w:pPr>
      <w:r>
        <w:rPr>
          <w:rFonts w:ascii="Times New Roman;serif" w:hAnsi="Times New Roman;serif"/>
          <w:b/>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785"/>
        <w:gridCol w:w="146"/>
        <w:gridCol w:w="327"/>
        <w:gridCol w:w="1774"/>
        <w:gridCol w:w="166"/>
        <w:gridCol w:w="146"/>
        <w:gridCol w:w="327"/>
        <w:gridCol w:w="1774"/>
        <w:gridCol w:w="166"/>
        <w:gridCol w:w="594"/>
      </w:tblGrid>
      <w:tr>
        <w:trPr/>
        <w:tc>
          <w:tcPr>
            <w:tcW w:w="4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78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vAlign w:val="center"/>
          </w:tcPr>
          <w:p>
            <w:pPr>
              <w:pStyle w:val="TableContents"/>
              <w:bidi w:val="0"/>
              <w:spacing w:before="0" w:after="0"/>
              <w:ind w:left="0" w:right="0" w:hanging="0"/>
              <w:jc w:val="center"/>
              <w:rPr/>
            </w:pPr>
            <w:r>
              <w:rPr/>
              <w:t> </w:t>
            </w:r>
          </w:p>
        </w:tc>
        <w:tc>
          <w:tcPr>
            <w:tcW w:w="594" w:type="dxa"/>
            <w:tcBorders/>
            <w:vAlign w:val="center"/>
          </w:tcPr>
          <w:p>
            <w:pPr>
              <w:pStyle w:val="TableContents"/>
              <w:bidi w:val="0"/>
              <w:spacing w:before="0" w:after="0"/>
              <w:ind w:left="0" w:right="0" w:hanging="0"/>
              <w:jc w:val="left"/>
              <w:rPr/>
            </w:pPr>
            <w:r>
              <w:rPr/>
              <w:t> </w:t>
            </w:r>
          </w:p>
        </w:tc>
      </w:tr>
      <w:tr>
        <w:trPr/>
        <w:tc>
          <w:tcPr>
            <w:tcW w:w="478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94" w:type="dxa"/>
            <w:tcBorders/>
            <w:vAlign w:val="center"/>
          </w:tcPr>
          <w:p>
            <w:pPr>
              <w:pStyle w:val="TableContents"/>
              <w:bidi w:val="0"/>
              <w:spacing w:before="0" w:after="0"/>
              <w:ind w:left="0" w:right="0" w:hanging="0"/>
              <w:jc w:val="left"/>
              <w:rPr/>
            </w:pPr>
            <w:r>
              <w:rPr/>
              <w:t> </w:t>
            </w:r>
          </w:p>
        </w:tc>
      </w:tr>
      <w:tr>
        <w:trPr/>
        <w:tc>
          <w:tcPr>
            <w:tcW w:w="47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210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left"/>
              <w:rPr/>
            </w:pPr>
            <w:r>
              <w:rPr/>
              <w:t> </w:t>
            </w:r>
          </w:p>
        </w:tc>
      </w:tr>
      <w:tr>
        <w:trPr/>
        <w:tc>
          <w:tcPr>
            <w:tcW w:w="4785"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Research and development</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92,035</w:t>
            </w:r>
          </w:p>
        </w:tc>
        <w:tc>
          <w:tcPr>
            <w:tcW w:w="166"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firstLine="200"/>
              <w:jc w:val="left"/>
              <w:rPr/>
            </w:pPr>
            <w:r>
              <w:rPr/>
              <w:t> </w:t>
            </w:r>
          </w:p>
        </w:tc>
      </w:tr>
      <w:tr>
        <w:trPr/>
        <w:tc>
          <w:tcPr>
            <w:tcW w:w="4785"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Acquired in-process research and development</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17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177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firstLine="200"/>
              <w:jc w:val="left"/>
              <w:rPr/>
            </w:pPr>
            <w:r>
              <w:rPr/>
              <w:t> </w:t>
            </w:r>
          </w:p>
        </w:tc>
      </w:tr>
      <w:tr>
        <w:trPr/>
        <w:tc>
          <w:tcPr>
            <w:tcW w:w="478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firstLine="400"/>
              <w:jc w:val="left"/>
              <w:rPr/>
            </w:pPr>
            <w:r>
              <w:rPr/>
              <w:t> </w:t>
            </w:r>
          </w:p>
        </w:tc>
      </w:tr>
      <w:tr>
        <w:trPr/>
        <w:tc>
          <w:tcPr>
            <w:tcW w:w="478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left"/>
              <w:rPr/>
            </w:pPr>
            <w:r>
              <w:rPr/>
              <w:t> </w:t>
            </w:r>
          </w:p>
        </w:tc>
      </w:tr>
      <w:tr>
        <w:trPr/>
        <w:tc>
          <w:tcPr>
            <w:tcW w:w="47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4" w:type="dxa"/>
            <w:tcBorders/>
            <w:vAlign w:val="center"/>
          </w:tcPr>
          <w:p>
            <w:pPr>
              <w:pStyle w:val="TableContents"/>
              <w:bidi w:val="0"/>
              <w:spacing w:before="0" w:after="0"/>
              <w:ind w:left="0" w:right="0" w:hanging="0"/>
              <w:jc w:val="left"/>
              <w:rPr/>
            </w:pPr>
            <w:r>
              <w:rPr/>
              <w:t> </w:t>
            </w:r>
          </w:p>
        </w:tc>
      </w:tr>
      <w:tr>
        <w:trPr/>
        <w:tc>
          <w:tcPr>
            <w:tcW w:w="47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vAlign w:val="center"/>
          </w:tcPr>
          <w:p>
            <w:pPr>
              <w:pStyle w:val="TableContents"/>
              <w:bidi w:val="0"/>
              <w:spacing w:before="0" w:after="0"/>
              <w:ind w:left="0" w:right="0" w:hanging="0"/>
              <w:jc w:val="left"/>
              <w:rPr/>
            </w:pPr>
            <w:r>
              <w:rPr/>
              <w:t> </w:t>
            </w:r>
          </w:p>
        </w:tc>
        <w:tc>
          <w:tcPr>
            <w:tcW w:w="210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left"/>
              <w:rPr/>
            </w:pPr>
            <w:r>
              <w:rPr/>
              <w:t> </w:t>
            </w:r>
          </w:p>
        </w:tc>
      </w:tr>
      <w:tr>
        <w:trPr/>
        <w:tc>
          <w:tcPr>
            <w:tcW w:w="478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firstLine="400"/>
              <w:jc w:val="left"/>
              <w:rPr/>
            </w:pPr>
            <w:r>
              <w:rPr/>
              <w:t> </w:t>
            </w:r>
          </w:p>
        </w:tc>
      </w:tr>
      <w:tr>
        <w:trPr/>
        <w:tc>
          <w:tcPr>
            <w:tcW w:w="478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left"/>
              <w:rPr/>
            </w:pPr>
            <w:r>
              <w:rPr/>
              <w:t> </w:t>
            </w:r>
          </w:p>
        </w:tc>
      </w:tr>
      <w:tr>
        <w:trPr/>
        <w:tc>
          <w:tcPr>
            <w:tcW w:w="47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(100,666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4" w:type="dxa"/>
            <w:tcBorders/>
            <w:vAlign w:val="center"/>
          </w:tcPr>
          <w:p>
            <w:pPr>
              <w:pStyle w:val="TableContents"/>
              <w:bidi w:val="0"/>
              <w:spacing w:before="0" w:after="0"/>
              <w:ind w:left="0" w:right="0" w:hanging="0"/>
              <w:jc w:val="left"/>
              <w:rPr/>
            </w:pPr>
            <w:r>
              <w:rPr/>
              <w:t> </w:t>
            </w:r>
          </w:p>
        </w:tc>
      </w:tr>
      <w:tr>
        <w:trPr/>
        <w:tc>
          <w:tcPr>
            <w:tcW w:w="47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vAlign w:val="center"/>
          </w:tcPr>
          <w:p>
            <w:pPr>
              <w:pStyle w:val="TableContents"/>
              <w:bidi w:val="0"/>
              <w:spacing w:before="0" w:after="0"/>
              <w:ind w:left="0" w:right="0" w:hanging="0"/>
              <w:jc w:val="left"/>
              <w:rPr/>
            </w:pPr>
            <w:r>
              <w:rPr/>
              <w:t> </w:t>
            </w:r>
          </w:p>
        </w:tc>
        <w:tc>
          <w:tcPr>
            <w:tcW w:w="210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left"/>
              <w:rPr/>
            </w:pPr>
            <w:r>
              <w:rPr/>
              <w:t> </w:t>
            </w:r>
          </w:p>
        </w:tc>
      </w:tr>
      <w:tr>
        <w:trPr/>
        <w:tc>
          <w:tcPr>
            <w:tcW w:w="478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on available-for-sale securities, net of tax</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left"/>
              <w:rPr/>
            </w:pPr>
            <w:r>
              <w:rPr/>
              <w:t> </w:t>
            </w:r>
          </w:p>
        </w:tc>
      </w:tr>
      <w:tr>
        <w:trPr/>
        <w:tc>
          <w:tcPr>
            <w:tcW w:w="47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(100,658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4" w:type="dxa"/>
            <w:tcBorders/>
            <w:vAlign w:val="center"/>
          </w:tcPr>
          <w:p>
            <w:pPr>
              <w:pStyle w:val="TableContents"/>
              <w:bidi w:val="0"/>
              <w:spacing w:before="0" w:after="0"/>
              <w:ind w:left="0" w:right="0" w:hanging="0"/>
              <w:jc w:val="left"/>
              <w:rPr/>
            </w:pPr>
            <w:r>
              <w:rPr/>
              <w:t> </w:t>
            </w:r>
          </w:p>
        </w:tc>
      </w:tr>
      <w:tr>
        <w:trPr/>
        <w:tc>
          <w:tcPr>
            <w:tcW w:w="47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attributable to common stockholders, basic and diluted</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4" w:type="dxa"/>
            <w:tcBorders/>
            <w:vAlign w:val="center"/>
          </w:tcPr>
          <w:p>
            <w:pPr>
              <w:pStyle w:val="TableContents"/>
              <w:bidi w:val="0"/>
              <w:spacing w:before="0" w:after="0"/>
              <w:ind w:left="0" w:right="0" w:hanging="0"/>
              <w:jc w:val="left"/>
              <w:rPr/>
            </w:pPr>
            <w:r>
              <w:rPr/>
              <w:t> </w:t>
            </w:r>
          </w:p>
        </w:tc>
      </w:tr>
      <w:tr>
        <w:trPr/>
        <w:tc>
          <w:tcPr>
            <w:tcW w:w="47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 basic and diluted</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108,785,519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107,869,570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left"/>
              <w:rPr/>
            </w:pPr>
            <w:r>
              <w:rPr/>
              <w:t> </w:t>
            </w:r>
          </w:p>
        </w:tc>
      </w:tr>
    </w:tbl>
    <w:p>
      <w:pPr>
        <w:pStyle w:val="TextBody"/>
        <w:bidi w:val="0"/>
        <w:spacing w:before="80" w:after="0"/>
        <w:jc w:val="both"/>
        <w:rPr>
          <w:rFonts w:ascii="Times New Roman" w:hAnsi="Times New Roman"/>
          <w:b w:val="false"/>
          <w:sz w:val="20"/>
        </w:rPr>
      </w:pPr>
      <w:r>
        <w:rPr>
          <w:rFonts w:ascii="Times New Roman" w:hAnsi="Times New Roman"/>
          <w:b w:val="false"/>
          <w:sz w:val="20"/>
        </w:rPr>
        <w:t>(1)</w:t>
      </w:r>
    </w:p>
    <w:p>
      <w:pPr>
        <w:pStyle w:val="TextBody"/>
        <w:bidi w:val="0"/>
        <w:spacing w:before="80" w:after="0"/>
        <w:jc w:val="both"/>
        <w:rPr/>
      </w:pPr>
      <w:r>
        <w:rPr>
          <w:rFonts w:ascii="Times New Roman;serif" w:hAnsi="Times New Roman;serif"/>
          <w:b w:val="false"/>
          <w:sz w:val="20"/>
        </w:rPr>
        <w:t>Includes related-party amounts of $2,960</w:t>
      </w:r>
      <w:r>
        <w:rPr/>
        <w:t xml:space="preserve"> </w:t>
      </w:r>
      <w:r>
        <w:rPr>
          <w:rFonts w:ascii="Times New Roman;serif" w:hAnsi="Times New Roman;serif"/>
          <w:b w:val="false"/>
          <w:sz w:val="20"/>
        </w:rPr>
        <w:t>and $2,000</w:t>
      </w:r>
      <w:r>
        <w:rPr/>
        <w:t xml:space="preserve"> </w:t>
      </w:r>
      <w:r>
        <w:rPr>
          <w:rFonts w:ascii="Times New Roman;serif" w:hAnsi="Times New Roman;serif"/>
          <w:b w:val="false"/>
          <w:sz w:val="20"/>
        </w:rPr>
        <w:t>for the three months ended March 31, 2023</w:t>
      </w:r>
      <w:r>
        <w:rPr/>
        <w:t xml:space="preserve"> </w:t>
      </w:r>
      <w:r>
        <w:rPr>
          <w:rFonts w:ascii="Times New Roman;serif" w:hAnsi="Times New Roman;serif"/>
          <w:b w:val="false"/>
          <w:sz w:val="20"/>
        </w:rPr>
        <w:t>and 2022, respectively (see Note 15).</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jc w:val="both"/>
        <w:rPr/>
      </w:pPr>
      <w:r>
        <w:rPr>
          <w:rFonts w:ascii="Times New Roman;serif" w:hAnsi="Times New Roman;serif"/>
          <w:b w:val="false"/>
          <w:sz w:val="20"/>
        </w:rPr>
        <w:t>Includes related-party amounts of $375</w:t>
      </w:r>
      <w:r>
        <w:rPr/>
        <w:t xml:space="preserve"> </w:t>
      </w:r>
      <w:r>
        <w:rPr>
          <w:rFonts w:ascii="Times New Roman;serif" w:hAnsi="Times New Roman;serif"/>
          <w:b w:val="false"/>
          <w:sz w:val="20"/>
        </w:rPr>
        <w:t>and $0</w:t>
      </w:r>
      <w:r>
        <w:rPr/>
        <w:t xml:space="preserve"> </w:t>
      </w:r>
      <w:r>
        <w:rPr>
          <w:rFonts w:ascii="Times New Roman;serif" w:hAnsi="Times New Roman;serif"/>
          <w:b w:val="false"/>
          <w:sz w:val="20"/>
        </w:rPr>
        <w:t>for the three months ended March 31, 2023</w:t>
      </w:r>
      <w:r>
        <w:rPr/>
        <w:t xml:space="preserve"> </w:t>
      </w:r>
      <w:r>
        <w:rPr>
          <w:rFonts w:ascii="Times New Roman;serif" w:hAnsi="Times New Roman;serif"/>
          <w:b w:val="false"/>
          <w:sz w:val="20"/>
        </w:rPr>
        <w:t>and 2022, respectively</w:t>
      </w:r>
      <w:r>
        <w:rPr/>
        <w:t xml:space="preserve"> </w:t>
      </w:r>
      <w:r>
        <w:rPr>
          <w:rFonts w:ascii="Times New Roman;serif" w:hAnsi="Times New Roman;serif"/>
          <w:b w:val="false"/>
          <w:sz w:val="20"/>
        </w:rPr>
        <w:t xml:space="preserve">(see Note 15). </w:t>
      </w:r>
    </w:p>
    <w:p>
      <w:pPr>
        <w:pStyle w:val="TextBody"/>
        <w:bidi w:val="0"/>
        <w:spacing w:before="120" w:after="0"/>
        <w:jc w:val="center"/>
        <w:rPr>
          <w:rFonts w:ascii="Times New Roman" w:hAnsi="Times New Roman"/>
          <w:sz w:val="20"/>
        </w:rPr>
      </w:pPr>
      <w:r>
        <w:rPr>
          <w:rFonts w:ascii="Times New Roman;serif" w:hAnsi="Times New Roman;serif"/>
          <w:b w:val="false"/>
          <w:sz w:val="20"/>
        </w:rPr>
        <w:t>The accompanying notes are an integral part of these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center"/>
        <w:rPr>
          <w:rFonts w:ascii="Times New Roman;serif" w:hAnsi="Times New Roman;serif"/>
          <w:b/>
          <w:sz w:val="20"/>
        </w:rPr>
      </w:pPr>
      <w:bookmarkStart w:id="8" w:name="statements_of_equity"/>
      <w:bookmarkEnd w:id="8"/>
      <w:r>
        <w:rPr>
          <w:rFonts w:ascii="Times New Roman;serif" w:hAnsi="Times New Roman;serif"/>
          <w:b/>
          <w:sz w:val="20"/>
        </w:rPr>
        <w:t>INVIVYD, INC.</w:t>
      </w:r>
    </w:p>
    <w:p>
      <w:pPr>
        <w:pStyle w:val="TextBody"/>
        <w:bidi w:val="0"/>
        <w:spacing w:before="120" w:after="0"/>
        <w:jc w:val="center"/>
        <w:rPr>
          <w:rFonts w:ascii="Times New Roman" w:hAnsi="Times New Roman"/>
          <w:sz w:val="20"/>
        </w:rPr>
      </w:pPr>
      <w:bookmarkStart w:id="9" w:name="consolidated_statements_of_convertible"/>
      <w:bookmarkEnd w:id="9"/>
      <w:r>
        <w:rPr>
          <w:rFonts w:ascii="Times New Roman;serif" w:hAnsi="Times New Roman;serif"/>
          <w:b/>
          <w:sz w:val="20"/>
        </w:rPr>
        <w:t>CONDENSED CONSOLIDATED STATEMENTS OF STOCKHOLDERS’ EQUITY (DEFICIT)</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120" w:after="0"/>
        <w:jc w:val="center"/>
        <w:rPr>
          <w:rFonts w:ascii="Times New Roman;serif" w:hAnsi="Times New Roman;serif"/>
          <w:b/>
          <w:sz w:val="20"/>
        </w:rPr>
      </w:pPr>
      <w:r>
        <w:rPr>
          <w:rFonts w:ascii="Times New Roman;serif" w:hAnsi="Times New Roman;serif"/>
          <w:b/>
          <w:sz w:val="20"/>
        </w:rPr>
        <w:t>(In thousands, except share amounts)</w:t>
      </w:r>
    </w:p>
    <w:p>
      <w:pPr>
        <w:pStyle w:val="TextBody"/>
        <w:bidi w:val="0"/>
        <w:spacing w:before="0" w:after="0"/>
        <w:jc w:val="center"/>
        <w:rPr/>
      </w:pPr>
      <w:r>
        <w:rPr/>
        <w:t> </w:t>
      </w:r>
    </w:p>
    <w:tbl>
      <w:tblPr>
        <w:tblW w:w="10522" w:type="dxa"/>
        <w:jc w:val="left"/>
        <w:tblInd w:w="0" w:type="dxa"/>
        <w:tblLayout w:type="fixed"/>
        <w:tblCellMar>
          <w:top w:w="28" w:type="dxa"/>
          <w:left w:w="28" w:type="dxa"/>
          <w:bottom w:w="28" w:type="dxa"/>
          <w:right w:w="28" w:type="dxa"/>
        </w:tblCellMar>
      </w:tblPr>
      <w:tblGrid>
        <w:gridCol w:w="1126"/>
        <w:gridCol w:w="146"/>
        <w:gridCol w:w="146"/>
        <w:gridCol w:w="871"/>
        <w:gridCol w:w="151"/>
        <w:gridCol w:w="146"/>
        <w:gridCol w:w="216"/>
        <w:gridCol w:w="415"/>
        <w:gridCol w:w="146"/>
        <w:gridCol w:w="146"/>
        <w:gridCol w:w="146"/>
        <w:gridCol w:w="766"/>
        <w:gridCol w:w="151"/>
        <w:gridCol w:w="146"/>
        <w:gridCol w:w="216"/>
        <w:gridCol w:w="415"/>
        <w:gridCol w:w="146"/>
        <w:gridCol w:w="146"/>
        <w:gridCol w:w="187"/>
        <w:gridCol w:w="624"/>
        <w:gridCol w:w="146"/>
        <w:gridCol w:w="146"/>
        <w:gridCol w:w="356"/>
        <w:gridCol w:w="740"/>
        <w:gridCol w:w="151"/>
        <w:gridCol w:w="146"/>
        <w:gridCol w:w="207"/>
        <w:gridCol w:w="739"/>
        <w:gridCol w:w="151"/>
        <w:gridCol w:w="146"/>
        <w:gridCol w:w="207"/>
        <w:gridCol w:w="739"/>
        <w:gridCol w:w="196"/>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4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Treasury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 Other Comprehensive</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w:t>
              <w:br/>
              <w:t>Stockholders’</w:t>
            </w:r>
          </w:p>
        </w:tc>
        <w:tc>
          <w:tcPr>
            <w:tcW w:w="196" w:type="dxa"/>
            <w:tcBorders/>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Income (Loss)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Equity (Deficit)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Balances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110,782,909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468,751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24"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850,125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(292,109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558,019</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Vesting of restricted common stock from early-exercised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50,353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47</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Repurchase of unvested restricted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(1,158,089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1,158,089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Retirement of treasury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(1,626,840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1,983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1,983</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Unrealized gain on available-for-sale securities,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(100,666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(100,666</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Balances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109,675,173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852,156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(392,775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459,392</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r>
      <w:tr>
        <w:trPr/>
        <w:tc>
          <w:tcPr>
            <w:tcW w:w="11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4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Treasury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 Other Comprehensive</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w:t>
              <w:br/>
              <w:t>Stockholders’</w:t>
            </w:r>
          </w:p>
        </w:tc>
        <w:tc>
          <w:tcPr>
            <w:tcW w:w="196" w:type="dxa"/>
            <w:tcBorders/>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Income (Loss)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Equity (Deficit)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Balances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109,044,046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24"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889,657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(272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(533,426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355,970</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Vesting of restricted common stock from early-exercised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423,203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459</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Repurchase of unvested restricted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(206,802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206,802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Retirement of treasury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(206,802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5,400</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Issuance of common stock under the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55,779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83</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Unrealized gain on available-for-sale securities,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157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157</w:t>
            </w:r>
          </w:p>
        </w:tc>
        <w:tc>
          <w:tcPr>
            <w:tcW w:w="196"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(35,321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(35,321</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Balances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109,316,226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895,600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(568,747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326,749</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0" w:name="statements_of_cash_flows"/>
      <w:bookmarkEnd w:id="10"/>
      <w:r>
        <w:rPr>
          <w:rFonts w:ascii="Times New Roman;serif" w:hAnsi="Times New Roman;serif"/>
          <w:b/>
          <w:sz w:val="20"/>
        </w:rPr>
        <w:t>INVIVYD, INC.</w:t>
      </w:r>
      <w:r>
        <w:rPr>
          <w:rFonts w:ascii="Times New Roman" w:hAnsi="Times New Roman"/>
          <w:sz w:val="20"/>
        </w:rPr>
        <w:t xml:space="preserve"> </w:t>
      </w:r>
    </w:p>
    <w:p>
      <w:pPr>
        <w:pStyle w:val="TextBody"/>
        <w:bidi w:val="0"/>
        <w:spacing w:before="120" w:after="0"/>
        <w:jc w:val="center"/>
        <w:rPr>
          <w:rFonts w:ascii="Times New Roman" w:hAnsi="Times New Roman"/>
          <w:sz w:val="20"/>
        </w:rPr>
      </w:pPr>
      <w:bookmarkStart w:id="11" w:name="consolidated_statements_of_cash_flows"/>
      <w:bookmarkEnd w:id="11"/>
      <w:r>
        <w:rPr>
          <w:rFonts w:ascii="Times New Roman;serif" w:hAnsi="Times New Roman;serif"/>
          <w:b/>
          <w:caps/>
          <w:sz w:val="20"/>
        </w:rPr>
        <w:t>Condensed Consolidated Statements of Cash Flows</w:t>
      </w:r>
      <w:r>
        <w:rPr>
          <w:rFonts w:ascii="Times New Roman" w:hAnsi="Times New Roman"/>
          <w:caps/>
          <w:sz w:val="20"/>
        </w:rPr>
        <w:t xml:space="preserve"> </w:t>
      </w:r>
    </w:p>
    <w:p>
      <w:pPr>
        <w:pStyle w:val="TextBody"/>
        <w:bidi w:val="0"/>
        <w:spacing w:before="120" w:after="0"/>
        <w:jc w:val="center"/>
        <w:rPr>
          <w:rFonts w:ascii="Times New Roman;serif" w:hAnsi="Times New Roman;serif"/>
          <w:b/>
          <w:caps/>
          <w:sz w:val="20"/>
        </w:rPr>
      </w:pPr>
      <w:r>
        <w:rPr>
          <w:rFonts w:ascii="Times New Roman;serif" w:hAnsi="Times New Roman;serif"/>
          <w:b/>
          <w:caps/>
          <w:sz w:val="20"/>
        </w:rPr>
        <w:t>(UNAUDITED)</w:t>
      </w:r>
    </w:p>
    <w:p>
      <w:pPr>
        <w:pStyle w:val="TextBody"/>
        <w:bidi w:val="0"/>
        <w:spacing w:before="120" w:after="80"/>
        <w:jc w:val="center"/>
        <w:rPr>
          <w:rFonts w:ascii="Times New Roman;serif" w:hAnsi="Times New Roman;serif"/>
          <w:b/>
          <w:sz w:val="20"/>
        </w:rPr>
      </w:pPr>
      <w:r>
        <w:rPr>
          <w:rFonts w:ascii="Times New Roman;serif" w:hAnsi="Times New Roman;serif"/>
          <w:b/>
          <w:sz w:val="20"/>
        </w:rPr>
        <w:t>(In thousands)</w:t>
      </w:r>
    </w:p>
    <w:tbl>
      <w:tblPr>
        <w:tblW w:w="10205" w:type="dxa"/>
        <w:jc w:val="left"/>
        <w:tblInd w:w="0" w:type="dxa"/>
        <w:tblLayout w:type="fixed"/>
        <w:tblCellMar>
          <w:top w:w="28" w:type="dxa"/>
          <w:left w:w="28" w:type="dxa"/>
          <w:bottom w:w="28" w:type="dxa"/>
          <w:right w:w="28" w:type="dxa"/>
        </w:tblCellMar>
      </w:tblPr>
      <w:tblGrid>
        <w:gridCol w:w="5008"/>
        <w:gridCol w:w="146"/>
        <w:gridCol w:w="415"/>
        <w:gridCol w:w="1539"/>
        <w:gridCol w:w="166"/>
        <w:gridCol w:w="146"/>
        <w:gridCol w:w="395"/>
        <w:gridCol w:w="1577"/>
        <w:gridCol w:w="813"/>
      </w:tblGrid>
      <w:tr>
        <w:trPr/>
        <w:tc>
          <w:tcPr>
            <w:tcW w:w="5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50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54"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813" w:type="dxa"/>
            <w:tcBorders/>
            <w:vAlign w:val="center"/>
          </w:tcPr>
          <w:p>
            <w:pPr>
              <w:pStyle w:val="TableContents"/>
              <w:bidi w:val="0"/>
              <w:spacing w:before="0" w:after="0"/>
              <w:ind w:left="0" w:right="0" w:hanging="0"/>
              <w:jc w:val="center"/>
              <w:rPr/>
            </w:pPr>
            <w:r>
              <w:rPr/>
              <w:t> </w:t>
            </w:r>
          </w:p>
        </w:tc>
      </w:tr>
      <w:tr>
        <w:trPr/>
        <w:tc>
          <w:tcPr>
            <w:tcW w:w="50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0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195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72" w:type="dxa"/>
            <w:gridSpan w:val="2"/>
            <w:tcBorders/>
            <w:vAlign w:val="center"/>
          </w:tcPr>
          <w:p>
            <w:pPr>
              <w:pStyle w:val="TableContents"/>
              <w:bidi w:val="0"/>
              <w:spacing w:before="0" w:after="0"/>
              <w:ind w:left="0" w:right="0" w:hanging="0"/>
              <w:jc w:val="right"/>
              <w:rPr/>
            </w:pPr>
            <w:r>
              <w:rPr/>
              <w:t> </w:t>
            </w:r>
          </w:p>
        </w:tc>
        <w:tc>
          <w:tcPr>
            <w:tcW w:w="813" w:type="dxa"/>
            <w:tcBorders/>
            <w:vAlign w:val="center"/>
          </w:tcPr>
          <w:p>
            <w:pPr>
              <w:pStyle w:val="TableContents"/>
              <w:bidi w:val="0"/>
              <w:spacing w:before="0" w:after="0"/>
              <w:ind w:left="0" w:right="0" w:hanging="0"/>
              <w:jc w:val="right"/>
              <w:rPr/>
            </w:pPr>
            <w:r>
              <w:rPr/>
              <w:t> </w:t>
            </w:r>
          </w:p>
        </w:tc>
      </w:tr>
      <w:tr>
        <w:trPr/>
        <w:tc>
          <w:tcPr>
            <w:tcW w:w="50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(100,666</w:t>
            </w:r>
          </w:p>
        </w:tc>
        <w:tc>
          <w:tcPr>
            <w:tcW w:w="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95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72" w:type="dxa"/>
            <w:gridSpan w:val="2"/>
            <w:tcBorders/>
            <w:vAlign w:val="center"/>
          </w:tcPr>
          <w:p>
            <w:pPr>
              <w:pStyle w:val="TableContents"/>
              <w:bidi w:val="0"/>
              <w:spacing w:before="0" w:after="0"/>
              <w:ind w:left="0" w:right="0" w:hanging="0"/>
              <w:jc w:val="right"/>
              <w:rPr/>
            </w:pPr>
            <w:r>
              <w:rPr/>
              <w:t> </w:t>
            </w:r>
          </w:p>
        </w:tc>
        <w:tc>
          <w:tcPr>
            <w:tcW w:w="813" w:type="dxa"/>
            <w:tcBorders/>
            <w:vAlign w:val="center"/>
          </w:tcPr>
          <w:p>
            <w:pPr>
              <w:pStyle w:val="TableContents"/>
              <w:bidi w:val="0"/>
              <w:spacing w:before="0" w:after="0"/>
              <w:ind w:left="0" w:right="0" w:firstLine="200"/>
              <w:jc w:val="right"/>
              <w:rPr/>
            </w:pPr>
            <w:r>
              <w:rPr/>
              <w:t> </w:t>
            </w:r>
          </w:p>
        </w:tc>
      </w:tr>
      <w:tr>
        <w:trPr/>
        <w:tc>
          <w:tcPr>
            <w:tcW w:w="50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1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1,983</w:t>
            </w:r>
          </w:p>
        </w:tc>
        <w:tc>
          <w:tcPr>
            <w:tcW w:w="813" w:type="dxa"/>
            <w:tcBorders/>
            <w:vAlign w:val="center"/>
          </w:tcPr>
          <w:p>
            <w:pPr>
              <w:pStyle w:val="TableContents"/>
              <w:bidi w:val="0"/>
              <w:spacing w:before="0" w:after="0"/>
              <w:ind w:left="0" w:right="0" w:firstLine="200"/>
              <w:jc w:val="left"/>
              <w:rPr/>
            </w:pPr>
            <w:r>
              <w:rPr/>
              <w:t> </w:t>
            </w:r>
          </w:p>
        </w:tc>
      </w:tr>
      <w:tr>
        <w:trPr/>
        <w:tc>
          <w:tcPr>
            <w:tcW w:w="50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amortization of premiums and accretion of discounts on marketable securities</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1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813" w:type="dxa"/>
            <w:tcBorders/>
            <w:vAlign w:val="center"/>
          </w:tcPr>
          <w:p>
            <w:pPr>
              <w:pStyle w:val="TableContents"/>
              <w:bidi w:val="0"/>
              <w:spacing w:before="0" w:after="0"/>
              <w:ind w:left="0" w:right="0" w:firstLine="200"/>
              <w:jc w:val="left"/>
              <w:rPr/>
            </w:pPr>
            <w:r>
              <w:rPr/>
              <w:t> </w:t>
            </w:r>
          </w:p>
        </w:tc>
      </w:tr>
      <w:tr>
        <w:trPr/>
        <w:tc>
          <w:tcPr>
            <w:tcW w:w="50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operating lease right-of-use assets</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1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813" w:type="dxa"/>
            <w:tcBorders/>
            <w:vAlign w:val="center"/>
          </w:tcPr>
          <w:p>
            <w:pPr>
              <w:pStyle w:val="TableContents"/>
              <w:bidi w:val="0"/>
              <w:spacing w:before="0" w:after="0"/>
              <w:ind w:left="0" w:right="0" w:firstLine="200"/>
              <w:jc w:val="left"/>
              <w:rPr/>
            </w:pPr>
            <w:r>
              <w:rPr/>
              <w:t> </w:t>
            </w:r>
          </w:p>
        </w:tc>
      </w:tr>
      <w:tr>
        <w:trPr/>
        <w:tc>
          <w:tcPr>
            <w:tcW w:w="50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1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813" w:type="dxa"/>
            <w:tcBorders/>
            <w:vAlign w:val="center"/>
          </w:tcPr>
          <w:p>
            <w:pPr>
              <w:pStyle w:val="TableContents"/>
              <w:bidi w:val="0"/>
              <w:spacing w:before="0" w:after="0"/>
              <w:ind w:left="0" w:right="0" w:firstLine="200"/>
              <w:jc w:val="left"/>
              <w:rPr/>
            </w:pPr>
            <w:r>
              <w:rPr/>
              <w:t> </w:t>
            </w:r>
          </w:p>
        </w:tc>
      </w:tr>
      <w:tr>
        <w:trPr/>
        <w:tc>
          <w:tcPr>
            <w:tcW w:w="50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95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72" w:type="dxa"/>
            <w:gridSpan w:val="2"/>
            <w:tcBorders/>
            <w:vAlign w:val="center"/>
          </w:tcPr>
          <w:p>
            <w:pPr>
              <w:pStyle w:val="TableContents"/>
              <w:bidi w:val="0"/>
              <w:spacing w:before="0" w:after="0"/>
              <w:ind w:left="0" w:right="0" w:hanging="0"/>
              <w:jc w:val="right"/>
              <w:rPr/>
            </w:pPr>
            <w:r>
              <w:rPr/>
              <w:t> </w:t>
            </w:r>
          </w:p>
        </w:tc>
        <w:tc>
          <w:tcPr>
            <w:tcW w:w="813" w:type="dxa"/>
            <w:tcBorders/>
            <w:vAlign w:val="center"/>
          </w:tcPr>
          <w:p>
            <w:pPr>
              <w:pStyle w:val="TableContents"/>
              <w:bidi w:val="0"/>
              <w:spacing w:before="0" w:after="0"/>
              <w:ind w:left="0" w:right="0" w:firstLine="400"/>
              <w:jc w:val="right"/>
              <w:rPr/>
            </w:pPr>
            <w:r>
              <w:rPr/>
              <w:t> </w:t>
            </w:r>
          </w:p>
        </w:tc>
      </w:tr>
      <w:tr>
        <w:trPr/>
        <w:tc>
          <w:tcPr>
            <w:tcW w:w="500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1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3,212</w:t>
            </w:r>
          </w:p>
        </w:tc>
        <w:tc>
          <w:tcPr>
            <w:tcW w:w="813" w:type="dxa"/>
            <w:tcBorders/>
            <w:vAlign w:val="center"/>
          </w:tcPr>
          <w:p>
            <w:pPr>
              <w:pStyle w:val="TableContents"/>
              <w:bidi w:val="0"/>
              <w:spacing w:before="0" w:after="0"/>
              <w:ind w:left="0" w:right="0" w:firstLine="400"/>
              <w:jc w:val="left"/>
              <w:rPr/>
            </w:pPr>
            <w:r>
              <w:rPr/>
              <w:t> </w:t>
            </w:r>
          </w:p>
        </w:tc>
      </w:tr>
      <w:tr>
        <w:trPr/>
        <w:tc>
          <w:tcPr>
            <w:tcW w:w="500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1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3,060</w:t>
            </w:r>
          </w:p>
        </w:tc>
        <w:tc>
          <w:tcPr>
            <w:tcW w:w="813" w:type="dxa"/>
            <w:tcBorders/>
            <w:vAlign w:val="center"/>
          </w:tcPr>
          <w:p>
            <w:pPr>
              <w:pStyle w:val="TableContents"/>
              <w:bidi w:val="0"/>
              <w:spacing w:before="0" w:after="0"/>
              <w:ind w:left="0" w:right="0" w:firstLine="400"/>
              <w:jc w:val="left"/>
              <w:rPr/>
            </w:pPr>
            <w:r>
              <w:rPr/>
              <w:t> </w:t>
            </w:r>
          </w:p>
        </w:tc>
      </w:tr>
      <w:tr>
        <w:trPr/>
        <w:tc>
          <w:tcPr>
            <w:tcW w:w="500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1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12,899</w:t>
            </w:r>
          </w:p>
        </w:tc>
        <w:tc>
          <w:tcPr>
            <w:tcW w:w="813" w:type="dxa"/>
            <w:tcBorders/>
            <w:vAlign w:val="center"/>
          </w:tcPr>
          <w:p>
            <w:pPr>
              <w:pStyle w:val="TableContents"/>
              <w:bidi w:val="0"/>
              <w:spacing w:before="0" w:after="0"/>
              <w:ind w:left="0" w:right="0" w:firstLine="400"/>
              <w:jc w:val="left"/>
              <w:rPr/>
            </w:pPr>
            <w:r>
              <w:rPr/>
              <w:t> </w:t>
            </w:r>
          </w:p>
        </w:tc>
      </w:tr>
      <w:tr>
        <w:trPr/>
        <w:tc>
          <w:tcPr>
            <w:tcW w:w="500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1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20,260</w:t>
            </w:r>
          </w:p>
        </w:tc>
        <w:tc>
          <w:tcPr>
            <w:tcW w:w="813" w:type="dxa"/>
            <w:tcBorders/>
            <w:vAlign w:val="center"/>
          </w:tcPr>
          <w:p>
            <w:pPr>
              <w:pStyle w:val="TableContents"/>
              <w:bidi w:val="0"/>
              <w:spacing w:before="0" w:after="0"/>
              <w:ind w:left="0" w:right="0" w:firstLine="400"/>
              <w:jc w:val="left"/>
              <w:rPr/>
            </w:pPr>
            <w:r>
              <w:rPr/>
              <w:t> </w:t>
            </w:r>
          </w:p>
        </w:tc>
      </w:tr>
      <w:tr>
        <w:trPr/>
        <w:tc>
          <w:tcPr>
            <w:tcW w:w="500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1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813"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00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1577"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firstLine="400"/>
              <w:jc w:val="left"/>
              <w:rPr/>
            </w:pPr>
            <w:r>
              <w:rPr/>
              <w:t> </w:t>
            </w:r>
          </w:p>
        </w:tc>
      </w:tr>
      <w:tr>
        <w:trPr/>
        <w:tc>
          <w:tcPr>
            <w:tcW w:w="500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5008"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(59,049</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0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195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72" w:type="dxa"/>
            <w:gridSpan w:val="2"/>
            <w:tcBorders/>
            <w:vAlign w:val="center"/>
          </w:tcPr>
          <w:p>
            <w:pPr>
              <w:pStyle w:val="TableContents"/>
              <w:bidi w:val="0"/>
              <w:spacing w:before="0" w:after="0"/>
              <w:ind w:left="0" w:right="0" w:hanging="0"/>
              <w:jc w:val="right"/>
              <w:rPr/>
            </w:pPr>
            <w:r>
              <w:rPr/>
              <w:t> </w:t>
            </w:r>
          </w:p>
        </w:tc>
        <w:tc>
          <w:tcPr>
            <w:tcW w:w="813" w:type="dxa"/>
            <w:tcBorders/>
            <w:vAlign w:val="center"/>
          </w:tcPr>
          <w:p>
            <w:pPr>
              <w:pStyle w:val="TableContents"/>
              <w:bidi w:val="0"/>
              <w:spacing w:before="0" w:after="0"/>
              <w:ind w:left="0" w:right="0" w:firstLine="200"/>
              <w:jc w:val="right"/>
              <w:rPr/>
            </w:pPr>
            <w:r>
              <w:rPr/>
              <w:t> </w:t>
            </w:r>
          </w:p>
        </w:tc>
      </w:tr>
      <w:tr>
        <w:trPr/>
        <w:tc>
          <w:tcPr>
            <w:tcW w:w="50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Maturities of marketable securities</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1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49,000</w:t>
            </w:r>
          </w:p>
        </w:tc>
        <w:tc>
          <w:tcPr>
            <w:tcW w:w="813" w:type="dxa"/>
            <w:tcBorders/>
            <w:vAlign w:val="center"/>
          </w:tcPr>
          <w:p>
            <w:pPr>
              <w:pStyle w:val="TableContents"/>
              <w:bidi w:val="0"/>
              <w:spacing w:before="0" w:after="0"/>
              <w:ind w:left="0" w:right="0" w:firstLine="200"/>
              <w:jc w:val="left"/>
              <w:rPr/>
            </w:pPr>
            <w:r>
              <w:rPr/>
              <w:t> </w:t>
            </w:r>
          </w:p>
        </w:tc>
      </w:tr>
      <w:tr>
        <w:trPr/>
        <w:tc>
          <w:tcPr>
            <w:tcW w:w="50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008"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49,000</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0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195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72" w:type="dxa"/>
            <w:gridSpan w:val="2"/>
            <w:tcBorders/>
            <w:vAlign w:val="center"/>
          </w:tcPr>
          <w:p>
            <w:pPr>
              <w:pStyle w:val="TableContents"/>
              <w:bidi w:val="0"/>
              <w:spacing w:before="0" w:after="0"/>
              <w:ind w:left="0" w:right="0" w:hanging="0"/>
              <w:jc w:val="right"/>
              <w:rPr/>
            </w:pPr>
            <w:r>
              <w:rPr/>
              <w:t> </w:t>
            </w:r>
          </w:p>
        </w:tc>
        <w:tc>
          <w:tcPr>
            <w:tcW w:w="813" w:type="dxa"/>
            <w:tcBorders/>
            <w:vAlign w:val="center"/>
          </w:tcPr>
          <w:p>
            <w:pPr>
              <w:pStyle w:val="TableContents"/>
              <w:bidi w:val="0"/>
              <w:spacing w:before="0" w:after="0"/>
              <w:ind w:left="0" w:right="0" w:firstLine="200"/>
              <w:jc w:val="right"/>
              <w:rPr/>
            </w:pPr>
            <w:r>
              <w:rPr/>
              <w:t> </w:t>
            </w:r>
          </w:p>
        </w:tc>
      </w:tr>
      <w:tr>
        <w:trPr/>
        <w:tc>
          <w:tcPr>
            <w:tcW w:w="50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exercises of stock options</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1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813" w:type="dxa"/>
            <w:tcBorders/>
            <w:vAlign w:val="center"/>
          </w:tcPr>
          <w:p>
            <w:pPr>
              <w:pStyle w:val="TableContents"/>
              <w:bidi w:val="0"/>
              <w:spacing w:before="0" w:after="0"/>
              <w:ind w:left="0" w:right="0" w:firstLine="200"/>
              <w:jc w:val="left"/>
              <w:rPr/>
            </w:pPr>
            <w:r>
              <w:rPr/>
              <w:t> </w:t>
            </w:r>
          </w:p>
        </w:tc>
      </w:tr>
      <w:tr>
        <w:trPr/>
        <w:tc>
          <w:tcPr>
            <w:tcW w:w="50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 of common stock under the employee stock purchase plan</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1577"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firstLine="200"/>
              <w:jc w:val="left"/>
              <w:rPr/>
            </w:pPr>
            <w:r>
              <w:rPr/>
              <w:t> </w:t>
            </w:r>
          </w:p>
        </w:tc>
      </w:tr>
      <w:tr>
        <w:trPr/>
        <w:tc>
          <w:tcPr>
            <w:tcW w:w="50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for repurchases of unvested restricted common stock</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5008"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0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increase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1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(10,004</w:t>
            </w:r>
          </w:p>
        </w:tc>
        <w:tc>
          <w:tcPr>
            <w:tcW w:w="8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0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 at beginning of period</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542,224</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0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 at end of period</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532,220</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0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195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72" w:type="dxa"/>
            <w:gridSpan w:val="2"/>
            <w:tcBorders/>
            <w:vAlign w:val="center"/>
          </w:tcPr>
          <w:p>
            <w:pPr>
              <w:pStyle w:val="TableContents"/>
              <w:bidi w:val="0"/>
              <w:spacing w:before="0" w:after="0"/>
              <w:ind w:left="0" w:right="0" w:hanging="0"/>
              <w:jc w:val="right"/>
              <w:rPr/>
            </w:pPr>
            <w:r>
              <w:rPr/>
              <w:t> </w:t>
            </w:r>
          </w:p>
        </w:tc>
        <w:tc>
          <w:tcPr>
            <w:tcW w:w="813" w:type="dxa"/>
            <w:tcBorders/>
            <w:vAlign w:val="center"/>
          </w:tcPr>
          <w:p>
            <w:pPr>
              <w:pStyle w:val="TableContents"/>
              <w:bidi w:val="0"/>
              <w:spacing w:before="0" w:after="0"/>
              <w:ind w:left="0" w:right="0" w:hanging="0"/>
              <w:jc w:val="right"/>
              <w:rPr/>
            </w:pPr>
            <w:r>
              <w:rPr/>
              <w:t> </w:t>
            </w:r>
          </w:p>
        </w:tc>
      </w:tr>
      <w:tr>
        <w:trPr/>
        <w:tc>
          <w:tcPr>
            <w:tcW w:w="50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 recognized upon adoption of ASC 842</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1,728</w:t>
            </w:r>
          </w:p>
        </w:tc>
        <w:tc>
          <w:tcPr>
            <w:tcW w:w="813" w:type="dxa"/>
            <w:tcBorders/>
            <w:vAlign w:val="center"/>
          </w:tcPr>
          <w:p>
            <w:pPr>
              <w:pStyle w:val="TableContents"/>
              <w:bidi w:val="0"/>
              <w:spacing w:before="0" w:after="0"/>
              <w:ind w:left="0" w:right="0" w:hanging="0"/>
              <w:jc w:val="left"/>
              <w:rPr/>
            </w:pPr>
            <w:r>
              <w:rPr/>
              <w:t> </w:t>
            </w:r>
          </w:p>
        </w:tc>
      </w:tr>
    </w:tbl>
    <w:p>
      <w:pPr>
        <w:pStyle w:val="TextBody"/>
        <w:bidi w:val="0"/>
        <w:spacing w:before="8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INVIVYD, INC.</w:t>
      </w:r>
      <w:r>
        <w:rPr>
          <w:rFonts w:ascii="Times New Roman" w:hAnsi="Times New Roman"/>
          <w:sz w:val="20"/>
        </w:rPr>
        <w:t xml:space="preserve"> </w:t>
      </w:r>
    </w:p>
    <w:p>
      <w:pPr>
        <w:pStyle w:val="TextBody"/>
        <w:bidi w:val="0"/>
        <w:spacing w:before="120" w:after="0"/>
        <w:jc w:val="center"/>
        <w:rPr>
          <w:rFonts w:ascii="Times New Roman" w:hAnsi="Times New Roman"/>
          <w:sz w:val="20"/>
        </w:rPr>
      </w:pPr>
      <w:bookmarkStart w:id="12" w:name="notes_to_financial_statements"/>
      <w:bookmarkEnd w:id="12"/>
      <w:r>
        <w:rPr>
          <w:rFonts w:ascii="Times New Roman;serif" w:hAnsi="Times New Roman;serif"/>
          <w:b/>
          <w:sz w:val="20"/>
        </w:rPr>
        <w:t>NOTES TO CONDENSED CONSOLIDATED</w:t>
      </w:r>
      <w:r>
        <w:rPr>
          <w:rFonts w:ascii="Times New Roman" w:hAnsi="Times New Roman"/>
          <w:sz w:val="20"/>
        </w:rPr>
        <w:t xml:space="preserve"> </w:t>
      </w:r>
      <w:r>
        <w:rPr>
          <w:rFonts w:ascii="Times New Roman;serif" w:hAnsi="Times New Roman;serif"/>
          <w:b/>
          <w:sz w:val="20"/>
        </w:rPr>
        <w:t>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120" w:after="120"/>
        <w:jc w:val="both"/>
        <w:rPr>
          <w:rFonts w:ascii="Times New Roman" w:hAnsi="Times New Roman"/>
          <w:sz w:val="20"/>
        </w:rPr>
      </w:pPr>
      <w:r>
        <w:rPr>
          <w:rFonts w:ascii="Times New Roman;serif" w:hAnsi="Times New Roman;serif"/>
          <w:b/>
          <w:sz w:val="20"/>
        </w:rPr>
        <w:t>1. Nature of the Business and</w:t>
      </w:r>
      <w:r>
        <w:rPr>
          <w:rFonts w:ascii="Times New Roman" w:hAnsi="Times New Roman"/>
          <w:sz w:val="20"/>
        </w:rPr>
        <w:t xml:space="preserve"> </w:t>
      </w:r>
      <w:r>
        <w:rPr>
          <w:rFonts w:ascii="Times New Roman;serif" w:hAnsi="Times New Roman;serif"/>
          <w:b/>
          <w:sz w:val="20"/>
        </w:rPr>
        <w:t>Basis of Presentation</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Invivyd, Inc., together with its consolidated subsidiaries (the “Company”), is a biopharmaceutical company on a mission to rapidly and perpetually deliver antibody-based therapies that protect vulnerable people from the devastating consequences of circulating viral threats, beginning with SARS-CoV-2. The Company's technology works at the intersection of evolutionary virology, predictive modeling, and antibody engineering, and is designed to identify high-quality, long-lasting antibodies with the potential to resist viral escape. The Company is generating a robust pipeline of product candidates which could be used in prevention or treatment of serious viral diseases, starting with COVID-19 and expanding into influenza and other high-need indications.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March 2023, the Company announced dosing of the first participants in a Phase 1 clinical trial of VYD222, a monoclonal antibody (“mAb”) candidate for prevention of COVID-19. In May 2023, the Company completed the dosing of all participants in the Phase 1 clinical trial. The Phase 1 randomized, blinded, placebo-controlled, dose-ranging trial, which is being conducted in Australia, will evaluate the safety, pharmacokinetics, tolerability, and serum virus neutralizing activity of VYD222 in healthy adult volunteers. The dose-ranging trial will evaluate three different doses, each administered as a single IV push. All doses are designed to provide durability in the face of viral evolution and flexibility at the time of regulatory submission. Additionally, in April 2023, the Company announced that the U.S. Food and Drug Administration (“FDA”) cleared its Investigational New Drug (“IND”) application for VYD222.</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 xml:space="preserve">VYD222 is the Company’s second mAb candidate to enter clinical testing. VYD222 has demonstrated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neutralizing activity against prior and current SARS-CoV-2 variants of concern (“VoCs”), including Omicron sublineages up to and through XBB.1.5. VYD222 was engineered from adintrevimab, the Company’s investigational mAb that has a robust safety data package and demonstrated clinically meaningful results in global Phase 3 clinical trials for both the prevention and treatment of COVID-19.</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Beyond VYD222, the Company plans to leverage its expanded laboratory capabilities and integrated discovery platform to produce additional candidates designed to optimize their ability to stay ahead of the evolving SARS-CoV-2 virus. In addition, the Company continues to engage with regulatory agencies with the goal of streamlining the development of novel antibodies to protect immunocompromised and other high-risk populations against the evolving SARS-CoV-2 virus. The Company is also developing its commercialization approach to determine how best to bring its product candidates, if authorized or approved, to these populations.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Company was incorporated in the State of Delaware in June 2020. The Company operates as a hybrid company with employees working at its corporate headquarters in Waltham, Massachusetts and remotely. In June 2022, and subsequently amended in September 2022, the Company entered into a lease for dedicated laboratory and office space in Newton, Massachusetts for research and development purposes. In 2022, the Company expanded its research team in order to enable internal discovery and development of its mAb candidates, while continuing to leverage the Company’s existing partnership with Adimab, LLC (“Adimab”). The Company is focused on antibody discovery and use of Adimab’s platform technology while building its own internal capabilities. In addition, the Company performs research and development activities internally and engages third parties, including Adimab, to perform ongoing research and development and other services on its behalf.</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is subject to a number of risks and uncertainties common to early-stage companies in the biopharmaceutical industry, including, but not limited to, completing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COVID-19, dependence on key personnel, the ability to attract and retain qualified employees, and reliance on third-party organizations for the discovery, manufacturing, clinical and commercial success of its product candidates.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has not generated any revenue since inception. The Company’s product candidates require significant additional research and development efforts, including extensive clinical testing and regulatory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accompanying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and proceeds from the Company’s initial public offering (“IPO”). The Company has incurred losses and negative cash flows from operations since its inception, including a net loss of $35.3</w:t>
      </w:r>
      <w:r>
        <w:rPr>
          <w:rFonts w:ascii="Times New Roman" w:hAnsi="Times New Roman"/>
          <w:sz w:val="20"/>
        </w:rPr>
        <w:t xml:space="preserve"> </w:t>
      </w:r>
      <w:r>
        <w:rPr>
          <w:rFonts w:ascii="Times New Roman;serif" w:hAnsi="Times New Roman;serif"/>
          <w:b w:val="false"/>
          <w:sz w:val="20"/>
        </w:rPr>
        <w:t>million for the three months ended March 31, 2023. As of March 31, 2023, the Company had an accumulated deficit of $568.7</w:t>
      </w:r>
      <w:r>
        <w:rPr>
          <w:rFonts w:ascii="Times New Roman" w:hAnsi="Times New Roman"/>
          <w:sz w:val="20"/>
        </w:rPr>
        <w:t xml:space="preserve"> </w:t>
      </w:r>
      <w:r>
        <w:rPr>
          <w:rFonts w:ascii="Times New Roman;serif" w:hAnsi="Times New Roman;serif"/>
          <w:b w:val="false"/>
          <w:sz w:val="20"/>
        </w:rPr>
        <w:t>million. The Company expects to continue to generate operating losses for the foreseeable future. The Company expects that its existing cash, cash equivalents and marketable securities will be sufficient to fund its operating expenses and capital expenditure requirements for at least 12 months from the issuance date of the interim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expects to seek additional funding through a combination of equity offerings, government or private-party funding or grants, debt financings, collaborations with other companies, strategic alliances and licensing arrangements. The Company may not be able to obtain financing on acceptable terms, or at all, and the Company may not be able to enter into collaborations or other arrangements. The terms of any financing may adversely affect the holdings or rights of the Company’s stockholders.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pStyle w:val="TextBody"/>
        <w:bidi w:val="0"/>
        <w:spacing w:before="120" w:after="120"/>
        <w:jc w:val="both"/>
        <w:rPr>
          <w:rFonts w:ascii="Times New Roman;serif" w:hAnsi="Times New Roman;serif"/>
          <w:b/>
          <w:i/>
          <w:sz w:val="20"/>
        </w:rPr>
      </w:pPr>
      <w:r>
        <w:rPr>
          <w:rFonts w:ascii="Times New Roman;serif" w:hAnsi="Times New Roman;serif"/>
          <w:b/>
          <w:i/>
          <w:sz w:val="20"/>
        </w:rPr>
        <w:t>Impact of COVID-19 on the Company's Operations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full impact of the COVID-19 pandemic and the disease continues to evolve and change as of the date of this Quarterly Report on Form 10-Q, and such impact will directly affect the potential commercial prospects of VYD222 and other product candidates for the prevention and treatment of COVID-19. The severity of the COVID-19 pandemic, the evolution of the disease and the continued emergence of VoCs, and the availability, administration and acceptance of vaccines, mAbs, antiviral agents and other therapeutic modalities will affect the design and enrollment of the Company’s clinical trials, the potential regulatory authorization or approval of the Company’s product candidates and the commercialization of the Company’s product candidates, if authorized or approved.</w:t>
      </w:r>
    </w:p>
    <w:p>
      <w:pPr>
        <w:pStyle w:val="TextBody"/>
        <w:bidi w:val="0"/>
        <w:spacing w:before="120" w:after="120"/>
        <w:jc w:val="both"/>
        <w:rPr>
          <w:rFonts w:ascii="Times New Roman" w:hAnsi="Times New Roman"/>
          <w:sz w:val="20"/>
        </w:rPr>
      </w:pPr>
      <w:r>
        <w:rPr>
          <w:rFonts w:ascii="Times New Roman;serif" w:hAnsi="Times New Roman;serif"/>
          <w:b w:val="false"/>
          <w:sz w:val="20"/>
        </w:rPr>
        <w:t>Similarly, it is not possible to determine the scale and rate of economic recovery from the pandemic, supply chain disruptions, and labor availability and costs, or the impact of other indirect factors that may be attributable to the pandemic. The ultimate extent of the impact of the COVID-19 pandemic on the Company’s business, financial condition, operations and product development timelines and plans remains uncertain and will depend on future developments, including the duration and spread of outbreaks and the continued emergence of variants, its impact on the Company’s clinical trial design and enrollment, trial sites, clinical research organizations (“CROs”), contract development and manufacturing organizations (“CDMOs”), and other third parties with which the Company does business, as well as its impact on regulatory authorities and the Company’s key scientific and management personnel. To date, the Company has experienced some delays and disruptions in its development activities as a result of the COVID-19 pandemic. Some of the Company’s CROs, CDMOs and other service providers also continue to be impacted. The Company will continue to monitor developments as it addresses the disruptions, delays and uncertainties relating to the COVID-19 pandemic. If the financial markets and/or the overall economy are impacted for an extended period, the Company’s results and operations may be materially adversely affected and may affect the Company’s ability to raise capital.</w:t>
      </w:r>
      <w:r>
        <w:rPr>
          <w:rFonts w:ascii="Times New Roman" w:hAnsi="Times New Roman"/>
          <w:sz w:val="20"/>
        </w:rPr>
        <w:t xml:space="preserve"> </w:t>
      </w:r>
    </w:p>
    <w:p>
      <w:pPr>
        <w:pStyle w:val="TextBody"/>
        <w:bidi w:val="0"/>
        <w:spacing w:before="120" w:after="120"/>
        <w:jc w:val="left"/>
        <w:rPr>
          <w:rFonts w:ascii="Times New Roman;serif" w:hAnsi="Times New Roman;serif"/>
          <w:b/>
          <w:i/>
          <w:sz w:val="20"/>
        </w:rPr>
      </w:pPr>
      <w:r>
        <w:rPr>
          <w:rFonts w:ascii="Times New Roman;serif" w:hAnsi="Times New Roman;serif"/>
          <w:b/>
          <w:i/>
          <w:sz w:val="20"/>
        </w:rPr>
        <w:t>Basis of Presentation</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Company’s condensed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accompanying condensed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sz w:val="20"/>
        </w:rPr>
        <w:t>2. Summary of Significant Accounting Policies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As of March 31, 2023, the Company’s significant accounting policies and estimates, which are detailed in the Company’s Annual Report on Form 10-K for the year ended December 31, 2022, as filed with the U.S. Securities and Exchange Commission (“SEC”) on March 23, 2023 (the “2022 Form 10-K”) have not changed, except as discussed below.</w:t>
      </w:r>
    </w:p>
    <w:p>
      <w:pPr>
        <w:pStyle w:val="TextBody"/>
        <w:bidi w:val="0"/>
        <w:spacing w:before="120" w:after="120"/>
        <w:jc w:val="both"/>
        <w:rPr>
          <w:rFonts w:ascii="Times New Roman" w:hAnsi="Times New Roman"/>
          <w:sz w:val="20"/>
        </w:rPr>
      </w:pPr>
      <w:r>
        <w:rPr>
          <w:rFonts w:ascii="Times New Roman;serif" w:hAnsi="Times New Roman;serif"/>
          <w:b w:val="false"/>
          <w:sz w:val="20"/>
        </w:rPr>
        <w:t>On January 1, 2023, the Company adopted Accounting Standards Update</w:t>
      </w:r>
      <w:r>
        <w:rPr>
          <w:rFonts w:ascii="Times New Roman" w:hAnsi="Times New Roman"/>
          <w:sz w:val="20"/>
        </w:rPr>
        <w:t xml:space="preserve"> </w:t>
      </w:r>
      <w:r>
        <w:rPr>
          <w:rFonts w:ascii="Times New Roman;serif" w:hAnsi="Times New Roman;serif"/>
          <w:b w:val="false"/>
          <w:sz w:val="20"/>
        </w:rPr>
        <w:t>No. 2016-13 (</w:t>
      </w:r>
      <w:r>
        <w:rPr>
          <w:rFonts w:ascii="Times New Roman" w:hAnsi="Times New Roman"/>
          <w:sz w:val="20"/>
        </w:rPr>
        <w:t>“</w:t>
      </w:r>
      <w:r>
        <w:rPr>
          <w:rFonts w:ascii="Times New Roman;serif" w:hAnsi="Times New Roman;serif"/>
          <w:b w:val="false"/>
          <w:sz w:val="20"/>
        </w:rPr>
        <w:t xml:space="preserve">ASU 2016-13”), </w:t>
      </w:r>
      <w:r>
        <w:rPr>
          <w:rFonts w:ascii="Times New Roman;serif" w:hAnsi="Times New Roman;serif"/>
          <w:b w:val="false"/>
          <w:i/>
          <w:sz w:val="20"/>
        </w:rPr>
        <w:t>Financial Instruments-Credit Losses: Measurement of Credit Losses on Financial Instruments</w:t>
      </w:r>
      <w:r>
        <w:rPr>
          <w:rFonts w:ascii="Times New Roman;serif" w:hAnsi="Times New Roman;serif"/>
          <w:b w:val="false"/>
          <w:sz w:val="20"/>
        </w:rPr>
        <w:t>. ASU 2016-13 requires measurement and recognition of expected credit losses for financial assets. In April 2019, the FASB issued clarification to ASU 2016-13 within ASU 2019-04, Codification Improvements to Topic 326, Financial Instruments-Credit Losses, Topic 815, Derivatives and Hedging, and Topic 825, Financial Instruments, or ASU 2016-13. The guidance is effective for fiscal years beginning after December 15, 2022. The adoption of the standard was immaterial to the accompanying condensed consolidated financial statements and related disclosures.</w:t>
      </w:r>
    </w:p>
    <w:p>
      <w:pPr>
        <w:pStyle w:val="TextBody"/>
        <w:bidi w:val="0"/>
        <w:spacing w:before="120" w:after="120"/>
        <w:jc w:val="both"/>
        <w:rPr>
          <w:rFonts w:ascii="Times New Roman;serif" w:hAnsi="Times New Roman;serif"/>
          <w:b/>
          <w:i/>
          <w:sz w:val="20"/>
        </w:rPr>
      </w:pPr>
      <w:r>
        <w:rPr>
          <w:rFonts w:ascii="Times New Roman;serif" w:hAnsi="Times New Roman;serif"/>
          <w:b/>
          <w:i/>
          <w:sz w:val="20"/>
        </w:rPr>
        <w:t>Unaudited Interim Financial Information</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accompanying condensed consolidated balance sheet as of March 31, 2023, the condensed consolidated statements of operations and comprehensive loss for the three months ended March 31, 2023 and 2022, the condensed consolidated statements of cash flows for the three months ended March 31, 2023 and 2022 and the condensed consolidated statements of stockholders’ equity (deficit) for the three months ended March 31, 2023 and 2022 are unaudited.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accompanying unaudited condensed consolidated financial statements as of March 31, 2023 and for the three months ended March 31, 2023 and 2022 have been prepared by the Company pursuant to the rules and regulations of the SEC for interim financial statements. The accompanying condensed consolidated balance sheet as of December 31, 2022 was derived from audited financial statements, but does not include all disclosures required by U.S. GAAP. Certain information and footnote disclosures normally included in the financial statements prepared in accordance with U.S. GAAP have been condensed or omitted pursuant to such rules and regulations. These interim condensed consolidated financial statements should be read in conjunction with the Company’s audited annual consolidated financial statements, and the notes thereto, as of and for the year ended December 31, 2022, which are included in the Company’s 2022 Form 10-K.</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In the opinion of management, all adjustments, consisting only of normal recurring adjustments necessary for a fair statement of the Company’s condensed consolidated financial position as of March 31, 2023 and December 31, 2022, the condensed consolidated results of operations for the three months ended March 31, 2023 and 2022, the condensed consolidated cash flows for the three months ended March 31, 2023 and 2022 and changes in stockholders’ equity (deficit) for the three months ended March 31, 2023 and 2022 have been made. The Company’s condensed consolidated results of operations for the three months ended March 31, 2023 are not necessarily indicative of the results of operations that may be expected for the year ending December 31, 2023.</w:t>
      </w:r>
    </w:p>
    <w:p>
      <w:pPr>
        <w:pStyle w:val="TextBody"/>
        <w:bidi w:val="0"/>
        <w:spacing w:before="120" w:after="120"/>
        <w:jc w:val="both"/>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research and development expenses and related prepaid or accrued costs and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is monitoring the potential impact of the COVID-19 pandemic on its business and condensed consolidated financial statements. The Company is not aware of any specific event or circumstance that would require any update to its estimates or judgments reflected in these condensed consolidated financial statements or a revision of the carrying value of its assets or liabilities as of the issuance date of these condensed consolidated financial statements. These estimates may change as new events occur and additional information is obtained.</w:t>
      </w:r>
      <w:r>
        <w:rPr>
          <w:rFonts w:ascii="Times New Roman" w:hAnsi="Times New Roman"/>
          <w:sz w:val="20"/>
        </w:rPr>
        <w:t xml:space="preserve"> </w:t>
      </w:r>
    </w:p>
    <w:p>
      <w:pPr>
        <w:pStyle w:val="TextBody"/>
        <w:bidi w:val="0"/>
        <w:spacing w:before="120" w:after="120"/>
        <w:jc w:val="both"/>
        <w:rPr>
          <w:rFonts w:ascii="Times New Roman;serif" w:hAnsi="Times New Roman;serif"/>
          <w:b/>
          <w:i/>
          <w:sz w:val="20"/>
        </w:rPr>
      </w:pPr>
      <w:r>
        <w:rPr>
          <w:rFonts w:ascii="Times New Roman;serif" w:hAnsi="Times New Roman;serif"/>
          <w:b/>
          <w:i/>
          <w:sz w:val="20"/>
        </w:rPr>
        <w:t>Recently Issued and Adopted Accounting Pronouncements</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is an “emerging growth company,” as defined in the Jumpstart Our Business Startups Act of 2012 (the “JOBS Act”), and will remain an emerging growth company until the last day of the fiscal year following the fifth anniversary of the completion of its IPO. However, if certain events occur prior to the end of such five-year period, including if it becomes a “large accelerated filer,” its annual gross revenues exceeds $1.235</w:t>
      </w:r>
      <w:r>
        <w:rPr>
          <w:rFonts w:ascii="Times New Roman" w:hAnsi="Times New Roman"/>
          <w:sz w:val="20"/>
        </w:rPr>
        <w:t xml:space="preserve"> </w:t>
      </w:r>
      <w:r>
        <w:rPr>
          <w:rFonts w:ascii="Times New Roman;serif" w:hAnsi="Times New Roman;serif"/>
          <w:b w:val="false"/>
          <w:sz w:val="20"/>
        </w:rPr>
        <w:t>billion or it issues more than $1.0</w:t>
      </w:r>
      <w:r>
        <w:rPr>
          <w:rFonts w:ascii="Times New Roman" w:hAnsi="Times New Roman"/>
          <w:sz w:val="20"/>
        </w:rPr>
        <w:t xml:space="preserve"> </w:t>
      </w:r>
      <w:r>
        <w:rPr>
          <w:rFonts w:ascii="Times New Roman;serif" w:hAnsi="Times New Roman;serif"/>
          <w:b w:val="false"/>
          <w:sz w:val="20"/>
        </w:rPr>
        <w:t>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There have been no new accounting pronouncements or changes to accounting pronouncements that could be expected to materially impact the Company’s unaudited condensed consolidated financial statements during the three months ended March 31, 2023, as compared to the recent accounting pronouncements described in Note 2 of the Company’s condensed consolidated financial statements included in its 2022 Form 10-K.</w:t>
      </w:r>
    </w:p>
    <w:p>
      <w:pPr>
        <w:pStyle w:val="TextBody"/>
        <w:bidi w:val="0"/>
        <w:spacing w:before="120" w:after="120"/>
        <w:jc w:val="both"/>
        <w:rPr>
          <w:rFonts w:ascii="Times New Roman;serif" w:hAnsi="Times New Roman;serif"/>
          <w:b/>
          <w:sz w:val="20"/>
        </w:rPr>
      </w:pPr>
      <w:r>
        <w:rPr>
          <w:rFonts w:ascii="Times New Roman;serif" w:hAnsi="Times New Roman;serif"/>
          <w:b/>
          <w:sz w:val="20"/>
        </w:rPr>
        <w:t>3. Marketable Securities</w:t>
      </w:r>
    </w:p>
    <w:p>
      <w:pPr>
        <w:pStyle w:val="TextBody"/>
        <w:bidi w:val="0"/>
        <w:spacing w:before="120" w:after="80"/>
        <w:jc w:val="both"/>
        <w:rPr>
          <w:rFonts w:ascii="Times New Roman" w:hAnsi="Times New Roman"/>
          <w:sz w:val="20"/>
        </w:rPr>
      </w:pPr>
      <w:r>
        <w:rPr>
          <w:rFonts w:ascii="Times New Roman;serif" w:hAnsi="Times New Roman;serif"/>
          <w:b w:val="false"/>
          <w:sz w:val="20"/>
        </w:rPr>
        <w:t xml:space="preserve">Marketable securities held by the Company are classified as available-for-sale debt securities pursuant to ASC 320, </w:t>
      </w:r>
      <w:r>
        <w:rPr>
          <w:rFonts w:ascii="Times New Roman;serif" w:hAnsi="Times New Roman;serif"/>
          <w:b w:val="false"/>
          <w:i/>
          <w:sz w:val="20"/>
        </w:rPr>
        <w:t>Investments – Debt and Equity Securities</w:t>
      </w:r>
      <w:r>
        <w:rPr>
          <w:rFonts w:ascii="Times New Roman;serif" w:hAnsi="Times New Roman;serif"/>
          <w:b w:val="false"/>
          <w:sz w:val="20"/>
        </w:rPr>
        <w:t>, and carried at fair value in the accompanying condensed consolidated balance sheet on a settlement date basis.</w:t>
      </w:r>
      <w:r>
        <w:rPr>
          <w:rFonts w:ascii="Times New Roman" w:hAnsi="Times New Roman"/>
          <w:sz w:val="20"/>
        </w:rPr>
        <w:t xml:space="preserve"> </w:t>
      </w:r>
    </w:p>
    <w:p>
      <w:pPr>
        <w:pStyle w:val="TextBody"/>
        <w:bidi w:val="0"/>
        <w:spacing w:before="120" w:after="80"/>
        <w:jc w:val="both"/>
        <w:rPr>
          <w:rFonts w:ascii="Times New Roman;serif" w:hAnsi="Times New Roman;serif"/>
          <w:b w:val="false"/>
          <w:sz w:val="20"/>
        </w:rPr>
      </w:pPr>
      <w:r>
        <w:rPr>
          <w:rFonts w:ascii="Times New Roman;serif" w:hAnsi="Times New Roman;serif"/>
          <w:b w:val="false"/>
          <w:sz w:val="20"/>
        </w:rPr>
        <w:t>The following tables summarize the gross unrealized gains, unrealized losses and credit losses of the Company’s marketable securities as of March 31, 2023 and December 31, 2022 (in thousands):</w:t>
      </w:r>
    </w:p>
    <w:tbl>
      <w:tblPr>
        <w:tblW w:w="9918" w:type="dxa"/>
        <w:jc w:val="left"/>
        <w:tblInd w:w="0" w:type="dxa"/>
        <w:tblLayout w:type="fixed"/>
        <w:tblCellMar>
          <w:top w:w="28" w:type="dxa"/>
          <w:left w:w="28" w:type="dxa"/>
          <w:bottom w:w="28" w:type="dxa"/>
          <w:right w:w="28" w:type="dxa"/>
        </w:tblCellMar>
      </w:tblPr>
      <w:tblGrid>
        <w:gridCol w:w="2161"/>
        <w:gridCol w:w="146"/>
        <w:gridCol w:w="265"/>
        <w:gridCol w:w="980"/>
        <w:gridCol w:w="146"/>
        <w:gridCol w:w="146"/>
        <w:gridCol w:w="539"/>
        <w:gridCol w:w="811"/>
        <w:gridCol w:w="146"/>
        <w:gridCol w:w="146"/>
        <w:gridCol w:w="420"/>
        <w:gridCol w:w="960"/>
        <w:gridCol w:w="166"/>
        <w:gridCol w:w="146"/>
        <w:gridCol w:w="403"/>
        <w:gridCol w:w="662"/>
        <w:gridCol w:w="146"/>
        <w:gridCol w:w="146"/>
        <w:gridCol w:w="211"/>
        <w:gridCol w:w="781"/>
        <w:gridCol w:w="3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Credit 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21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90,935</w:t>
            </w:r>
          </w:p>
        </w:tc>
        <w:tc>
          <w:tcPr>
            <w:tcW w:w="391" w:type="dxa"/>
            <w:tcBorders/>
            <w:vAlign w:val="center"/>
          </w:tcPr>
          <w:p>
            <w:pPr>
              <w:pStyle w:val="TableContents"/>
              <w:bidi w:val="0"/>
              <w:spacing w:before="0" w:after="0"/>
              <w:ind w:left="0" w:right="0" w:firstLine="200"/>
              <w:jc w:val="left"/>
              <w:rPr/>
            </w:pPr>
            <w:r>
              <w:rPr/>
              <w:t> </w:t>
            </w:r>
          </w:p>
        </w:tc>
      </w:tr>
      <w:tr>
        <w:trPr/>
        <w:tc>
          <w:tcPr>
            <w:tcW w:w="21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agency securities</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1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financial assets</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207,070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206,955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8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9918" w:type="dxa"/>
        <w:jc w:val="left"/>
        <w:tblInd w:w="0" w:type="dxa"/>
        <w:tblLayout w:type="fixed"/>
        <w:tblCellMar>
          <w:top w:w="28" w:type="dxa"/>
          <w:left w:w="28" w:type="dxa"/>
          <w:bottom w:w="28" w:type="dxa"/>
          <w:right w:w="28" w:type="dxa"/>
        </w:tblCellMar>
      </w:tblPr>
      <w:tblGrid>
        <w:gridCol w:w="2161"/>
        <w:gridCol w:w="146"/>
        <w:gridCol w:w="265"/>
        <w:gridCol w:w="980"/>
        <w:gridCol w:w="146"/>
        <w:gridCol w:w="146"/>
        <w:gridCol w:w="539"/>
        <w:gridCol w:w="811"/>
        <w:gridCol w:w="146"/>
        <w:gridCol w:w="146"/>
        <w:gridCol w:w="420"/>
        <w:gridCol w:w="960"/>
        <w:gridCol w:w="166"/>
        <w:gridCol w:w="146"/>
        <w:gridCol w:w="403"/>
        <w:gridCol w:w="662"/>
        <w:gridCol w:w="146"/>
        <w:gridCol w:w="146"/>
        <w:gridCol w:w="211"/>
        <w:gridCol w:w="781"/>
        <w:gridCol w:w="3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Credit 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21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107,871</w:t>
            </w:r>
          </w:p>
        </w:tc>
        <w:tc>
          <w:tcPr>
            <w:tcW w:w="391" w:type="dxa"/>
            <w:tcBorders/>
            <w:vAlign w:val="center"/>
          </w:tcPr>
          <w:p>
            <w:pPr>
              <w:pStyle w:val="TableContents"/>
              <w:bidi w:val="0"/>
              <w:spacing w:before="0" w:after="0"/>
              <w:ind w:left="0" w:right="0" w:firstLine="200"/>
              <w:jc w:val="left"/>
              <w:rPr/>
            </w:pPr>
            <w:r>
              <w:rPr/>
              <w:t> </w:t>
            </w:r>
          </w:p>
        </w:tc>
      </w:tr>
      <w:tr>
        <w:trPr/>
        <w:tc>
          <w:tcPr>
            <w:tcW w:w="21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agency securities</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172,214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172,044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1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financial assets</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280,187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279,915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80" w:after="120"/>
        <w:jc w:val="both"/>
        <w:rPr>
          <w:rFonts w:ascii="Times New Roman;serif" w:hAnsi="Times New Roman;serif"/>
          <w:b w:val="false"/>
          <w:sz w:val="20"/>
        </w:rPr>
      </w:pPr>
      <w:r>
        <w:rPr>
          <w:rFonts w:ascii="Times New Roman;serif" w:hAnsi="Times New Roman;serif"/>
          <w:b w:val="false"/>
          <w:sz w:val="20"/>
        </w:rPr>
        <w:t>The Company did not record any charges for credit-related impairments for its available-for-sale securities during the three months ended March 31, 2023.</w:t>
      </w:r>
    </w:p>
    <w:p>
      <w:pPr>
        <w:pStyle w:val="TextBody"/>
        <w:bidi w:val="0"/>
        <w:spacing w:before="80" w:after="120"/>
        <w:jc w:val="both"/>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available-for-sale marketable securities held as of March 31, 2023 or December 31, 2022</w:t>
      </w:r>
      <w:r>
        <w:rPr>
          <w:rFonts w:ascii="Times New Roman" w:hAnsi="Times New Roman"/>
          <w:sz w:val="20"/>
        </w:rPr>
        <w:t xml:space="preserve"> </w:t>
      </w:r>
      <w:r>
        <w:rPr>
          <w:rFonts w:ascii="Times New Roman;serif" w:hAnsi="Times New Roman;serif"/>
          <w:b w:val="false"/>
          <w:sz w:val="20"/>
        </w:rPr>
        <w:t>had remaining maturities greater than twelve months.</w:t>
      </w:r>
    </w:p>
    <w:p>
      <w:pPr>
        <w:pStyle w:val="TextBody"/>
        <w:bidi w:val="0"/>
        <w:spacing w:before="120" w:after="120"/>
        <w:jc w:val="both"/>
        <w:rPr>
          <w:rFonts w:ascii="Times New Roman" w:hAnsi="Times New Roman"/>
          <w:sz w:val="20"/>
        </w:rPr>
      </w:pPr>
      <w:r>
        <w:rPr>
          <w:rFonts w:ascii="Times New Roman;serif" w:hAnsi="Times New Roman;serif"/>
          <w:b/>
          <w:sz w:val="20"/>
        </w:rPr>
        <w:t>4. Fair Value Measurements</w:t>
      </w:r>
      <w:r>
        <w:rPr>
          <w:rFonts w:ascii="Times New Roman" w:hAnsi="Times New Roman"/>
          <w:sz w:val="20"/>
        </w:rPr>
        <w:t xml:space="preserve"> </w:t>
      </w:r>
    </w:p>
    <w:p>
      <w:pPr>
        <w:pStyle w:val="TextBody"/>
        <w:bidi w:val="0"/>
        <w:spacing w:before="120" w:after="120"/>
        <w:jc w:val="left"/>
        <w:rPr>
          <w:rFonts w:ascii="Times New Roman;serif" w:hAnsi="Times New Roman;serif"/>
          <w:b/>
          <w:i/>
          <w:sz w:val="20"/>
        </w:rPr>
      </w:pPr>
      <w:r>
        <w:rPr>
          <w:rFonts w:ascii="Times New Roman;serif" w:hAnsi="Times New Roman;serif"/>
          <w:b/>
          <w:i/>
          <w:sz w:val="20"/>
        </w:rPr>
        <w:t>Fair Value Measurements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tbl>
      <w:tblPr>
        <w:tblW w:w="6642" w:type="dxa"/>
        <w:jc w:val="left"/>
        <w:tblInd w:w="0" w:type="dxa"/>
        <w:tblLayout w:type="fixed"/>
        <w:tblCellMar>
          <w:top w:w="28" w:type="dxa"/>
          <w:left w:w="28" w:type="dxa"/>
          <w:bottom w:w="28" w:type="dxa"/>
          <w:right w:w="28" w:type="dxa"/>
        </w:tblCellMar>
      </w:tblPr>
      <w:tblGrid>
        <w:gridCol w:w="161"/>
        <w:gridCol w:w="109"/>
        <w:gridCol w:w="146"/>
        <w:gridCol w:w="62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226"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Level 1 — Quoted prices in active markets for identical assets or liabilities.</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Level 3 — 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Company’s cash equivalents and marketable securities are carried at fair value, determined according to the fair value hierarchy described above. The carrying values of the Company’s accounts payable and accrued expenses approximate their fair values due to the short-term nature of these liabilities.</w:t>
      </w:r>
    </w:p>
    <w:p>
      <w:pPr>
        <w:pStyle w:val="TextBody"/>
        <w:bidi w:val="0"/>
        <w:spacing w:before="120" w:after="80"/>
        <w:jc w:val="both"/>
        <w:rPr>
          <w:rFonts w:ascii="Times New Roman" w:hAnsi="Times New Roman"/>
          <w:sz w:val="20"/>
        </w:rPr>
      </w:pPr>
      <w:r>
        <w:rPr>
          <w:rFonts w:ascii="Times New Roman;serif" w:hAnsi="Times New Roman;serif"/>
          <w:b w:val="false"/>
          <w:sz w:val="20"/>
        </w:rPr>
        <w:t>The following tables present the Company’s fair value hierarchy for its assets and liabilities that are measured at fair value on a recurring basis (in thousands):</w:t>
      </w:r>
      <w:r>
        <w:rPr>
          <w:rFonts w:ascii="Times New Roman" w:hAnsi="Times New Roman"/>
          <w:sz w:val="20"/>
        </w:rPr>
        <w:t xml:space="preserve"> </w:t>
      </w:r>
    </w:p>
    <w:tbl>
      <w:tblPr>
        <w:tblW w:w="7380" w:type="dxa"/>
        <w:jc w:val="left"/>
        <w:tblInd w:w="0" w:type="dxa"/>
        <w:tblLayout w:type="fixed"/>
        <w:tblCellMar>
          <w:top w:w="28" w:type="dxa"/>
          <w:left w:w="28" w:type="dxa"/>
          <w:bottom w:w="28" w:type="dxa"/>
          <w:right w:w="28" w:type="dxa"/>
        </w:tblCellMar>
      </w:tblPr>
      <w:tblGrid>
        <w:gridCol w:w="2161"/>
        <w:gridCol w:w="146"/>
        <w:gridCol w:w="211"/>
        <w:gridCol w:w="781"/>
        <w:gridCol w:w="146"/>
        <w:gridCol w:w="146"/>
        <w:gridCol w:w="211"/>
        <w:gridCol w:w="781"/>
        <w:gridCol w:w="146"/>
        <w:gridCol w:w="146"/>
        <w:gridCol w:w="239"/>
        <w:gridCol w:w="391"/>
        <w:gridCol w:w="146"/>
        <w:gridCol w:w="146"/>
        <w:gridCol w:w="211"/>
        <w:gridCol w:w="781"/>
        <w:gridCol w:w="5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8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w:t>
              <w:br/>
              <w:t>March 31, 2023: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1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216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124,198</w:t>
            </w:r>
          </w:p>
        </w:tc>
        <w:tc>
          <w:tcPr>
            <w:tcW w:w="591" w:type="dxa"/>
            <w:tcBorders/>
            <w:vAlign w:val="center"/>
          </w:tcPr>
          <w:p>
            <w:pPr>
              <w:pStyle w:val="TableContents"/>
              <w:bidi w:val="0"/>
              <w:spacing w:before="0" w:after="0"/>
              <w:ind w:left="0" w:right="0" w:firstLine="200"/>
              <w:jc w:val="left"/>
              <w:rPr/>
            </w:pPr>
            <w:r>
              <w:rPr/>
              <w:t> </w:t>
            </w:r>
          </w:p>
        </w:tc>
      </w:tr>
      <w:tr>
        <w:trPr/>
        <w:tc>
          <w:tcPr>
            <w:tcW w:w="21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216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90,935</w:t>
            </w:r>
          </w:p>
        </w:tc>
        <w:tc>
          <w:tcPr>
            <w:tcW w:w="591" w:type="dxa"/>
            <w:tcBorders/>
            <w:vAlign w:val="center"/>
          </w:tcPr>
          <w:p>
            <w:pPr>
              <w:pStyle w:val="TableContents"/>
              <w:bidi w:val="0"/>
              <w:spacing w:before="0" w:after="0"/>
              <w:ind w:left="0" w:right="0" w:firstLine="400"/>
              <w:jc w:val="left"/>
              <w:rPr/>
            </w:pPr>
            <w:r>
              <w:rPr/>
              <w:t> </w:t>
            </w:r>
          </w:p>
        </w:tc>
      </w:tr>
      <w:tr>
        <w:trPr/>
        <w:tc>
          <w:tcPr>
            <w:tcW w:w="216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Federal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215,133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331,153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7380" w:type="dxa"/>
        <w:jc w:val="left"/>
        <w:tblInd w:w="0" w:type="dxa"/>
        <w:tblLayout w:type="fixed"/>
        <w:tblCellMar>
          <w:top w:w="28" w:type="dxa"/>
          <w:left w:w="28" w:type="dxa"/>
          <w:bottom w:w="28" w:type="dxa"/>
          <w:right w:w="28" w:type="dxa"/>
        </w:tblCellMar>
      </w:tblPr>
      <w:tblGrid>
        <w:gridCol w:w="2161"/>
        <w:gridCol w:w="146"/>
        <w:gridCol w:w="211"/>
        <w:gridCol w:w="781"/>
        <w:gridCol w:w="146"/>
        <w:gridCol w:w="146"/>
        <w:gridCol w:w="211"/>
        <w:gridCol w:w="781"/>
        <w:gridCol w:w="146"/>
        <w:gridCol w:w="146"/>
        <w:gridCol w:w="239"/>
        <w:gridCol w:w="391"/>
        <w:gridCol w:w="146"/>
        <w:gridCol w:w="146"/>
        <w:gridCol w:w="211"/>
        <w:gridCol w:w="781"/>
        <w:gridCol w:w="5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448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Fair Value Measurements at </w:t>
              <w:br/>
              <w:t>December 31, 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1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216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91,050</w:t>
            </w:r>
          </w:p>
        </w:tc>
        <w:tc>
          <w:tcPr>
            <w:tcW w:w="591" w:type="dxa"/>
            <w:tcBorders/>
            <w:vAlign w:val="center"/>
          </w:tcPr>
          <w:p>
            <w:pPr>
              <w:pStyle w:val="TableContents"/>
              <w:bidi w:val="0"/>
              <w:spacing w:before="0" w:after="0"/>
              <w:ind w:left="0" w:right="0" w:firstLine="200"/>
              <w:jc w:val="left"/>
              <w:rPr/>
            </w:pPr>
            <w:r>
              <w:rPr/>
              <w:t> </w:t>
            </w:r>
          </w:p>
        </w:tc>
      </w:tr>
      <w:tr>
        <w:trPr/>
        <w:tc>
          <w:tcPr>
            <w:tcW w:w="21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216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107,871</w:t>
            </w:r>
          </w:p>
        </w:tc>
        <w:tc>
          <w:tcPr>
            <w:tcW w:w="591" w:type="dxa"/>
            <w:tcBorders/>
            <w:vAlign w:val="center"/>
          </w:tcPr>
          <w:p>
            <w:pPr>
              <w:pStyle w:val="TableContents"/>
              <w:bidi w:val="0"/>
              <w:spacing w:before="0" w:after="0"/>
              <w:ind w:left="0" w:right="0" w:firstLine="400"/>
              <w:jc w:val="left"/>
              <w:rPr/>
            </w:pPr>
            <w:r>
              <w:rPr/>
              <w:t> </w:t>
            </w:r>
          </w:p>
        </w:tc>
      </w:tr>
      <w:tr>
        <w:trPr/>
        <w:tc>
          <w:tcPr>
            <w:tcW w:w="216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Federal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172,044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198,921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370,965</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80" w:after="120"/>
        <w:jc w:val="both"/>
        <w:rPr>
          <w:rFonts w:ascii="Times New Roman" w:hAnsi="Times New Roman"/>
          <w:sz w:val="20"/>
        </w:rPr>
      </w:pPr>
      <w:r>
        <w:rPr>
          <w:rFonts w:ascii="Times New Roman;serif" w:hAnsi="Times New Roman;serif"/>
          <w:b w:val="false"/>
          <w:sz w:val="20"/>
        </w:rPr>
        <w:t>The money market funds and U.S. Treasury securities were valued by the Company based on quoted market prices, which represent a Level 1 measurement within the fair value hierarchy.</w:t>
      </w:r>
      <w:r>
        <w:rPr>
          <w:rFonts w:ascii="Times New Roman" w:hAnsi="Times New Roman"/>
          <w:sz w:val="20"/>
        </w:rPr>
        <w:t xml:space="preserve"> </w:t>
      </w:r>
    </w:p>
    <w:p>
      <w:pPr>
        <w:pStyle w:val="TextBody"/>
        <w:bidi w:val="0"/>
        <w:spacing w:before="80" w:after="120"/>
        <w:jc w:val="both"/>
        <w:rPr>
          <w:rFonts w:ascii="Times New Roman" w:hAnsi="Times New Roman"/>
          <w:sz w:val="20"/>
        </w:rPr>
      </w:pPr>
      <w:r>
        <w:rPr>
          <w:rFonts w:ascii="Times New Roman;serif" w:hAnsi="Times New Roman;serif"/>
          <w:b w:val="false"/>
          <w:sz w:val="20"/>
        </w:rPr>
        <w:t>The Company’s marketable securities also consisted of federal agency securities, which were valued based on Level 2 inputs. In determining the fair value of its federal agency securities, the Company relied on quoted prices for similar securities in active markets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0" w:after="120"/>
        <w:jc w:val="both"/>
        <w:rPr>
          <w:rFonts w:ascii="Times New Roman;serif" w:hAnsi="Times New Roman;serif"/>
          <w:b w:val="false"/>
          <w:sz w:val="20"/>
        </w:rPr>
      </w:pPr>
      <w:r>
        <w:rPr>
          <w:rFonts w:ascii="Times New Roman;serif" w:hAnsi="Times New Roman;serif"/>
          <w:b w:val="false"/>
          <w:sz w:val="20"/>
        </w:rPr>
        <w:t>or other inputs that are observable or can be corroborated by observable market data. Since federal agency securities typically do not trade as U.S. government agency securities and no exchange exists to price such investments, they are recognized as Level 2 assets.</w:t>
      </w:r>
    </w:p>
    <w:p>
      <w:pPr>
        <w:pStyle w:val="TextBody"/>
        <w:bidi w:val="0"/>
        <w:spacing w:before="80" w:after="120"/>
        <w:jc w:val="both"/>
        <w:rPr>
          <w:rFonts w:ascii="Times New Roman;serif" w:hAnsi="Times New Roman;serif"/>
          <w:b w:val="false"/>
          <w:sz w:val="20"/>
        </w:rPr>
      </w:pPr>
      <w:r>
        <w:rPr>
          <w:rFonts w:ascii="Times New Roman;serif" w:hAnsi="Times New Roman;serif"/>
          <w:b w:val="false"/>
          <w:sz w:val="20"/>
        </w:rPr>
        <w:t>There were no changes to the valuation methods during the three months ended March 31, 2023 or 2022.</w:t>
      </w:r>
    </w:p>
    <w:p>
      <w:pPr>
        <w:pStyle w:val="TextBody"/>
        <w:bidi w:val="0"/>
        <w:spacing w:before="80" w:after="120"/>
        <w:jc w:val="both"/>
        <w:rPr>
          <w:rFonts w:ascii="Times New Roman" w:hAnsi="Times New Roman"/>
          <w:sz w:val="20"/>
        </w:rPr>
      </w:pPr>
      <w:r>
        <w:rPr>
          <w:rFonts w:ascii="Times New Roman;serif" w:hAnsi="Times New Roman;serif"/>
          <w:b w:val="false"/>
          <w:sz w:val="20"/>
        </w:rPr>
        <w:t>The Company evaluates transfers between levels at the end of each reporting period. There were no</w:t>
      </w:r>
      <w:r>
        <w:rPr>
          <w:rFonts w:ascii="Times New Roman" w:hAnsi="Times New Roman"/>
          <w:sz w:val="20"/>
        </w:rPr>
        <w:t xml:space="preserve"> </w:t>
      </w:r>
      <w:r>
        <w:rPr>
          <w:rFonts w:ascii="Times New Roman;serif" w:hAnsi="Times New Roman;serif"/>
          <w:b w:val="false"/>
          <w:sz w:val="20"/>
        </w:rPr>
        <w:t>transfers into or out of Level 1, Level 2 or Level 3 fair value measurements during the three months ended March 31, 2023</w:t>
      </w:r>
      <w:r>
        <w:rPr>
          <w:rFonts w:ascii="Times New Roman" w:hAnsi="Times New Roman"/>
          <w:sz w:val="20"/>
        </w:rPr>
        <w:t xml:space="preserve"> </w:t>
      </w:r>
      <w:r>
        <w:rPr>
          <w:rFonts w:ascii="Times New Roman;serif" w:hAnsi="Times New Roman;serif"/>
          <w:b w:val="false"/>
          <w:sz w:val="20"/>
        </w:rPr>
        <w:t>or 2022.</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sz w:val="20"/>
        </w:rPr>
        <w:t>5. Prepaid Expenses and Other Current Assets</w:t>
      </w:r>
      <w:r>
        <w:rPr>
          <w:rFonts w:ascii="Times New Roman" w:hAnsi="Times New Roman"/>
          <w:sz w:val="20"/>
        </w:rPr>
        <w:t xml:space="preserve"> </w:t>
      </w:r>
    </w:p>
    <w:p>
      <w:pPr>
        <w:pStyle w:val="TextBody"/>
        <w:bidi w:val="0"/>
        <w:spacing w:before="120" w:after="80"/>
        <w:jc w:val="both"/>
        <w:rPr>
          <w:rFonts w:ascii="Times New Roman" w:hAnsi="Times New Roman"/>
          <w:sz w:val="20"/>
        </w:rPr>
      </w:pPr>
      <w:r>
        <w:rPr>
          <w:rFonts w:ascii="Times New Roman;serif" w:hAnsi="Times New Roman;serif"/>
          <w:b w:val="false"/>
          <w:sz w:val="20"/>
        </w:rPr>
        <w:t>Prepaid expenses and other current assets consisted of the following (in thousands):</w:t>
      </w:r>
      <w:r>
        <w:rPr>
          <w:rFonts w:ascii="Times New Roman" w:hAnsi="Times New Roman"/>
          <w:sz w:val="20"/>
        </w:rPr>
        <w:t xml:space="preserve"> </w:t>
      </w:r>
    </w:p>
    <w:tbl>
      <w:tblPr>
        <w:tblW w:w="7937" w:type="dxa"/>
        <w:jc w:val="left"/>
        <w:tblInd w:w="0" w:type="dxa"/>
        <w:tblLayout w:type="fixed"/>
        <w:tblCellMar>
          <w:top w:w="28" w:type="dxa"/>
          <w:left w:w="28" w:type="dxa"/>
          <w:bottom w:w="28" w:type="dxa"/>
          <w:right w:w="28" w:type="dxa"/>
        </w:tblCellMar>
      </w:tblPr>
      <w:tblGrid>
        <w:gridCol w:w="5326"/>
        <w:gridCol w:w="146"/>
        <w:gridCol w:w="211"/>
        <w:gridCol w:w="676"/>
        <w:gridCol w:w="146"/>
        <w:gridCol w:w="146"/>
        <w:gridCol w:w="294"/>
        <w:gridCol w:w="801"/>
        <w:gridCol w:w="191"/>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external research, development and manufacturing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w:t>
            </w:r>
          </w:p>
        </w:tc>
        <w:tc>
          <w:tcPr>
            <w:tcW w:w="191"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insurance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2,392</w:t>
            </w:r>
          </w:p>
        </w:tc>
        <w:tc>
          <w:tcPr>
            <w:tcW w:w="191"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compensation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1,314</w:t>
            </w:r>
          </w:p>
        </w:tc>
        <w:tc>
          <w:tcPr>
            <w:tcW w:w="191"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6. Accrued Expenses</w:t>
      </w:r>
      <w:r>
        <w:rPr>
          <w:rFonts w:ascii="Times New Roman" w:hAnsi="Times New Roman"/>
          <w:sz w:val="20"/>
        </w:rPr>
        <w:t xml:space="preserve"> </w:t>
      </w:r>
    </w:p>
    <w:p>
      <w:pPr>
        <w:pStyle w:val="TextBody"/>
        <w:bidi w:val="0"/>
        <w:spacing w:before="120" w:after="80"/>
        <w:jc w:val="both"/>
        <w:rPr>
          <w:rFonts w:ascii="Times New Roman" w:hAnsi="Times New Roman"/>
          <w:sz w:val="20"/>
        </w:rPr>
      </w:pPr>
      <w:r>
        <w:rPr>
          <w:rFonts w:ascii="Times New Roman;serif" w:hAnsi="Times New Roman;serif"/>
          <w:b w:val="false"/>
          <w:sz w:val="20"/>
        </w:rPr>
        <w:t>Accrued expenses consisted of the following (in thousands):</w:t>
      </w:r>
      <w:r>
        <w:rPr>
          <w:rFonts w:ascii="Times New Roman" w:hAnsi="Times New Roman"/>
          <w:sz w:val="20"/>
        </w:rPr>
        <w:t xml:space="preserve"> </w:t>
      </w:r>
    </w:p>
    <w:tbl>
      <w:tblPr>
        <w:tblW w:w="7997" w:type="dxa"/>
        <w:jc w:val="left"/>
        <w:tblInd w:w="0" w:type="dxa"/>
        <w:tblLayout w:type="fixed"/>
        <w:tblCellMar>
          <w:top w:w="28" w:type="dxa"/>
          <w:left w:w="28" w:type="dxa"/>
          <w:bottom w:w="28" w:type="dxa"/>
          <w:right w:w="28" w:type="dxa"/>
        </w:tblCellMar>
      </w:tblPr>
      <w:tblGrid>
        <w:gridCol w:w="5386"/>
        <w:gridCol w:w="146"/>
        <w:gridCol w:w="211"/>
        <w:gridCol w:w="676"/>
        <w:gridCol w:w="146"/>
        <w:gridCol w:w="146"/>
        <w:gridCol w:w="260"/>
        <w:gridCol w:w="835"/>
        <w:gridCol w:w="19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external research, development and manufacturing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13,955</w:t>
            </w:r>
          </w:p>
        </w:tc>
        <w:tc>
          <w:tcPr>
            <w:tcW w:w="19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and consultant fees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1,153</w:t>
            </w:r>
          </w:p>
        </w:tc>
        <w:tc>
          <w:tcPr>
            <w:tcW w:w="19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employee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5,985</w:t>
            </w:r>
          </w:p>
        </w:tc>
        <w:tc>
          <w:tcPr>
            <w:tcW w:w="19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21,911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120"/>
        <w:jc w:val="both"/>
        <w:rPr>
          <w:rFonts w:ascii="Times New Roman" w:hAnsi="Times New Roman"/>
          <w:sz w:val="20"/>
        </w:rPr>
      </w:pPr>
      <w:r>
        <w:rPr>
          <w:rFonts w:ascii="Times New Roman;serif" w:hAnsi="Times New Roman;serif"/>
          <w:b/>
          <w:sz w:val="20"/>
        </w:rPr>
        <w:t>7. License and Collaboration Agreements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i/>
          <w:sz w:val="20"/>
        </w:rPr>
        <w:t>Adimab Assignment Agreement</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pStyle w:val="TextBody"/>
        <w:bidi w:val="0"/>
        <w:spacing w:before="120" w:after="120"/>
        <w:jc w:val="both"/>
        <w:rPr>
          <w:rFonts w:ascii="Times New Roman" w:hAnsi="Times New Roman"/>
          <w:sz w:val="20"/>
        </w:rPr>
      </w:pPr>
      <w:r>
        <w:rPr>
          <w:rFonts w:ascii="Times New Roman;serif" w:hAnsi="Times New Roman;serif"/>
          <w:b w:val="false"/>
          <w:sz w:val="20"/>
        </w:rPr>
        <w:t>Amounts</w:t>
      </w:r>
      <w:r>
        <w:rPr>
          <w:rFonts w:ascii="Times New Roman" w:hAnsi="Times New Roman"/>
          <w:sz w:val="20"/>
        </w:rPr>
        <w:t xml:space="preserve"> </w:t>
      </w:r>
      <w:r>
        <w:rPr>
          <w:rFonts w:ascii="Times New Roman;serif" w:hAnsi="Times New Roman;serif"/>
          <w:b w:val="false"/>
          <w:sz w:val="20"/>
        </w:rPr>
        <w:t>paid with respect to services performed by Adimab on the Company’s behalf under the Adimab Assignment Agreement are recognized as research and development expense as such amounts are incurred. During the three months ended March 31, 2023, the Company did not recognize any research and development expense with respect to services performed by Adimab on the Company's behalf under the Adimab Assignment Agreement. During the three months ended March 31, 2022, the Company recognized $0.3</w:t>
      </w:r>
      <w:r>
        <w:rPr>
          <w:rFonts w:ascii="Times New Roman" w:hAnsi="Times New Roman"/>
          <w:sz w:val="20"/>
        </w:rPr>
        <w:t xml:space="preserve"> </w:t>
      </w:r>
      <w:r>
        <w:rPr>
          <w:rFonts w:ascii="Times New Roman;serif" w:hAnsi="Times New Roman;serif"/>
          <w:b w:val="false"/>
          <w:sz w:val="20"/>
        </w:rPr>
        <w:t>million of research and development expense with respect to services performed by Adimab on the Company’s behalf under the Adimab Assignment Agreement. Please refer to Note 15 for additional information.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is obligated to pay Adimab up to $16.5</w:t>
      </w:r>
      <w:r>
        <w:rPr>
          <w:rFonts w:ascii="Times New Roman" w:hAnsi="Times New Roman"/>
          <w:sz w:val="20"/>
        </w:rPr>
        <w:t xml:space="preserve"> </w:t>
      </w:r>
      <w:r>
        <w:rPr>
          <w:rFonts w:ascii="Times New Roman;serif" w:hAnsi="Times New Roman;serif"/>
          <w:b w:val="false"/>
          <w:sz w:val="20"/>
        </w:rPr>
        <w:t>million upon the achievement of specified development and regulatory milestones for the first Product under the agreement that achieves such specified milestones and up to $8.1</w:t>
      </w:r>
      <w:r>
        <w:rPr>
          <w:rFonts w:ascii="Times New Roman" w:hAnsi="Times New Roman"/>
          <w:sz w:val="20"/>
        </w:rPr>
        <w:t xml:space="preserve"> </w:t>
      </w:r>
      <w:r>
        <w:rPr>
          <w:rFonts w:ascii="Times New Roman;serif" w:hAnsi="Times New Roman;serif"/>
          <w:b w:val="false"/>
          <w:sz w:val="20"/>
        </w:rPr>
        <w:t>million upon the achievement of specified development and regulatory milestones for the second Product under the agreement that achieves such specified milestones. The maximum aggregate amount of milestone payments payable under the agreement for any and all Products is $24.6</w:t>
      </w:r>
      <w:r>
        <w:rPr>
          <w:rFonts w:ascii="Times New Roman" w:hAnsi="Times New Roman"/>
          <w:sz w:val="20"/>
        </w:rPr>
        <w:t xml:space="preserve"> </w:t>
      </w:r>
      <w:r>
        <w:rPr>
          <w:rFonts w:ascii="Times New Roman;serif" w:hAnsi="Times New Roman;serif"/>
          <w:b w:val="false"/>
          <w:sz w:val="20"/>
        </w:rPr>
        <w:t>million, of which $7.5</w:t>
      </w:r>
      <w:r>
        <w:rPr>
          <w:rFonts w:ascii="Times New Roman" w:hAnsi="Times New Roman"/>
          <w:sz w:val="20"/>
        </w:rPr>
        <w:t xml:space="preserve"> </w:t>
      </w:r>
      <w:r>
        <w:rPr>
          <w:rFonts w:ascii="Times New Roman;serif" w:hAnsi="Times New Roman;serif"/>
          <w:b w:val="false"/>
          <w:sz w:val="20"/>
        </w:rPr>
        <w:t xml:space="preserve">million had been paid as of March 31, 2023; however, milestone payments do not accrue for certain </w:t>
      </w:r>
      <w:r>
        <w:rPr>
          <w:rFonts w:ascii="Times New Roman;serif" w:hAnsi="Times New Roman;serif"/>
          <w:b w:val="false"/>
          <w:i/>
          <w:sz w:val="20"/>
        </w:rPr>
        <w:t xml:space="preserve">in vitro </w:t>
      </w:r>
      <w:r>
        <w:rPr>
          <w:rFonts w:ascii="Times New Roman;serif" w:hAnsi="Times New Roman;serif"/>
          <w:b w:val="false"/>
          <w:sz w:val="20"/>
        </w:rPr>
        <w:t>diagnostic devices consisting of or containing CoV Antibodies.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March 2023, the Company achieved the first specified milestone for the second product candidate under the Adimab Assignment Agreement upon dosing of the first subject in a Phase 1 clinical trial evaluating VYD222, which obligated the Company to make a $0.4</w:t>
      </w:r>
      <w:r>
        <w:rPr>
          <w:rFonts w:ascii="Times New Roman" w:hAnsi="Times New Roman"/>
          <w:sz w:val="20"/>
        </w:rPr>
        <w:t xml:space="preserve"> </w:t>
      </w:r>
      <w:r>
        <w:rPr>
          <w:rFonts w:ascii="Times New Roman;serif" w:hAnsi="Times New Roman;serif"/>
          <w:b w:val="false"/>
          <w:sz w:val="20"/>
        </w:rPr>
        <w:t>million milestone payment to Adimab and was recognized as acquired in-process research and development (“IPR&amp;D”) expense during the three months ended March 31, 2023. During the three months ended March 31, 2022, the Company did not recognize any IPR&amp;D expense with respect to contingent consideration payable under the Adimab Assignment Agreement. The next potential milestone under the Adimab Assignment Agreement is a low single-digit million-dollar milestone related to dosing of the first subject in a pivotal trial evaluating VYD222, which was not considered probable under U.S. GAAP and therefore, no expense was recognized as of March 31, 2023.</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is obligated to pay Adimab royalties of a mid-single-digit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milestone payments of $7.5</w:t>
      </w:r>
      <w:r>
        <w:rPr>
          <w:rFonts w:ascii="Times New Roman" w:hAnsi="Times New Roman"/>
          <w:sz w:val="20"/>
        </w:rPr>
        <w:t xml:space="preserve"> </w:t>
      </w:r>
      <w:r>
        <w:rPr>
          <w:rFonts w:ascii="Times New Roman;serif" w:hAnsi="Times New Roman;serif"/>
          <w:b w:val="false"/>
          <w:sz w:val="20"/>
        </w:rPr>
        <w:t>million incurred through December 31, 2022 and a $0.4</w:t>
      </w:r>
      <w:r>
        <w:rPr>
          <w:rFonts w:ascii="Times New Roman" w:hAnsi="Times New Roman"/>
          <w:sz w:val="20"/>
        </w:rPr>
        <w:t xml:space="preserve"> </w:t>
      </w:r>
      <w:r>
        <w:rPr>
          <w:rFonts w:ascii="Times New Roman;serif" w:hAnsi="Times New Roman;serif"/>
          <w:b w:val="false"/>
          <w:sz w:val="20"/>
        </w:rPr>
        <w:t>million milestone payment incurred during the three months ended March 31, 2023, no other milestone, royalty or other contingent payments had become due to Adimab through March 31, 2023.</w:t>
      </w:r>
    </w:p>
    <w:p>
      <w:pPr>
        <w:pStyle w:val="TextBody"/>
        <w:bidi w:val="0"/>
        <w:spacing w:before="120" w:after="120"/>
        <w:jc w:val="both"/>
        <w:rPr>
          <w:rFonts w:ascii="Times New Roman" w:hAnsi="Times New Roman"/>
          <w:sz w:val="20"/>
        </w:rPr>
      </w:pPr>
      <w:r>
        <w:rPr>
          <w:rFonts w:ascii="Times New Roman;serif" w:hAnsi="Times New Roman;serif"/>
          <w:b w:val="false"/>
          <w:sz w:val="20"/>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r>
        <w:rPr>
          <w:rFonts w:ascii="Times New Roman" w:hAnsi="Times New Roman"/>
          <w:sz w:val="20"/>
        </w:rPr>
        <w:t xml:space="preserve"> </w:t>
      </w:r>
    </w:p>
    <w:p>
      <w:pPr>
        <w:pStyle w:val="TextBody"/>
        <w:bidi w:val="0"/>
        <w:spacing w:before="120" w:after="120"/>
        <w:jc w:val="both"/>
        <w:rPr>
          <w:rFonts w:ascii="Times New Roman;serif" w:hAnsi="Times New Roman;serif"/>
          <w:b/>
          <w:i/>
          <w:sz w:val="20"/>
        </w:rPr>
      </w:pPr>
      <w:r>
        <w:rPr>
          <w:rFonts w:ascii="Times New Roman;serif" w:hAnsi="Times New Roman;serif"/>
          <w:b/>
          <w:i/>
          <w:sz w:val="20"/>
        </w:rPr>
        <w:t>Adimab Collaboration Agreement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In May 2021, the Company entered into a Collaboration Agreement with Adimab, as amended in November 2022 (the “Adimab Collaboration Agreement”) for the discovery and optimization of proprietary antibodies as potential therapeutic product candidates. Under the Adimab Collaboration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is obligated to pay Adimab a quarterly fee of $1.3</w:t>
      </w:r>
      <w:r>
        <w:rPr>
          <w:rFonts w:ascii="Times New Roman" w:hAnsi="Times New Roman"/>
          <w:sz w:val="20"/>
        </w:rPr>
        <w:t xml:space="preserve"> </w:t>
      </w:r>
      <w:r>
        <w:rPr>
          <w:rFonts w:ascii="Times New Roman;serif" w:hAnsi="Times New Roman;serif"/>
          <w:b w:val="false"/>
          <w:sz w:val="20"/>
        </w:rPr>
        <w:t>million, which may be cancelled at the Company’s option at any time. For so long as the Company is paying such quarterly fee (or earlier if (i)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During both the three months ended March 31, 2023</w:t>
      </w:r>
      <w:r>
        <w:rPr>
          <w:rFonts w:ascii="Times New Roman" w:hAnsi="Times New Roman"/>
          <w:sz w:val="20"/>
        </w:rPr>
        <w:t xml:space="preserve"> </w:t>
      </w:r>
      <w:r>
        <w:rPr>
          <w:rFonts w:ascii="Times New Roman;serif" w:hAnsi="Times New Roman;serif"/>
          <w:b w:val="false"/>
          <w:sz w:val="20"/>
        </w:rPr>
        <w:t>and 2022, the Company recognized $1.3</w:t>
      </w:r>
      <w:r>
        <w:rPr>
          <w:rFonts w:ascii="Times New Roman" w:hAnsi="Times New Roman"/>
          <w:sz w:val="20"/>
        </w:rPr>
        <w:t xml:space="preserve"> </w:t>
      </w:r>
      <w:r>
        <w:rPr>
          <w:rFonts w:ascii="Times New Roman;serif" w:hAnsi="Times New Roman;serif"/>
          <w:b w:val="false"/>
          <w:sz w:val="20"/>
        </w:rPr>
        <w:t>million of research and development expense related to the quarterly fee.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20"/>
        </w:rPr>
        <w:t>For each agreed upon research program that is commenced, the Company is obligated to pay Adimab quarterly for its services performed during a given research program at a specified full-time equivalent rate; a discovery delivery fee of $0.2</w:t>
      </w:r>
      <w:r>
        <w:rPr>
          <w:rFonts w:ascii="Times New Roman" w:hAnsi="Times New Roman"/>
          <w:sz w:val="20"/>
        </w:rPr>
        <w:t xml:space="preserve"> </w:t>
      </w:r>
      <w:r>
        <w:rPr>
          <w:rFonts w:ascii="Times New Roman;serif" w:hAnsi="Times New Roman;serif"/>
          <w:b w:val="false"/>
          <w:sz w:val="20"/>
        </w:rPr>
        <w:t>million; and an optimization completion fee of $0.2</w:t>
      </w:r>
      <w:r>
        <w:rPr>
          <w:rFonts w:ascii="Times New Roman" w:hAnsi="Times New Roman"/>
          <w:sz w:val="20"/>
        </w:rPr>
        <w:t xml:space="preserve"> </w:t>
      </w:r>
      <w:r>
        <w:rPr>
          <w:rFonts w:ascii="Times New Roman;serif" w:hAnsi="Times New Roman;serif"/>
          <w:b w:val="false"/>
          <w:sz w:val="20"/>
        </w:rPr>
        <w:t>million. For each option exercised by the Company to commercialize a specific research program, the Company is obligated to pay Adimab an exercise fee of $1.0</w:t>
      </w:r>
      <w:r>
        <w:rPr>
          <w:rFonts w:ascii="Times New Roman" w:hAnsi="Times New Roman"/>
          <w:sz w:val="20"/>
        </w:rPr>
        <w:t xml:space="preserve"> </w:t>
      </w:r>
      <w:r>
        <w:rPr>
          <w:rFonts w:ascii="Times New Roman;serif" w:hAnsi="Times New Roman;serif"/>
          <w:b w:val="false"/>
          <w:sz w:val="20"/>
        </w:rPr>
        <w:t>million. Amounts paid with respect to services performed by Adimab on the Company’s behalf in each of the research programs under the Adimab Collaboration Agreement are recognized as research and development expense as such amounts are incurred and services are rendered. During the three months ended March 31, 2023</w:t>
      </w:r>
      <w:r>
        <w:rPr>
          <w:rFonts w:ascii="Times New Roman" w:hAnsi="Times New Roman"/>
          <w:sz w:val="20"/>
        </w:rPr>
        <w:t xml:space="preserve"> </w:t>
      </w:r>
      <w:r>
        <w:rPr>
          <w:rFonts w:ascii="Times New Roman;serif" w:hAnsi="Times New Roman;serif"/>
          <w:b w:val="false"/>
          <w:sz w:val="20"/>
        </w:rPr>
        <w:t>and 2022, the Company recognized $0.2</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 of research and development expense</w:t>
      </w:r>
      <w:r>
        <w:rPr>
          <w:rFonts w:ascii="Times New Roman" w:hAnsi="Times New Roman"/>
          <w:sz w:val="20"/>
        </w:rPr>
        <w:t xml:space="preserve"> </w:t>
      </w:r>
      <w:r>
        <w:rPr>
          <w:rFonts w:ascii="Times New Roman;serif" w:hAnsi="Times New Roman;serif"/>
          <w:b w:val="false"/>
          <w:sz w:val="20"/>
        </w:rPr>
        <w:t>with respect to services performed by Adimab on the Company's behalf under the Adimab Collaboration Agreement. During both the three months ended March 31, 2023 and 2022, the Company did not recognize any IPR&amp;D expense related to drug delivery fees, optimization completion fees or option exercise fees. Please refer to Note 15 for additional information.</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is obligated to pay Adimab up to $18.0</w:t>
      </w:r>
      <w:r>
        <w:rPr>
          <w:rFonts w:ascii="Times New Roman" w:hAnsi="Times New Roman"/>
          <w:sz w:val="20"/>
        </w:rPr>
        <w:t xml:space="preserve"> </w:t>
      </w:r>
      <w:r>
        <w:rPr>
          <w:rFonts w:ascii="Times New Roman;serif" w:hAnsi="Times New Roman;serif"/>
          <w:b w:val="false"/>
          <w:sz w:val="20"/>
        </w:rPr>
        <w:t>million upon the achievement of specified development and regulatory milestones for each product under the Adimab Collaboration Agreement that achieves such milestones. The next potential milestone under the Adimab Collaboration Agreement is a low single-digit million-dollar milestone related to dosing of the first subject in a Phase 1 trial, which was not considered probable under U.S. GAAP and therefore, no expense was recognized as of March 31, 2023.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March 31, 2023, the Company had not paid any royalties to Adimab under the Adimab Collaboration Agreement.</w:t>
      </w:r>
    </w:p>
    <w:p>
      <w:pPr>
        <w:pStyle w:val="TextBody"/>
        <w:bidi w:val="0"/>
        <w:spacing w:before="120" w:after="120"/>
        <w:jc w:val="both"/>
        <w:rPr>
          <w:rFonts w:ascii="Times New Roman" w:hAnsi="Times New Roman"/>
          <w:sz w:val="20"/>
        </w:rPr>
      </w:pPr>
      <w:r>
        <w:rPr>
          <w:rFonts w:ascii="Times New Roman;serif" w:hAnsi="Times New Roman;serif"/>
          <w:b w:val="false"/>
          <w:sz w:val="20"/>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pStyle w:val="TextBody"/>
        <w:bidi w:val="0"/>
        <w:spacing w:before="120" w:after="120"/>
        <w:jc w:val="both"/>
        <w:rPr>
          <w:rFonts w:ascii="Times New Roman;serif" w:hAnsi="Times New Roman;serif"/>
          <w:b/>
          <w:i/>
          <w:sz w:val="20"/>
        </w:rPr>
      </w:pPr>
      <w:r>
        <w:rPr>
          <w:rFonts w:ascii="Times New Roman;serif" w:hAnsi="Times New Roman;serif"/>
          <w:b/>
          <w:i/>
          <w:sz w:val="20"/>
        </w:rPr>
        <w:t>Adimab Platform Transfer Agreement</w:t>
      </w:r>
    </w:p>
    <w:p>
      <w:pPr>
        <w:pStyle w:val="TextBody"/>
        <w:bidi w:val="0"/>
        <w:spacing w:before="120" w:after="120"/>
        <w:jc w:val="both"/>
        <w:rPr>
          <w:rFonts w:ascii="Times New Roman" w:hAnsi="Times New Roman"/>
          <w:sz w:val="20"/>
        </w:rPr>
      </w:pPr>
      <w:r>
        <w:rPr>
          <w:rFonts w:ascii="Times New Roman;serif" w:hAnsi="Times New Roman;serif"/>
          <w:b w:val="false"/>
          <w:sz w:val="20"/>
        </w:rPr>
        <w:t>In September 2022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will be transferred to the Company in accordance with the terms of the Adimab Platform Transfer Agreement. In September 2022, the Company recognized $3.0</w:t>
      </w:r>
      <w:r>
        <w:rPr>
          <w:rFonts w:ascii="Times New Roman" w:hAnsi="Times New Roman"/>
          <w:sz w:val="20"/>
        </w:rPr>
        <w:t xml:space="preserve"> </w:t>
      </w:r>
      <w:r>
        <w:rPr>
          <w:rFonts w:ascii="Times New Roman;serif" w:hAnsi="Times New Roman;serif"/>
          <w:b w:val="false"/>
          <w:sz w:val="20"/>
        </w:rPr>
        <w:t>million as IPR&amp;D expense in connection with the upfront consideration payable for the rights assigned pursuant to the Adimab Platform Transfer Agreement.</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is obligated to pay Adimab an annual fee of single digit millions on each of the first four anniversaries of the Effective Date, which will allow the Company to receive material improvements to the platform technology, including materially improved antibody optimization libraries, updates that provide new functionality to the platform, and software upgrades, from Adimab through June 2027. The first annual fee will become due in September 2023. Beginning in July 2027 and ending in June 2042, unless terminated earlier, the Company has the option to receive additional material improvements to the platform technology from Adimab, subject to a commercially reasonable fee to be negotiated by the parties.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is obligated to pay Adimab up to $9.5</w:t>
      </w:r>
      <w:r>
        <w:rPr>
          <w:rFonts w:ascii="Times New Roman" w:hAnsi="Times New Roman"/>
          <w:sz w:val="20"/>
        </w:rPr>
        <w:t xml:space="preserve"> </w:t>
      </w:r>
      <w:r>
        <w:rPr>
          <w:rFonts w:ascii="Times New Roman;serif" w:hAnsi="Times New Roman;serif"/>
          <w:b w:val="false"/>
          <w:sz w:val="20"/>
        </w:rPr>
        <w:t>million upon the achievement of specified development and regulatory milestones for each product under the Adimab Platform Transfer Agreement that achieves such milestones. The next potential milestone under the Adimab Platform Transfer Agreement is a mid-six-digit dollar milestone related to the start of IND-enabling toxicology studies, which was not considered probable under U.S. GAAP and therefore, no expense was recognized as of March 31, 2023.</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20"/>
        </w:rPr>
        <w:t>In addition, the Company is obligated to pay Adimab royalties of a low single-digit percentage based on net sales of products containing an antibody discovered, engineered or optimized using Adimab’s platform technology, once commercialized. The royalty rate is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March 31, 2023, the Company had not paid any royalties to Adimab under the Adimab Platform Transfer Agreement.</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pStyle w:val="TextBody"/>
        <w:bidi w:val="0"/>
        <w:spacing w:before="120" w:after="120"/>
        <w:jc w:val="both"/>
        <w:rPr>
          <w:rFonts w:ascii="Times New Roman" w:hAnsi="Times New Roman"/>
          <w:sz w:val="20"/>
        </w:rPr>
      </w:pPr>
      <w:r>
        <w:rPr>
          <w:rFonts w:ascii="Times New Roman;serif" w:hAnsi="Times New Roman;serif"/>
          <w:b/>
          <w:i/>
          <w:sz w:val="20"/>
        </w:rPr>
        <w:t>WuXi Biologics Cell Line License Agreement</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December 2020, as amended in February 2023,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December 2020, the Company recognized an upfront fee of $0.2</w:t>
      </w:r>
      <w:r>
        <w:rPr>
          <w:rFonts w:ascii="Times New Roman" w:hAnsi="Times New Roman"/>
          <w:sz w:val="20"/>
        </w:rPr>
        <w:t xml:space="preserve"> </w:t>
      </w:r>
      <w:r>
        <w:rPr>
          <w:rFonts w:ascii="Times New Roman;serif" w:hAnsi="Times New Roman;serif"/>
          <w:b w:val="false"/>
          <w:sz w:val="20"/>
        </w:rPr>
        <w:t>million upon completion of cell bank generation for the first Licensed Cell Line created under the Cell Line License Agreement. In February 2023, the Company recognized license fees of $0.4</w:t>
      </w:r>
      <w:r>
        <w:rPr>
          <w:rFonts w:ascii="Times New Roman" w:hAnsi="Times New Roman"/>
          <w:sz w:val="20"/>
        </w:rPr>
        <w:t xml:space="preserve"> </w:t>
      </w:r>
      <w:r>
        <w:rPr>
          <w:rFonts w:ascii="Times New Roman;serif" w:hAnsi="Times New Roman;serif"/>
          <w:b w:val="false"/>
          <w:sz w:val="20"/>
        </w:rPr>
        <w:t>million upon completion of cell bank generation for the additional Licensed Cell Lines created under the Cell Line License Agreement.</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March 31, 2023, no</w:t>
      </w:r>
      <w:r>
        <w:rPr>
          <w:rFonts w:ascii="Times New Roman" w:hAnsi="Times New Roman"/>
          <w:sz w:val="20"/>
        </w:rPr>
        <w:t xml:space="preserve"> </w:t>
      </w:r>
      <w:r>
        <w:rPr>
          <w:rFonts w:ascii="Times New Roman;serif" w:hAnsi="Times New Roman;serif"/>
          <w:b w:val="false"/>
          <w:sz w:val="20"/>
        </w:rPr>
        <w:t>royalties had become due to WuXi Biologics.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Therefore, the $0.4</w:t>
      </w:r>
      <w:r>
        <w:rPr>
          <w:rFonts w:ascii="Times New Roman" w:hAnsi="Times New Roman"/>
          <w:sz w:val="20"/>
        </w:rPr>
        <w:t xml:space="preserve"> </w:t>
      </w:r>
      <w:r>
        <w:rPr>
          <w:rFonts w:ascii="Times New Roman;serif" w:hAnsi="Times New Roman;serif"/>
          <w:b w:val="false"/>
          <w:sz w:val="20"/>
        </w:rPr>
        <w:t>million of license fees was recognized as IPR&amp;D expense during the three months ended March 31, 2023.</w:t>
      </w:r>
    </w:p>
    <w:p>
      <w:pPr>
        <w:pStyle w:val="TextBody"/>
        <w:bidi w:val="0"/>
        <w:spacing w:before="120" w:after="120"/>
        <w:jc w:val="both"/>
        <w:rPr>
          <w:rFonts w:ascii="Times New Roman" w:hAnsi="Times New Roman"/>
          <w:sz w:val="20"/>
        </w:rPr>
      </w:pPr>
      <w:r>
        <w:rPr>
          <w:rFonts w:ascii="Times New Roman;serif" w:hAnsi="Times New Roman;serif"/>
          <w:b/>
          <w:i/>
          <w:sz w:val="20"/>
        </w:rPr>
        <w:t>Research Collaboration and License Agreement with The Scripps Research Institute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August 2021, the Company entered into a Research Collaboration and License Agreement (the “Research Agreement”) with The Scripps Research Institute (“TSRI”). Under the terms of the Research Agreement, TSRI performed research activities to identify vaccine candidates for the prevention, diagnosis or treatment of influenza or beta coronaviruses. In August 2021, the Company paid TSRI $1.5</w:t>
      </w:r>
      <w:r>
        <w:rPr>
          <w:rFonts w:ascii="Times New Roman" w:hAnsi="Times New Roman"/>
          <w:sz w:val="20"/>
        </w:rPr>
        <w:t xml:space="preserve"> </w:t>
      </w:r>
      <w:r>
        <w:rPr>
          <w:rFonts w:ascii="Times New Roman;serif" w:hAnsi="Times New Roman;serif"/>
          <w:b w:val="false"/>
          <w:sz w:val="20"/>
        </w:rPr>
        <w:t>million in funding, which was credited against research funding payable by the Company under the Research Agreement.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In April 2022, the Company provided written notice to TSRI to terminate the Research Agreement. Following early termination in the second quarter of 2022, all licenses were terminated and reverted to TSRI.</w:t>
      </w:r>
    </w:p>
    <w:p>
      <w:pPr>
        <w:pStyle w:val="TextBody"/>
        <w:bidi w:val="0"/>
        <w:spacing w:before="120" w:after="120"/>
        <w:jc w:val="both"/>
        <w:rPr>
          <w:rFonts w:ascii="Times New Roman" w:hAnsi="Times New Roman"/>
          <w:sz w:val="20"/>
        </w:rPr>
      </w:pPr>
      <w:r>
        <w:rPr>
          <w:rFonts w:ascii="Times New Roman;serif" w:hAnsi="Times New Roman;serif"/>
          <w:b w:val="false"/>
          <w:sz w:val="20"/>
        </w:rPr>
        <w:t>Amounts incurred for services performed by TSRI under the Research Agreement were expensed to research and development expense as the services were rendered. During the three months ended March 31, 2023, the Company did not recognize any research and development expense with respect to services performed under the Research Agreement as it was terminated during 2022. During the three months ended March 31, 2022, the Company recognized $0.9</w:t>
      </w:r>
      <w:r>
        <w:rPr>
          <w:rFonts w:ascii="Times New Roman" w:hAnsi="Times New Roman"/>
          <w:sz w:val="20"/>
        </w:rPr>
        <w:t xml:space="preserve"> </w:t>
      </w:r>
      <w:r>
        <w:rPr>
          <w:rFonts w:ascii="Times New Roman;serif" w:hAnsi="Times New Roman;serif"/>
          <w:b w:val="false"/>
          <w:sz w:val="20"/>
        </w:rPr>
        <w:t>million of research and development expense with respect to services performed under the Research Agreement.</w:t>
      </w:r>
    </w:p>
    <w:p>
      <w:pPr>
        <w:pStyle w:val="TextBody"/>
        <w:bidi w:val="0"/>
        <w:spacing w:before="120" w:after="120"/>
        <w:jc w:val="both"/>
        <w:rPr>
          <w:rFonts w:ascii="Times New Roman;serif" w:hAnsi="Times New Roman;serif"/>
          <w:b/>
          <w:sz w:val="20"/>
        </w:rPr>
      </w:pPr>
      <w:r>
        <w:rPr>
          <w:rFonts w:ascii="Times New Roman;serif" w:hAnsi="Times New Roman;serif"/>
          <w:b/>
          <w:sz w:val="20"/>
        </w:rPr>
        <w:t>8. Population Health Partners, L.P</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and will continue for a period of one year, unless terminated earlier in accordance with its terms.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is effective for six months from the Effective Date and may be extended by written agreement of the Company and PHP. The PHP MSA contains customary confidentiality provisions and representations and warranties of the parties, as well as mutual non-solicitation of certain employees during the term of the PHP MSA and for a period of one year thereafter.</w:t>
      </w:r>
    </w:p>
    <w:p>
      <w:pPr>
        <w:pStyle w:val="TextBody"/>
        <w:bidi w:val="0"/>
        <w:spacing w:before="120" w:after="120"/>
        <w:jc w:val="both"/>
        <w:rPr>
          <w:rFonts w:ascii="Times New Roman" w:hAnsi="Times New Roman"/>
          <w:sz w:val="20"/>
        </w:rPr>
      </w:pPr>
      <w:r>
        <w:rPr>
          <w:rFonts w:ascii="Times New Roman;serif" w:hAnsi="Times New Roman;serif"/>
          <w:b w:val="false"/>
          <w:sz w:val="20"/>
        </w:rPr>
        <w:t>As compensation for the services and deliverables under the PHP Work Order, the Company shall pay PHP a cash fee of $0.5</w:t>
      </w:r>
      <w:r>
        <w:rPr>
          <w:rFonts w:ascii="Times New Roman" w:hAnsi="Times New Roman"/>
          <w:sz w:val="20"/>
        </w:rPr>
        <w:t xml:space="preserve"> </w:t>
      </w:r>
      <w:r>
        <w:rPr>
          <w:rFonts w:ascii="Times New Roman;serif" w:hAnsi="Times New Roman;serif"/>
          <w:b w:val="false"/>
          <w:sz w:val="20"/>
        </w:rPr>
        <w:t>million per month during the term of the PHP Work Order for an aggregate fee of $3.0</w:t>
      </w:r>
      <w:r>
        <w:rPr>
          <w:rFonts w:ascii="Times New Roman" w:hAnsi="Times New Roman"/>
          <w:sz w:val="20"/>
        </w:rPr>
        <w:t xml:space="preserve"> </w:t>
      </w:r>
      <w:r>
        <w:rPr>
          <w:rFonts w:ascii="Times New Roman;serif" w:hAnsi="Times New Roman;serif"/>
          <w:b w:val="false"/>
          <w:sz w:val="20"/>
        </w:rPr>
        <w:t>million (the “Aggregate Fee”). In the event that (i) the Company terminates the PHP Work Order for any reason other than material breach by PHP or (ii) PHP terminates the PHP Work Order due to material breach by the Company, in each case, pursuant to the terms of the PHP MSA, the Company would be required to pay PHP the balance of the Aggregate Fee as of the date the PHP Work Order is terminated. The cash fee is subject to change if the parties extend the term of the PHP Work Order in accordance with the terms thereof.</w:t>
      </w:r>
    </w:p>
    <w:p>
      <w:pPr>
        <w:pStyle w:val="TextBody"/>
        <w:bidi w:val="0"/>
        <w:spacing w:before="120" w:after="120"/>
        <w:jc w:val="both"/>
        <w:rPr>
          <w:rFonts w:ascii="Times New Roman" w:hAnsi="Times New Roman"/>
          <w:sz w:val="20"/>
        </w:rPr>
      </w:pPr>
      <w:r>
        <w:rPr>
          <w:rFonts w:ascii="Times New Roman;serif" w:hAnsi="Times New Roman;serif"/>
          <w:b w:val="false"/>
          <w:sz w:val="20"/>
        </w:rPr>
        <w:t>During the three months ended March 31, 2023, the Company recognized $1.5</w:t>
      </w:r>
      <w:r>
        <w:rPr>
          <w:rFonts w:ascii="Times New Roman" w:hAnsi="Times New Roman"/>
          <w:sz w:val="20"/>
        </w:rPr>
        <w:t xml:space="preserve"> </w:t>
      </w:r>
      <w:r>
        <w:rPr>
          <w:rFonts w:ascii="Times New Roman;serif" w:hAnsi="Times New Roman;serif"/>
          <w:b w:val="false"/>
          <w:sz w:val="20"/>
        </w:rPr>
        <w:t>million of research and development expense related to the cash compensation paid to PHP. Please refer to Note 15 for additional information.</w:t>
      </w:r>
    </w:p>
    <w:p>
      <w:pPr>
        <w:pStyle w:val="TextBody"/>
        <w:bidi w:val="0"/>
        <w:spacing w:before="120" w:after="120"/>
        <w:jc w:val="both"/>
        <w:rPr>
          <w:rFonts w:ascii="Times New Roman" w:hAnsi="Times New Roman"/>
          <w:sz w:val="20"/>
        </w:rPr>
      </w:pPr>
      <w:r>
        <w:rPr>
          <w:rFonts w:ascii="Times New Roman;serif" w:hAnsi="Times New Roman;serif"/>
          <w:b w:val="false"/>
          <w:sz w:val="20"/>
        </w:rPr>
        <w:t>In addition to the cash compensation, on the PHP Effective Date, the Company issued a warrant to purchase shares of the Company’s common stock to PHP (the “PHP Warrant”). The exercise price of the PHP Warrant is $3.48</w:t>
      </w:r>
      <w:r>
        <w:rPr>
          <w:rFonts w:ascii="Times New Roman" w:hAnsi="Times New Roman"/>
          <w:sz w:val="20"/>
        </w:rPr>
        <w:t xml:space="preserve"> </w:t>
      </w:r>
      <w:r>
        <w:rPr>
          <w:rFonts w:ascii="Times New Roman;serif" w:hAnsi="Times New Roman;serif"/>
          <w:b w:val="false"/>
          <w:sz w:val="20"/>
        </w:rPr>
        <w:t>per share of the Company’s common stock, which is equal to the Nasdaq official closing price (as defined in the PHP Warrant) of a share of the Company’s common stock on the trading day immediately prior to the PHP Effective Date. The PHP Warrant is exercisable for up to an aggregate of 6,824,712</w:t>
      </w:r>
      <w:r>
        <w:rPr>
          <w:rFonts w:ascii="Times New Roman" w:hAnsi="Times New Roman"/>
          <w:sz w:val="20"/>
        </w:rPr>
        <w:t xml:space="preserve"> </w:t>
      </w:r>
      <w:r>
        <w:rPr>
          <w:rFonts w:ascii="Times New Roman;serif" w:hAnsi="Times New Roman;serif"/>
          <w:b w:val="false"/>
          <w:sz w:val="20"/>
        </w:rPr>
        <w:t>shares of the Company’s common stock, and vests in three separate tranches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3,591,954 shares of the Company’s common stock underlying the PHP Warrant vests if the Company’s Market Capitalization (as defined below) equals or exceeds $758,517,511 by November 15, 2028;</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46"/>
        <w:gridCol w:w="975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1,795,977 shares of the Company’s common stock underlying the PHP Warrant vests if the Company’s Market Capitalization equals or exceeds $1,137,776,266 by November 15, 2029; and</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46"/>
        <w:gridCol w:w="975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1,436,781 shares of the Company’s common stock underlying the PHP Warrant vests if the Company’s Market Capitalization equals or exceeds $1,517,035,022 by November 15, 2030.</w:t>
            </w:r>
          </w:p>
        </w:tc>
      </w:tr>
    </w:tbl>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For purposes of the PHP Warrant, the term “Market Capitalization” means, with respect to a particular trading day, the total value of the outstanding shares of the Company’s common stock on such date, calculated by multiplying the Company’s volume weighted average price for the ten (10) trading days immediately preceding such date by the Company’s total number of outstanding shares of the Company’s common stock as reflected in (i) the Company’s most recent periodic or annual report filed with the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has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Upon the consummation of a change of control of the Company (as defined in the PHP Warrant) on or prior to November 15, 2028, all of the shares underlying the PHP Warrant would become immediately vested and exercisable; upon the consummation of a change of control of the Company after November 15, 2028 but on or prior to November 15, 2029, the shares underlying the second and third tranches of the PHP Warrant would become immediately vested and exercisable; and upon the consummation of a change of control of the Company after November 15, 2029 but on or prior to November 15, 2030, the shares underlying the third tranche of the PHP Warrant would become immediately vested and exercisable.</w:t>
      </w:r>
    </w:p>
    <w:p>
      <w:pPr>
        <w:pStyle w:val="TextBody"/>
        <w:bidi w:val="0"/>
        <w:spacing w:before="120" w:after="120"/>
        <w:jc w:val="both"/>
        <w:rPr>
          <w:rFonts w:ascii="Times New Roman" w:hAnsi="Times New Roman"/>
          <w:sz w:val="20"/>
        </w:rPr>
      </w:pPr>
      <w:r>
        <w:rPr>
          <w:rFonts w:ascii="Times New Roman;serif" w:hAnsi="Times New Roman;serif"/>
          <w:b w:val="false"/>
          <w:sz w:val="20"/>
        </w:rPr>
        <w:t>Refer to Note 11 for additional information on the PHP Warrant.</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Clive Meanwell, M.D. and Tamsin Berry, members of the Company’s board of directors, are Managing Partner and Partner of PHP, respectively.</w:t>
      </w:r>
    </w:p>
    <w:p>
      <w:pPr>
        <w:pStyle w:val="TextBody"/>
        <w:bidi w:val="0"/>
        <w:spacing w:before="120" w:after="120"/>
        <w:jc w:val="both"/>
        <w:rPr>
          <w:rFonts w:ascii="Times New Roman;serif" w:hAnsi="Times New Roman;serif"/>
          <w:b/>
          <w:sz w:val="20"/>
        </w:rPr>
      </w:pPr>
      <w:r>
        <w:rPr>
          <w:rFonts w:ascii="Times New Roman;serif" w:hAnsi="Times New Roman;serif"/>
          <w:b/>
          <w:sz w:val="20"/>
        </w:rPr>
        <w:t>9. Commitments and Contingencies</w:t>
      </w:r>
    </w:p>
    <w:p>
      <w:pPr>
        <w:pStyle w:val="TextBody"/>
        <w:bidi w:val="0"/>
        <w:spacing w:before="120" w:after="120"/>
        <w:jc w:val="both"/>
        <w:rPr>
          <w:rFonts w:ascii="Times New Roman;serif" w:hAnsi="Times New Roman;serif"/>
          <w:b/>
          <w:i/>
          <w:sz w:val="20"/>
        </w:rPr>
      </w:pPr>
      <w:r>
        <w:rPr>
          <w:rFonts w:ascii="Times New Roman;serif" w:hAnsi="Times New Roman;serif"/>
          <w:b/>
          <w:i/>
          <w:sz w:val="20"/>
        </w:rPr>
        <w:t>Operating Lease Commitments</w:t>
      </w:r>
    </w:p>
    <w:p>
      <w:pPr>
        <w:pStyle w:val="TextBody"/>
        <w:bidi w:val="0"/>
        <w:spacing w:before="120" w:after="120"/>
        <w:jc w:val="both"/>
        <w:rPr>
          <w:rFonts w:ascii="Times New Roman" w:hAnsi="Times New Roman"/>
          <w:sz w:val="20"/>
        </w:rPr>
      </w:pPr>
      <w:r>
        <w:rPr>
          <w:rFonts w:ascii="Times New Roman;serif" w:hAnsi="Times New Roman;serif"/>
          <w:b w:val="false"/>
          <w:sz w:val="20"/>
        </w:rPr>
        <w:t>In September 2021, the Company entered into a five-year</w:t>
      </w:r>
      <w:r>
        <w:rPr>
          <w:rFonts w:ascii="Times New Roman" w:hAnsi="Times New Roman"/>
          <w:sz w:val="20"/>
        </w:rPr>
        <w:t xml:space="preserve"> </w:t>
      </w:r>
      <w:r>
        <w:rPr>
          <w:rFonts w:ascii="Times New Roman;serif" w:hAnsi="Times New Roman;serif"/>
          <w:b w:val="false"/>
          <w:sz w:val="20"/>
        </w:rPr>
        <w:t>noncancelable facilities lease agreement for approximately 9,600</w:t>
      </w:r>
      <w:r>
        <w:rPr>
          <w:rFonts w:ascii="Times New Roman" w:hAnsi="Times New Roman"/>
          <w:sz w:val="20"/>
        </w:rPr>
        <w:t xml:space="preserve"> </w:t>
      </w:r>
      <w:r>
        <w:rPr>
          <w:rFonts w:ascii="Times New Roman;serif" w:hAnsi="Times New Roman;serif"/>
          <w:b w:val="false"/>
          <w:sz w:val="20"/>
        </w:rPr>
        <w:t>square feet of office space in Waltham, Massachusetts. The monthly rental payments under the lease, which include base rent charges of $0.4</w:t>
      </w:r>
      <w:r>
        <w:rPr>
          <w:rFonts w:ascii="Times New Roman" w:hAnsi="Times New Roman"/>
          <w:sz w:val="20"/>
        </w:rPr>
        <w:t xml:space="preserve"> </w:t>
      </w:r>
      <w:r>
        <w:rPr>
          <w:rFonts w:ascii="Times New Roman;serif" w:hAnsi="Times New Roman;serif"/>
          <w:b w:val="false"/>
          <w:sz w:val="20"/>
        </w:rPr>
        <w:t>million per year, are subject to periodic rent increases through September 2026. In addition to base rent, monthly rental payments include the Company’s proportionate share of operating expenses. The lease terms provide for one five-year extension term with base rent calculated on the then-market rate.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June 2022, the Company entered into a two-year noncancelable agreement for dedicated laboratory and office space in Newton, Massachusetts (the “Newton, MA Lease”). The monthly rental payments under the agreement include base rent charges of $0.7</w:t>
      </w:r>
      <w:r>
        <w:rPr>
          <w:rFonts w:ascii="Times New Roman" w:hAnsi="Times New Roman"/>
          <w:sz w:val="20"/>
        </w:rPr>
        <w:t xml:space="preserve"> </w:t>
      </w:r>
      <w:r>
        <w:rPr>
          <w:rFonts w:ascii="Times New Roman;serif" w:hAnsi="Times New Roman;serif"/>
          <w:b w:val="false"/>
          <w:sz w:val="20"/>
        </w:rPr>
        <w:t>million per year. The agreement terms provide for a month-to-month extension after completion of the initial two-year term with base rent calculated on the then-market rate with three months’ prior notice.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September 2022, the Company amended the Newton, MA Lease. Pursuant to the amendment, the Company entered into a separate two-year noncancelable agreement for new dedicated laboratory and office space on the same campus as the Newton, MA Lease. The Company took occupancy of the new dedicated laboratory and office space in December 2022. The monthly rental payments under the amended agreement include base rent charges of $1.3</w:t>
      </w:r>
      <w:r>
        <w:rPr>
          <w:rFonts w:ascii="Times New Roman" w:hAnsi="Times New Roman"/>
          <w:sz w:val="20"/>
        </w:rPr>
        <w:t xml:space="preserve"> </w:t>
      </w:r>
      <w:r>
        <w:rPr>
          <w:rFonts w:ascii="Times New Roman;serif" w:hAnsi="Times New Roman;serif"/>
          <w:b w:val="false"/>
          <w:sz w:val="20"/>
        </w:rPr>
        <w:t>million per year. The agreement terms provide for a month-to-month extension, after completion of the initial two-year term extending through November 2024, with base rent calculated on the then-market rate with three months</w:t>
      </w:r>
      <w:r>
        <w:rPr>
          <w:rFonts w:ascii="Times New Roman" w:hAnsi="Times New Roman"/>
          <w:sz w:val="20"/>
        </w:rPr>
        <w:t xml:space="preserve">’ </w:t>
      </w:r>
      <w:r>
        <w:rPr>
          <w:rFonts w:ascii="Times New Roman;serif" w:hAnsi="Times New Roman;serif"/>
          <w:b w:val="false"/>
          <w:sz w:val="20"/>
        </w:rPr>
        <w:t>prior notice.</w:t>
      </w:r>
    </w:p>
    <w:p>
      <w:pPr>
        <w:pStyle w:val="TextBody"/>
        <w:bidi w:val="0"/>
        <w:spacing w:before="120" w:after="80"/>
        <w:jc w:val="both"/>
        <w:rPr>
          <w:rFonts w:ascii="Times New Roman;serif" w:hAnsi="Times New Roman;serif"/>
          <w:b w:val="false"/>
          <w:sz w:val="20"/>
        </w:rPr>
      </w:pPr>
      <w:r>
        <w:rPr>
          <w:rFonts w:ascii="Times New Roman;serif" w:hAnsi="Times New Roman;serif"/>
          <w:b w:val="false"/>
          <w:sz w:val="20"/>
        </w:rPr>
        <w:t>The components of operating lease expense were as follows (in thousands):</w:t>
      </w:r>
    </w:p>
    <w:tbl>
      <w:tblPr>
        <w:tblW w:w="10130" w:type="dxa"/>
        <w:jc w:val="left"/>
        <w:tblInd w:w="0" w:type="dxa"/>
        <w:tblLayout w:type="fixed"/>
        <w:tblCellMar>
          <w:top w:w="28" w:type="dxa"/>
          <w:left w:w="28" w:type="dxa"/>
          <w:bottom w:w="28" w:type="dxa"/>
          <w:right w:w="28" w:type="dxa"/>
        </w:tblCellMar>
      </w:tblPr>
      <w:tblGrid>
        <w:gridCol w:w="5866"/>
        <w:gridCol w:w="146"/>
        <w:gridCol w:w="564"/>
        <w:gridCol w:w="1131"/>
        <w:gridCol w:w="146"/>
        <w:gridCol w:w="146"/>
        <w:gridCol w:w="579"/>
        <w:gridCol w:w="116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6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March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March 31,</w:t>
            </w:r>
          </w:p>
        </w:tc>
        <w:tc>
          <w:tcPr>
            <w:tcW w:w="391" w:type="dxa"/>
            <w:tcBorders/>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cost:</w:t>
            </w:r>
          </w:p>
        </w:tc>
        <w:tc>
          <w:tcPr>
            <w:tcW w:w="146" w:type="dxa"/>
            <w:tcBorders/>
            <w:vAlign w:val="center"/>
          </w:tcPr>
          <w:p>
            <w:pPr>
              <w:pStyle w:val="TableContents"/>
              <w:bidi w:val="0"/>
              <w:spacing w:before="0" w:after="0"/>
              <w:ind w:left="0" w:right="0" w:hanging="0"/>
              <w:jc w:val="left"/>
              <w:rPr/>
            </w:pPr>
            <w:r>
              <w:rPr/>
              <w:t> </w:t>
            </w:r>
          </w:p>
        </w:tc>
        <w:tc>
          <w:tcPr>
            <w:tcW w:w="16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vAlign w:val="center"/>
          </w:tcPr>
          <w:p>
            <w:pPr>
              <w:pStyle w:val="TableContents"/>
              <w:bidi w:val="0"/>
              <w:spacing w:before="0" w:after="0"/>
              <w:ind w:left="0" w:right="0" w:hanging="0"/>
              <w:jc w:val="left"/>
              <w:rPr/>
            </w:pPr>
            <w:r>
              <w:rPr/>
              <w:t> </w:t>
            </w:r>
          </w:p>
        </w:tc>
        <w:tc>
          <w:tcPr>
            <w:tcW w:w="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39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Variable lease cost</w:t>
            </w:r>
          </w:p>
        </w:tc>
        <w:tc>
          <w:tcPr>
            <w:tcW w:w="146" w:type="dxa"/>
            <w:tcBorders/>
            <w:vAlign w:val="center"/>
          </w:tcPr>
          <w:p>
            <w:pPr>
              <w:pStyle w:val="TableContents"/>
              <w:bidi w:val="0"/>
              <w:spacing w:before="0" w:after="0"/>
              <w:ind w:left="0" w:right="0" w:hanging="0"/>
              <w:jc w:val="left"/>
              <w:rPr/>
            </w:pPr>
            <w:r>
              <w:rPr/>
              <w:t> </w:t>
            </w:r>
          </w:p>
        </w:tc>
        <w:tc>
          <w:tcPr>
            <w:tcW w:w="5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w:t>
            </w:r>
          </w:p>
        </w:tc>
        <w:tc>
          <w:tcPr>
            <w:tcW w:w="146" w:type="dxa"/>
            <w:tcBorders/>
            <w:vAlign w:val="center"/>
          </w:tcPr>
          <w:p>
            <w:pPr>
              <w:pStyle w:val="TableContents"/>
              <w:bidi w:val="0"/>
              <w:spacing w:before="0" w:after="0"/>
              <w:ind w:left="0" w:right="0" w:hanging="0"/>
              <w:jc w:val="left"/>
              <w:rPr/>
            </w:pPr>
            <w:r>
              <w:rPr/>
              <w:t> </w:t>
            </w:r>
          </w:p>
        </w:tc>
        <w:tc>
          <w:tcPr>
            <w:tcW w:w="5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lease liabilities:</w:t>
            </w:r>
          </w:p>
        </w:tc>
        <w:tc>
          <w:tcPr>
            <w:tcW w:w="146" w:type="dxa"/>
            <w:tcBorders/>
            <w:vAlign w:val="center"/>
          </w:tcPr>
          <w:p>
            <w:pPr>
              <w:pStyle w:val="TableContents"/>
              <w:bidi w:val="0"/>
              <w:spacing w:before="0" w:after="0"/>
              <w:ind w:left="0" w:right="0" w:hanging="0"/>
              <w:jc w:val="left"/>
              <w:rPr/>
            </w:pPr>
            <w:r>
              <w:rPr/>
              <w:t> </w:t>
            </w:r>
          </w:p>
        </w:tc>
        <w:tc>
          <w:tcPr>
            <w:tcW w:w="16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flows related to operating leases</w:t>
            </w:r>
          </w:p>
        </w:tc>
        <w:tc>
          <w:tcPr>
            <w:tcW w:w="146" w:type="dxa"/>
            <w:tcBorders/>
            <w:vAlign w:val="center"/>
          </w:tcPr>
          <w:p>
            <w:pPr>
              <w:pStyle w:val="TableContents"/>
              <w:bidi w:val="0"/>
              <w:spacing w:before="0" w:after="0"/>
              <w:ind w:left="0" w:right="0" w:hanging="0"/>
              <w:jc w:val="left"/>
              <w:rPr/>
            </w:pPr>
            <w:r>
              <w:rPr/>
              <w:t> </w:t>
            </w:r>
          </w:p>
        </w:tc>
        <w:tc>
          <w:tcPr>
            <w:tcW w:w="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80" w:after="80"/>
        <w:jc w:val="both"/>
        <w:rPr>
          <w:rFonts w:ascii="Times New Roman;serif" w:hAnsi="Times New Roman;serif"/>
          <w:b w:val="false"/>
          <w:sz w:val="20"/>
        </w:rPr>
      </w:pPr>
      <w:r>
        <w:rPr>
          <w:rFonts w:ascii="Times New Roman;serif" w:hAnsi="Times New Roman;serif"/>
          <w:b w:val="false"/>
          <w:sz w:val="20"/>
        </w:rPr>
        <w:t>Future minimum lease payments under the noncancelable leases as of March 31, 2023 was as follows (in thousands):</w:t>
      </w:r>
    </w:p>
    <w:tbl>
      <w:tblPr>
        <w:tblW w:w="6463" w:type="dxa"/>
        <w:jc w:val="left"/>
        <w:tblInd w:w="0" w:type="dxa"/>
        <w:tblLayout w:type="fixed"/>
        <w:tblCellMar>
          <w:top w:w="28" w:type="dxa"/>
          <w:left w:w="28" w:type="dxa"/>
          <w:bottom w:w="28" w:type="dxa"/>
          <w:right w:w="28" w:type="dxa"/>
        </w:tblCellMar>
      </w:tblPr>
      <w:tblGrid>
        <w:gridCol w:w="4801"/>
        <w:gridCol w:w="146"/>
        <w:gridCol w:w="350"/>
        <w:gridCol w:w="955"/>
        <w:gridCol w:w="21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0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Ending December 31,</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Operating Lease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(excluding the three months ended March 31, 2023)</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1,299</w:t>
            </w:r>
          </w:p>
        </w:tc>
        <w:tc>
          <w:tcPr>
            <w:tcW w:w="211" w:type="dxa"/>
            <w:tcBorders/>
            <w:vAlign w:val="center"/>
          </w:tcPr>
          <w:p>
            <w:pPr>
              <w:pStyle w:val="TableContents"/>
              <w:bidi w:val="0"/>
              <w:spacing w:before="0" w:after="0"/>
              <w:ind w:left="0" w:right="0" w:hanging="0"/>
              <w:jc w:val="left"/>
              <w:rPr/>
            </w:pPr>
            <w:r>
              <w:rPr/>
              <w:t> </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1,521</w:t>
            </w:r>
          </w:p>
        </w:tc>
        <w:tc>
          <w:tcPr>
            <w:tcW w:w="211" w:type="dxa"/>
            <w:tcBorders/>
            <w:vAlign w:val="center"/>
          </w:tcPr>
          <w:p>
            <w:pPr>
              <w:pStyle w:val="TableContents"/>
              <w:bidi w:val="0"/>
              <w:spacing w:before="0" w:after="0"/>
              <w:ind w:left="0" w:right="0" w:hanging="0"/>
              <w:jc w:val="left"/>
              <w:rPr/>
            </w:pPr>
            <w:r>
              <w:rPr/>
              <w:t> </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211" w:type="dxa"/>
            <w:tcBorders/>
            <w:vAlign w:val="center"/>
          </w:tcPr>
          <w:p>
            <w:pPr>
              <w:pStyle w:val="TableContents"/>
              <w:bidi w:val="0"/>
              <w:spacing w:before="0" w:after="0"/>
              <w:ind w:left="0" w:right="0" w:hanging="0"/>
              <w:jc w:val="left"/>
              <w:rPr/>
            </w:pPr>
            <w:r>
              <w:rPr/>
              <w:t> </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3,578</w:t>
            </w:r>
          </w:p>
        </w:tc>
        <w:tc>
          <w:tcPr>
            <w:tcW w:w="211" w:type="dxa"/>
            <w:tcBorders/>
            <w:vAlign w:val="center"/>
          </w:tcPr>
          <w:p>
            <w:pPr>
              <w:pStyle w:val="TableContents"/>
              <w:bidi w:val="0"/>
              <w:spacing w:before="0" w:after="0"/>
              <w:ind w:left="0" w:right="0" w:hanging="0"/>
              <w:jc w:val="left"/>
              <w:rPr/>
            </w:pPr>
            <w:r>
              <w:rPr/>
              <w:t> </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adjustment</w:t>
            </w:r>
          </w:p>
        </w:tc>
        <w:tc>
          <w:tcPr>
            <w:tcW w:w="146" w:type="dxa"/>
            <w:tcBorders/>
            <w:vAlign w:val="center"/>
          </w:tcPr>
          <w:p>
            <w:pPr>
              <w:pStyle w:val="TableContents"/>
              <w:bidi w:val="0"/>
              <w:spacing w:before="0" w:after="0"/>
              <w:ind w:left="0" w:right="0" w:hanging="0"/>
              <w:jc w:val="left"/>
              <w:rPr/>
            </w:pPr>
            <w:r>
              <w:rPr/>
              <w:t> </w:t>
            </w:r>
          </w:p>
        </w:tc>
        <w:tc>
          <w:tcPr>
            <w:tcW w:w="3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operating lease liability</w:t>
            </w:r>
          </w:p>
        </w:tc>
        <w:tc>
          <w:tcPr>
            <w:tcW w:w="146" w:type="dxa"/>
            <w:tcBorders/>
            <w:vAlign w:val="center"/>
          </w:tcPr>
          <w:p>
            <w:pPr>
              <w:pStyle w:val="TableContents"/>
              <w:bidi w:val="0"/>
              <w:spacing w:before="0" w:after="0"/>
              <w:ind w:left="0" w:right="0" w:hanging="0"/>
              <w:jc w:val="left"/>
              <w:rPr/>
            </w:pPr>
            <w:r>
              <w:rPr/>
              <w:t> </w:t>
            </w:r>
          </w:p>
        </w:tc>
        <w:tc>
          <w:tcPr>
            <w:tcW w:w="3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80" w:after="120"/>
        <w:jc w:val="both"/>
        <w:rPr>
          <w:rFonts w:ascii="Times New Roman;serif" w:hAnsi="Times New Roman;serif"/>
          <w:b w:val="false"/>
          <w:sz w:val="20"/>
        </w:rPr>
      </w:pPr>
      <w:r>
        <w:rPr>
          <w:rFonts w:ascii="Times New Roman;serif" w:hAnsi="Times New Roman;serif"/>
          <w:b w:val="false"/>
          <w:sz w:val="20"/>
        </w:rPr>
        <w:t>As of March 31, 2023, the Company’s operating leases were measured using a weighted-average incremental borrowing rate of 6.0% over a weighted-average remaining lease term of 2.3 years.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0" w:after="120"/>
        <w:jc w:val="both"/>
        <w:rPr>
          <w:rFonts w:ascii="Times New Roman;serif" w:hAnsi="Times New Roman;serif"/>
          <w:b w:val="false"/>
          <w:sz w:val="20"/>
        </w:rPr>
      </w:pPr>
      <w:r>
        <w:rPr>
          <w:rFonts w:ascii="Times New Roman;serif" w:hAnsi="Times New Roman;serif"/>
          <w:b w:val="false"/>
          <w:sz w:val="20"/>
        </w:rPr>
        <w:t>The total operating liabilities are presented on the Company’s condensed consolidated balance sheet based on maturity dates. $1.6 million of the total operating liabilities are classified under “operating lease liabilities, current” for the portion due within twelve months, and $1.7 million is classified under “operating lease liabilities, non-current”.</w:t>
      </w:r>
    </w:p>
    <w:p>
      <w:pPr>
        <w:pStyle w:val="TextBody"/>
        <w:bidi w:val="0"/>
        <w:spacing w:before="120" w:after="120"/>
        <w:jc w:val="both"/>
        <w:rPr>
          <w:rFonts w:ascii="Times New Roman" w:hAnsi="Times New Roman"/>
          <w:sz w:val="20"/>
        </w:rPr>
      </w:pPr>
      <w:r>
        <w:rPr>
          <w:rFonts w:ascii="Times New Roman;serif" w:hAnsi="Times New Roman;serif"/>
          <w:b/>
          <w:i/>
          <w:sz w:val="20"/>
        </w:rPr>
        <w:t>License Agreements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has entered into license agreements with Adimab and WuXi Biologics (see Note 7).</w:t>
      </w:r>
      <w:r>
        <w:rPr>
          <w:rFonts w:ascii="Times New Roman" w:hAnsi="Times New Roman"/>
          <w:sz w:val="20"/>
        </w:rPr>
        <w:t xml:space="preserve"> </w:t>
      </w:r>
    </w:p>
    <w:p>
      <w:pPr>
        <w:pStyle w:val="TextBody"/>
        <w:bidi w:val="0"/>
        <w:spacing w:before="120" w:after="120"/>
        <w:jc w:val="both"/>
        <w:rPr>
          <w:rFonts w:ascii="Times New Roman;serif" w:hAnsi="Times New Roman;serif"/>
          <w:b/>
          <w:i/>
          <w:sz w:val="20"/>
        </w:rPr>
      </w:pPr>
      <w:r>
        <w:rPr>
          <w:rFonts w:ascii="Times New Roman;serif" w:hAnsi="Times New Roman;serif"/>
          <w:b/>
          <w:i/>
          <w:sz w:val="20"/>
        </w:rPr>
        <w:t>Other Agreements</w:t>
      </w:r>
    </w:p>
    <w:p>
      <w:pPr>
        <w:pStyle w:val="TextBody"/>
        <w:bidi w:val="0"/>
        <w:spacing w:before="120" w:after="120"/>
        <w:jc w:val="both"/>
        <w:rPr>
          <w:rFonts w:ascii="Times New Roman" w:hAnsi="Times New Roman"/>
          <w:sz w:val="20"/>
        </w:rPr>
      </w:pPr>
      <w:r>
        <w:rPr>
          <w:rFonts w:ascii="Times New Roman;serif" w:hAnsi="Times New Roman;serif"/>
          <w:b w:val="false"/>
          <w:sz w:val="20"/>
        </w:rPr>
        <w:t>In November 2022, the Company entered into the PHP MSA (see Note 8). Concurrently with the PHP MSA, the Company entered into the PHP Work Order, pursuant to which PHP agreed to advise and counsel the Company regarding clinical development and regulatory matters with respect to its product candidates. The PHP Work Order is effective for six months from November 2022 and may be extended by written agreement of the Company and PHP. As compensation for the services and deliverables under the PHP Work Order, the Company is obligated to pay PHP a cash fee of $0.5</w:t>
      </w:r>
      <w:r>
        <w:rPr>
          <w:rFonts w:ascii="Times New Roman" w:hAnsi="Times New Roman"/>
          <w:sz w:val="20"/>
        </w:rPr>
        <w:t xml:space="preserve"> </w:t>
      </w:r>
      <w:r>
        <w:rPr>
          <w:rFonts w:ascii="Times New Roman;serif" w:hAnsi="Times New Roman;serif"/>
          <w:b w:val="false"/>
          <w:sz w:val="20"/>
        </w:rPr>
        <w:t>million per month during the term of the PHP Work Order for an Aggregate Fee of $3.0</w:t>
      </w:r>
      <w:r>
        <w:rPr>
          <w:rFonts w:ascii="Times New Roman" w:hAnsi="Times New Roman"/>
          <w:sz w:val="20"/>
        </w:rPr>
        <w:t xml:space="preserve"> </w:t>
      </w:r>
      <w:r>
        <w:rPr>
          <w:rFonts w:ascii="Times New Roman;serif" w:hAnsi="Times New Roman;serif"/>
          <w:b w:val="false"/>
          <w:sz w:val="20"/>
        </w:rPr>
        <w:t>million. In the event that (i) the Company terminates the PHP Work Order for any reason other than material breach by PHP or (ii) PHP terminates the PHP Work Order due to material breach by the Company, in each case, pursuant to the terms of the PHP MSA, the Company would be required to pay PHP the balance of the Aggregate Fee as of the date the PHP Work Order is terminated. The cash fee is subject to change if the parties extend the term of the PHP Work Order in accordance with the terms thereof.</w:t>
      </w:r>
    </w:p>
    <w:p>
      <w:pPr>
        <w:pStyle w:val="TextBody"/>
        <w:bidi w:val="0"/>
        <w:spacing w:before="120" w:after="120"/>
        <w:jc w:val="both"/>
        <w:rPr>
          <w:rFonts w:ascii="Times New Roman" w:hAnsi="Times New Roman"/>
          <w:sz w:val="20"/>
        </w:rPr>
      </w:pPr>
      <w:r>
        <w:rPr>
          <w:rFonts w:ascii="Times New Roman;serif" w:hAnsi="Times New Roman;serif"/>
          <w:b/>
          <w:i/>
          <w:sz w:val="20"/>
        </w:rPr>
        <w:t>Clinical and Manufacturing Agreements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July 2020, the Company entered into a Clinical Master Services Agreement with WuXi Biologics (the “Clinical Master Services Agreement”). The Clinical Master Services Agreement outlines the terms and conditions under which WuXi Biologics coordinates biologics development and clinical manufacturing services for the Company.</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December 2020, the Company entered into a Commercial Manufacturing Services Agreement with WuXi Biologics, which was amended and restated in August 2021 (as amended and restated, the “Commercial Manufacturing Agreement”). The Commercial Manufacturing Agreement outlines the terms and conditions under which WuXi Biologics manufactures adintrevimab drug substance and drug product for commercial use.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committed to minimum noncancelable purchase obligations related to batches of adintrevimab drug substance and certain services with respect to the product requirements for 2022 and 2023 and batches of drug product and certain services with respect to the product requirements for 2022, the payments for which have extended into 2023.</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April 2022, the total volume of contractually binding drug substance and drug product batches to be manufactured under the Commercial Manufacturing Agreement was reduced to $51.6</w:t>
      </w:r>
      <w:r>
        <w:rPr>
          <w:rFonts w:ascii="Times New Roman" w:hAnsi="Times New Roman"/>
          <w:sz w:val="20"/>
        </w:rPr>
        <w:t xml:space="preserve"> </w:t>
      </w:r>
      <w:r>
        <w:rPr>
          <w:rFonts w:ascii="Times New Roman;serif" w:hAnsi="Times New Roman;serif"/>
          <w:b w:val="false"/>
          <w:sz w:val="20"/>
        </w:rPr>
        <w:t>million, a decrease of $107.8</w:t>
      </w:r>
      <w:r>
        <w:rPr>
          <w:rFonts w:ascii="Times New Roman" w:hAnsi="Times New Roman"/>
          <w:sz w:val="20"/>
        </w:rPr>
        <w:t xml:space="preserve"> </w:t>
      </w:r>
      <w:r>
        <w:rPr>
          <w:rFonts w:ascii="Times New Roman;serif" w:hAnsi="Times New Roman;serif"/>
          <w:b w:val="false"/>
          <w:sz w:val="20"/>
        </w:rPr>
        <w:t>million from the previous commitment of minimum non-cancelable purchase obligations of $159.4</w:t>
      </w:r>
      <w:r>
        <w:rPr>
          <w:rFonts w:ascii="Times New Roman" w:hAnsi="Times New Roman"/>
          <w:sz w:val="20"/>
        </w:rPr>
        <w:t xml:space="preserve"> </w:t>
      </w:r>
      <w:r>
        <w:rPr>
          <w:rFonts w:ascii="Times New Roman;serif" w:hAnsi="Times New Roman;serif"/>
          <w:b w:val="false"/>
          <w:sz w:val="20"/>
        </w:rPr>
        <w:t>million. In addition, WuXi Biologics agreed to provide the Company with a credit in the low eight-figures to offset future services rendered by WuXi Biologics.</w:t>
      </w:r>
    </w:p>
    <w:p>
      <w:pPr>
        <w:pStyle w:val="TextBody"/>
        <w:bidi w:val="0"/>
        <w:spacing w:before="120" w:after="120"/>
        <w:jc w:val="both"/>
        <w:rPr>
          <w:rFonts w:ascii="Times New Roman" w:hAnsi="Times New Roman"/>
          <w:sz w:val="20"/>
        </w:rPr>
      </w:pPr>
      <w:r>
        <w:rPr>
          <w:rFonts w:ascii="Times New Roman;serif" w:hAnsi="Times New Roman;serif"/>
          <w:b w:val="false"/>
          <w:sz w:val="20"/>
        </w:rPr>
        <w:t>In July 2022, the Company provided notice to WuXi Biologics to cancel the contractually binding adintrevimab drug product batches.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November 2022, WuXi Biologics reassigned the remaining contractually binding adintrevimab drug substance batches under the Commercial Manufacturing Agreement to contractually binding NVD200 drug substance batches under its Clinical Master Services Agreement. During the three months ended March 31, 2023, WuXi Biologics reassigned the remaining contractually binding NVD200 drug substance batches to VYD222 drug substance batches.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During the three months ended March 31, 2023, the remaining amount of the low eight-figure credit was applied to WuXi Biologics services as a reduction of research and development expenses and a reduction of accounts payable.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As of March 31, 2023, the total remaining cost of contractually binding VYD222 drug substance batches to be manufactured under the Clinical Master Services Agreement was</w:t>
      </w:r>
      <w:r>
        <w:rPr>
          <w:rFonts w:ascii="Times New Roman" w:hAnsi="Times New Roman"/>
          <w:sz w:val="20"/>
        </w:rPr>
        <w:t xml:space="preserve"> </w:t>
      </w:r>
      <w:r>
        <w:rPr>
          <w:rFonts w:ascii="Times New Roman;serif" w:hAnsi="Times New Roman;serif"/>
          <w:b w:val="false"/>
          <w:sz w:val="20"/>
        </w:rPr>
        <w:t>$15.1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which is expected to be incurred and paid in 2023.</w:t>
      </w:r>
    </w:p>
    <w:p>
      <w:pPr>
        <w:pStyle w:val="TextBody"/>
        <w:bidi w:val="0"/>
        <w:spacing w:before="120" w:after="120"/>
        <w:jc w:val="both"/>
        <w:rPr>
          <w:rFonts w:ascii="Times New Roman" w:hAnsi="Times New Roman"/>
          <w:sz w:val="20"/>
        </w:rPr>
      </w:pPr>
      <w:r>
        <w:rPr>
          <w:rFonts w:ascii="Times New Roman;serif" w:hAnsi="Times New Roman;serif"/>
          <w:b w:val="false"/>
          <w:sz w:val="20"/>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i/>
          <w:sz w:val="20"/>
        </w:rPr>
        <w:t>Other Contracts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20"/>
        </w:rPr>
        <w:t>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March 31, 2023 and December 31, 2022.</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i/>
          <w:sz w:val="20"/>
        </w:rPr>
        <w:t>Legal Proceedings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On January 31, 2023, a securities class action lawsuit captioned Brill v. Invivyd, Inc., et. al., Case No. 1:23-CV-10254-LTS, was filed against the Company and certain of its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Company believes that is has strong defenses and it intends to vigorously defend against this action. The lawsuit is in early stages, and, at this time, no assessment can be made as to the likely outcome or whether the outcome will be material to the Company.</w:t>
      </w:r>
    </w:p>
    <w:p>
      <w:pPr>
        <w:pStyle w:val="TextBody"/>
        <w:bidi w:val="0"/>
        <w:spacing w:before="120" w:after="120"/>
        <w:jc w:val="both"/>
        <w:rPr>
          <w:rFonts w:ascii="Times New Roman" w:hAnsi="Times New Roman"/>
          <w:sz w:val="20"/>
        </w:rPr>
      </w:pPr>
      <w:r>
        <w:rPr>
          <w:rFonts w:ascii="Times New Roman;serif" w:hAnsi="Times New Roman;serif"/>
          <w:b w:val="false"/>
          <w:sz w:val="20"/>
        </w:rPr>
        <w:t>Additionally, the Company received a request from the SEC, dated March 22, 2023, for documents and information concerning, among other matters, the Company’s testing and analysis of the efficacy of ADG20 against Omicron and other COVID-19 variants, its public statements regarding the potential use of ADG20 against the Omicron variant, and related communications with investors and the media. The Company intends to cooperate fully with this fact-finding inquiry.</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i/>
          <w:sz w:val="20"/>
        </w:rPr>
        <w:t>Indemnification Agreements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the ordinary course of business, the Company may provide indemnification of varying scope and terms to its vendors, lessors, CROs, CDMOs,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r>
        <w:rPr>
          <w:rFonts w:ascii="Times New Roman" w:hAnsi="Times New Roman"/>
          <w:sz w:val="20"/>
        </w:rPr>
        <w:t xml:space="preserve"> </w:t>
      </w:r>
    </w:p>
    <w:p>
      <w:pPr>
        <w:pStyle w:val="TextBody"/>
        <w:bidi w:val="0"/>
        <w:spacing w:before="40" w:after="120"/>
        <w:jc w:val="both"/>
        <w:rPr>
          <w:rFonts w:ascii="Times New Roman;serif" w:hAnsi="Times New Roman;serif"/>
          <w:b/>
          <w:sz w:val="20"/>
        </w:rPr>
      </w:pPr>
      <w:r>
        <w:rPr>
          <w:rFonts w:ascii="Times New Roman;serif" w:hAnsi="Times New Roman;serif"/>
          <w:b/>
          <w:sz w:val="20"/>
        </w:rPr>
        <w:t>10. Common Stock</w:t>
      </w:r>
    </w:p>
    <w:p>
      <w:pPr>
        <w:pStyle w:val="TextBody"/>
        <w:bidi w:val="0"/>
        <w:spacing w:before="120" w:after="120"/>
        <w:jc w:val="left"/>
        <w:rPr>
          <w:rFonts w:ascii="Times New Roman;serif" w:hAnsi="Times New Roman;serif"/>
          <w:b/>
          <w:i/>
          <w:sz w:val="20"/>
        </w:rPr>
      </w:pPr>
      <w:r>
        <w:rPr>
          <w:rFonts w:ascii="Times New Roman;serif" w:hAnsi="Times New Roman;serif"/>
          <w:b/>
          <w:i/>
          <w:sz w:val="20"/>
        </w:rPr>
        <w:t>Shares Reserved for Future Issuance</w:t>
      </w:r>
    </w:p>
    <w:p>
      <w:pPr>
        <w:pStyle w:val="TextBody"/>
        <w:bidi w:val="0"/>
        <w:spacing w:before="120" w:after="0"/>
        <w:jc w:val="both"/>
        <w:rPr>
          <w:rFonts w:ascii="Times New Roman" w:hAnsi="Times New Roman"/>
          <w:sz w:val="20"/>
        </w:rPr>
      </w:pPr>
      <w:r>
        <w:rPr>
          <w:rFonts w:ascii="Times New Roman;serif" w:hAnsi="Times New Roman;serif"/>
          <w:b w:val="false"/>
          <w:sz w:val="20"/>
        </w:rPr>
        <w:t>As of March 31, 2023, the Company had reserved 43,892,474</w:t>
      </w:r>
      <w:r>
        <w:rPr>
          <w:rFonts w:ascii="Times New Roman" w:hAnsi="Times New Roman"/>
          <w:sz w:val="20"/>
        </w:rPr>
        <w:t xml:space="preserve"> </w:t>
      </w:r>
      <w:r>
        <w:rPr>
          <w:rFonts w:ascii="Times New Roman;serif" w:hAnsi="Times New Roman;serif"/>
          <w:b w:val="false"/>
          <w:sz w:val="20"/>
        </w:rPr>
        <w:t>shares of common stock for the exercise of outstanding stock options and the issuance of awards available for grant under the Company’s 2020 Equity Incentive Plan, 2021 Equity Incentive Plan and 2021 Employee Stock Purchase</w:t>
      </w:r>
      <w:r>
        <w:rPr>
          <w:rFonts w:ascii="Times New Roman" w:hAnsi="Times New Roman"/>
          <w:sz w:val="20"/>
        </w:rPr>
        <w:t xml:space="preserve"> </w:t>
      </w:r>
      <w:r>
        <w:rPr>
          <w:rFonts w:ascii="Times New Roman;serif" w:hAnsi="Times New Roman;serif"/>
          <w:b w:val="false"/>
          <w:sz w:val="20"/>
        </w:rPr>
        <w:t>Plan (see Note 11).</w:t>
      </w:r>
      <w:r>
        <w:rPr>
          <w:rFonts w:ascii="Times New Roman" w:hAnsi="Times New Roman"/>
          <w:sz w:val="20"/>
        </w:rPr>
        <w:t xml:space="preserve"> </w:t>
      </w:r>
    </w:p>
    <w:p>
      <w:pPr>
        <w:pStyle w:val="TextBody"/>
        <w:bidi w:val="0"/>
        <w:spacing w:before="120" w:after="120"/>
        <w:jc w:val="left"/>
        <w:rPr>
          <w:rFonts w:ascii="Times New Roman;serif" w:hAnsi="Times New Roman;serif"/>
          <w:b/>
          <w:i/>
          <w:sz w:val="20"/>
        </w:rPr>
      </w:pPr>
      <w:r>
        <w:rPr>
          <w:rFonts w:ascii="Times New Roman;serif" w:hAnsi="Times New Roman;serif"/>
          <w:b/>
          <w:i/>
          <w:sz w:val="20"/>
        </w:rPr>
        <w:t>Shelf Registration Statement</w:t>
      </w:r>
    </w:p>
    <w:p>
      <w:pPr>
        <w:pStyle w:val="TextBody"/>
        <w:bidi w:val="0"/>
        <w:spacing w:before="120" w:after="0"/>
        <w:jc w:val="both"/>
        <w:rPr>
          <w:rFonts w:ascii="Times New Roman" w:hAnsi="Times New Roman"/>
          <w:sz w:val="20"/>
        </w:rPr>
      </w:pPr>
      <w:r>
        <w:rPr>
          <w:rFonts w:ascii="Times New Roman;serif" w:hAnsi="Times New Roman;serif"/>
          <w:b w:val="false"/>
          <w:sz w:val="20"/>
        </w:rPr>
        <w:t>On September 28, 2022, the Company filed a shelf registration statement on Form S-3 with the SEC (File No. 333-267643) and an accompanying base prospectus, which was declared effective by the SEC on October 5, 2022, for the offer and sale of up to $400</w:t>
      </w:r>
      <w:r>
        <w:rPr>
          <w:rFonts w:ascii="Times New Roman" w:hAnsi="Times New Roman"/>
          <w:sz w:val="20"/>
        </w:rPr>
        <w:t xml:space="preserve"> </w:t>
      </w:r>
      <w:r>
        <w:rPr>
          <w:rFonts w:ascii="Times New Roman;serif" w:hAnsi="Times New Roman;serif"/>
          <w:b w:val="false"/>
          <w:sz w:val="20"/>
        </w:rPr>
        <w:t>million of the Company’s securities.</w:t>
      </w:r>
    </w:p>
    <w:p>
      <w:pPr>
        <w:pStyle w:val="TextBody"/>
        <w:bidi w:val="0"/>
        <w:spacing w:before="120" w:after="120"/>
        <w:jc w:val="left"/>
        <w:rPr>
          <w:rFonts w:ascii="Times New Roman;serif" w:hAnsi="Times New Roman;serif"/>
          <w:b/>
          <w:i/>
          <w:sz w:val="20"/>
        </w:rPr>
      </w:pPr>
      <w:r>
        <w:rPr>
          <w:rFonts w:ascii="Times New Roman;serif" w:hAnsi="Times New Roman;serif"/>
          <w:b/>
          <w:i/>
          <w:sz w:val="20"/>
        </w:rPr>
        <w:t>Treasury Stock</w:t>
      </w:r>
    </w:p>
    <w:p>
      <w:pPr>
        <w:pStyle w:val="TextBody"/>
        <w:bidi w:val="0"/>
        <w:spacing w:before="120" w:after="120"/>
        <w:jc w:val="both"/>
        <w:rPr>
          <w:rFonts w:ascii="Times New Roman" w:hAnsi="Times New Roman"/>
          <w:sz w:val="20"/>
        </w:rPr>
      </w:pPr>
      <w:r>
        <w:rPr>
          <w:rFonts w:ascii="Times New Roman;serif" w:hAnsi="Times New Roman;serif"/>
          <w:b w:val="false"/>
          <w:sz w:val="20"/>
        </w:rPr>
        <w:t>In February and June 2022, the Company repurchased 1,158,089</w:t>
      </w:r>
      <w:r>
        <w:rPr>
          <w:rFonts w:ascii="Times New Roman" w:hAnsi="Times New Roman"/>
          <w:sz w:val="20"/>
        </w:rPr>
        <w:t xml:space="preserve"> </w:t>
      </w:r>
      <w:r>
        <w:rPr>
          <w:rFonts w:ascii="Times New Roman;serif" w:hAnsi="Times New Roman;serif"/>
          <w:b w:val="false"/>
          <w:sz w:val="20"/>
        </w:rPr>
        <w:t>and 992,648</w:t>
      </w:r>
      <w:r>
        <w:rPr>
          <w:rFonts w:ascii="Times New Roman" w:hAnsi="Times New Roman"/>
          <w:sz w:val="20"/>
        </w:rPr>
        <w:t xml:space="preserve"> </w:t>
      </w:r>
      <w:r>
        <w:rPr>
          <w:rFonts w:ascii="Times New Roman;serif" w:hAnsi="Times New Roman;serif"/>
          <w:b w:val="false"/>
          <w:sz w:val="20"/>
        </w:rPr>
        <w:t>shares of unvested restricted common stock, respectively, at the original purchase price upon a termination of service during the vesting period.</w:t>
      </w:r>
      <w:r>
        <w:rPr>
          <w:rFonts w:ascii="Times New Roman" w:hAnsi="Times New Roman"/>
          <w:sz w:val="20"/>
        </w:rPr>
        <w:t xml:space="preserve"> </w:t>
      </w:r>
      <w:r>
        <w:rPr>
          <w:rFonts w:ascii="Times New Roman;serif" w:hAnsi="Times New Roman;serif"/>
          <w:b w:val="false"/>
          <w:sz w:val="20"/>
        </w:rPr>
        <w:t>The shares of common stock repurchased were recorded as treasury stock in the accompanying condensed consolidated balance sheets and condensed consolidated statements of stockholders’ equity (deficit) as such shares were not retired. The fair value of the repurchased common stock was insignificant.</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March and September 2022, the Company retired an aggregate of 1,626,840</w:t>
      </w:r>
      <w:r>
        <w:rPr>
          <w:rFonts w:ascii="Times New Roman" w:hAnsi="Times New Roman"/>
          <w:sz w:val="20"/>
        </w:rPr>
        <w:t xml:space="preserve"> </w:t>
      </w:r>
      <w:r>
        <w:rPr>
          <w:rFonts w:ascii="Times New Roman;serif" w:hAnsi="Times New Roman;serif"/>
          <w:b w:val="false"/>
          <w:sz w:val="20"/>
        </w:rPr>
        <w:t>and 992,648</w:t>
      </w:r>
      <w:r>
        <w:rPr>
          <w:rFonts w:ascii="Times New Roman" w:hAnsi="Times New Roman"/>
          <w:sz w:val="20"/>
        </w:rPr>
        <w:t xml:space="preserve"> </w:t>
      </w:r>
      <w:r>
        <w:rPr>
          <w:rFonts w:ascii="Times New Roman;serif" w:hAnsi="Times New Roman;serif"/>
          <w:b w:val="false"/>
          <w:sz w:val="20"/>
        </w:rPr>
        <w:t>shares of common stock, respectively, held in treasury. Upon retirement, the shares were redesignated as authorized but unissued shares of the Company’s common stock.</w:t>
      </w:r>
    </w:p>
    <w:p>
      <w:pPr>
        <w:pStyle w:val="TextBody"/>
        <w:bidi w:val="0"/>
        <w:spacing w:before="120" w:after="120"/>
        <w:jc w:val="both"/>
        <w:rPr>
          <w:rFonts w:ascii="Times New Roman" w:hAnsi="Times New Roman"/>
          <w:sz w:val="20"/>
        </w:rPr>
      </w:pPr>
      <w:r>
        <w:rPr>
          <w:rFonts w:ascii="Times New Roman;serif" w:hAnsi="Times New Roman;serif"/>
          <w:b w:val="false"/>
          <w:sz w:val="20"/>
        </w:rPr>
        <w:t>In March 2023, the Company repurchased, and subsequently retired, 206,802</w:t>
      </w:r>
      <w:r>
        <w:rPr>
          <w:rFonts w:ascii="Times New Roman" w:hAnsi="Times New Roman"/>
          <w:sz w:val="20"/>
        </w:rPr>
        <w:t xml:space="preserve"> </w:t>
      </w:r>
      <w:r>
        <w:rPr>
          <w:rFonts w:ascii="Times New Roman;serif" w:hAnsi="Times New Roman;serif"/>
          <w:b w:val="false"/>
          <w:sz w:val="20"/>
        </w:rPr>
        <w:t>shares of unvested restricted common stock at the original purchase price upon a termination of service of an employee during the vesting period. Upon retirement, the shares were redesignated as authorized but unissued shares of the Company’s common stock.</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sz w:val="20"/>
        </w:rPr>
        <w:t>11. Stock-Based Compensation</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i/>
          <w:sz w:val="20"/>
        </w:rPr>
        <w:t>2020 Equity Incentive Plan</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exercise price for stock options granted may not be less than the fair market value of the Company’s common stock on the date of grant, as determined by the board of directors, or at least 110% of the fair market value of the Company’s</w:t>
      </w:r>
      <w:r>
        <w:rPr>
          <w:rFonts w:ascii="Times New Roman" w:hAnsi="Times New Roman"/>
          <w:sz w:val="20"/>
        </w:rPr>
        <w:t xml:space="preserve"> </w:t>
      </w:r>
      <w:r>
        <w:rPr>
          <w:rFonts w:ascii="Times New Roman;serif" w:hAnsi="Times New Roman;serif"/>
          <w:b w:val="false"/>
          <w:sz w:val="20"/>
        </w:rPr>
        <w:t>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w:t>
      </w:r>
      <w:r>
        <w:rPr>
          <w:rFonts w:ascii="Times New Roman" w:hAnsi="Times New Roman"/>
          <w:sz w:val="20"/>
        </w:rPr>
        <w:t xml:space="preserve"> </w:t>
      </w:r>
      <w:r>
        <w:rPr>
          <w:rFonts w:ascii="Times New Roman;serif" w:hAnsi="Times New Roman;serif"/>
          <w:b w:val="false"/>
          <w:sz w:val="20"/>
        </w:rPr>
        <w:t>and typically vest over a four-year period with the first 25% vesting upon the first anniversary of a specified vesting commencement date and the remainder vesting in 36</w:t>
      </w:r>
      <w:r>
        <w:rPr>
          <w:rFonts w:ascii="Times New Roman" w:hAnsi="Times New Roman"/>
          <w:sz w:val="20"/>
        </w:rPr>
        <w:t xml:space="preserve"> </w:t>
      </w:r>
      <w:r>
        <w:rPr>
          <w:rFonts w:ascii="Times New Roman;serif" w:hAnsi="Times New Roman;serif"/>
          <w:b w:val="false"/>
          <w:sz w:val="20"/>
        </w:rPr>
        <w:t>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As of March 31, 2023,</w:t>
      </w:r>
      <w:r>
        <w:rPr>
          <w:rFonts w:ascii="Times New Roman" w:hAnsi="Times New Roman"/>
          <w:sz w:val="20"/>
        </w:rPr>
        <w:t xml:space="preserve"> </w:t>
      </w:r>
      <w:r>
        <w:rPr>
          <w:rFonts w:ascii="Times New Roman;serif" w:hAnsi="Times New Roman;serif"/>
          <w:b w:val="false"/>
          <w:sz w:val="20"/>
        </w:rPr>
        <w:t>there were 9,097,011</w:t>
      </w:r>
      <w:r>
        <w:rPr>
          <w:rFonts w:ascii="Times New Roman" w:hAnsi="Times New Roman"/>
          <w:sz w:val="20"/>
        </w:rPr>
        <w:t xml:space="preserve"> </w:t>
      </w:r>
      <w:r>
        <w:rPr>
          <w:rFonts w:ascii="Times New Roman;serif" w:hAnsi="Times New Roman;serif"/>
          <w:b w:val="false"/>
          <w:sz w:val="20"/>
        </w:rPr>
        <w:t>shares authorized to be issued upon the exercise of outstanding stock option grants and no</w:t>
      </w:r>
      <w:r>
        <w:rPr>
          <w:rFonts w:ascii="Times New Roman" w:hAnsi="Times New Roman"/>
          <w:sz w:val="20"/>
        </w:rPr>
        <w:t xml:space="preserve"> </w:t>
      </w:r>
      <w:r>
        <w:rPr>
          <w:rFonts w:ascii="Times New Roman;serif" w:hAnsi="Times New Roman;serif"/>
          <w:b w:val="false"/>
          <w:sz w:val="20"/>
        </w:rPr>
        <w:t>shares reserved for future issuance under the 2020 Plan.</w:t>
      </w:r>
    </w:p>
    <w:p>
      <w:pPr>
        <w:pStyle w:val="TextBody"/>
        <w:bidi w:val="0"/>
        <w:spacing w:before="120" w:after="120"/>
        <w:jc w:val="both"/>
        <w:rPr>
          <w:rFonts w:ascii="Times New Roman;serif" w:hAnsi="Times New Roman;serif"/>
          <w:b/>
          <w:i/>
          <w:sz w:val="20"/>
        </w:rPr>
      </w:pPr>
      <w:r>
        <w:rPr>
          <w:rFonts w:ascii="Times New Roman;serif" w:hAnsi="Times New Roman;serif"/>
          <w:b/>
          <w:i/>
          <w:sz w:val="20"/>
        </w:rPr>
        <w:t>2021 Equity Incentive Plan</w:t>
      </w:r>
    </w:p>
    <w:p>
      <w:pPr>
        <w:pStyle w:val="TextBody"/>
        <w:bidi w:val="0"/>
        <w:spacing w:before="120" w:after="120"/>
        <w:jc w:val="both"/>
        <w:rPr>
          <w:rFonts w:ascii="Times New Roman" w:hAnsi="Times New Roman"/>
          <w:sz w:val="20"/>
        </w:rPr>
      </w:pPr>
      <w:r>
        <w:rPr>
          <w:rFonts w:ascii="Times New Roman;serif" w:hAnsi="Times New Roman;serif"/>
          <w:b w:val="false"/>
          <w:sz w:val="20"/>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w:t>
      </w:r>
      <w:r>
        <w:rPr>
          <w:rFonts w:ascii="Times New Roman" w:hAnsi="Times New Roman"/>
          <w:sz w:val="20"/>
        </w:rPr>
        <w:t xml:space="preserve"> </w:t>
      </w:r>
      <w:r>
        <w:rPr>
          <w:rFonts w:ascii="Times New Roman;serif" w:hAnsi="Times New Roman;serif"/>
          <w:b w:val="false"/>
          <w:sz w:val="20"/>
        </w:rPr>
        <w:t>new shares; plus the number of shares (not to exceed 23,661,550</w:t>
      </w:r>
      <w:r>
        <w:rPr>
          <w:rFonts w:ascii="Times New Roman" w:hAnsi="Times New Roman"/>
          <w:sz w:val="20"/>
        </w:rPr>
        <w:t xml:space="preserve"> </w:t>
      </w:r>
      <w:r>
        <w:rPr>
          <w:rFonts w:ascii="Times New Roman;serif" w:hAnsi="Times New Roman;serif"/>
          <w:b w:val="false"/>
          <w:sz w:val="20"/>
        </w:rPr>
        <w:t>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w:t>
      </w:r>
      <w:r>
        <w:rPr>
          <w:rFonts w:ascii="Times New Roman" w:hAnsi="Times New Roman"/>
          <w:sz w:val="20"/>
        </w:rPr>
        <w:t xml:space="preserve"> </w:t>
      </w:r>
      <w:r>
        <w:rPr>
          <w:rFonts w:ascii="Times New Roman;serif" w:hAnsi="Times New Roman;serif"/>
          <w:b w:val="false"/>
          <w:sz w:val="20"/>
        </w:rPr>
        <w:t>shares of common stock were automatically added to the shares authorized for issuance under the 2021 Plan. The number of shares to be issued under the 2021 Plan did not increase on January 1, 2023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As of March 31, 2023, there was an aggregate of 42,719,001</w:t>
      </w:r>
      <w:r>
        <w:rPr>
          <w:rFonts w:ascii="Times New Roman" w:hAnsi="Times New Roman"/>
          <w:sz w:val="20"/>
        </w:rPr>
        <w:t xml:space="preserve"> </w:t>
      </w:r>
      <w:r>
        <w:rPr>
          <w:rFonts w:ascii="Times New Roman;serif" w:hAnsi="Times New Roman;serif"/>
          <w:b w:val="false"/>
          <w:sz w:val="20"/>
        </w:rPr>
        <w:t>shares authorized to be issued under the 2020 Plan and the 2021 Plan, which includes 9,097,011</w:t>
      </w:r>
      <w:r>
        <w:rPr>
          <w:rFonts w:ascii="Times New Roman" w:hAnsi="Times New Roman"/>
          <w:sz w:val="20"/>
        </w:rPr>
        <w:t xml:space="preserve"> </w:t>
      </w:r>
      <w:r>
        <w:rPr>
          <w:rFonts w:ascii="Times New Roman;serif" w:hAnsi="Times New Roman;serif"/>
          <w:b w:val="false"/>
          <w:sz w:val="20"/>
        </w:rPr>
        <w:t>and 14,786,771</w:t>
      </w:r>
      <w:r>
        <w:rPr>
          <w:rFonts w:ascii="Times New Roman" w:hAnsi="Times New Roman"/>
          <w:sz w:val="20"/>
        </w:rPr>
        <w:t xml:space="preserve"> </w:t>
      </w:r>
      <w:r>
        <w:rPr>
          <w:rFonts w:ascii="Times New Roman;serif" w:hAnsi="Times New Roman;serif"/>
          <w:b w:val="false"/>
          <w:sz w:val="20"/>
        </w:rPr>
        <w:t>shares authorized to be issued upon the exercise of outstanding stock option grants from the 2020 Plan and 2021 Plan, respectively, and 0</w:t>
      </w:r>
      <w:r>
        <w:rPr>
          <w:rFonts w:ascii="Times New Roman" w:hAnsi="Times New Roman"/>
          <w:sz w:val="20"/>
        </w:rPr>
        <w:t xml:space="preserve"> </w:t>
      </w:r>
      <w:r>
        <w:rPr>
          <w:rFonts w:ascii="Times New Roman;serif" w:hAnsi="Times New Roman;serif"/>
          <w:b w:val="false"/>
          <w:sz w:val="20"/>
        </w:rPr>
        <w:t>and 18,835,219</w:t>
      </w:r>
      <w:r>
        <w:rPr>
          <w:rFonts w:ascii="Times New Roman" w:hAnsi="Times New Roman"/>
          <w:sz w:val="20"/>
        </w:rPr>
        <w:t xml:space="preserve"> </w:t>
      </w:r>
      <w:r>
        <w:rPr>
          <w:rFonts w:ascii="Times New Roman;serif" w:hAnsi="Times New Roman;serif"/>
          <w:b w:val="false"/>
          <w:sz w:val="20"/>
        </w:rPr>
        <w:t>shares reserved for future issuance under the 2020 Plan and 2021 Plan, respectively.</w:t>
      </w:r>
    </w:p>
    <w:p>
      <w:pPr>
        <w:pStyle w:val="TextBody"/>
        <w:bidi w:val="0"/>
        <w:spacing w:before="120" w:after="120"/>
        <w:jc w:val="both"/>
        <w:rPr>
          <w:rFonts w:ascii="Times New Roman" w:hAnsi="Times New Roman"/>
          <w:sz w:val="20"/>
        </w:rPr>
      </w:pPr>
      <w:r>
        <w:rPr>
          <w:rFonts w:ascii="Times New Roman;serif" w:hAnsi="Times New Roman;serif"/>
          <w:b/>
          <w:i/>
          <w:sz w:val="20"/>
        </w:rPr>
        <w:t>Stock Option Valuation</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80"/>
        <w:jc w:val="both"/>
        <w:rPr>
          <w:rFonts w:ascii="Times New Roman;serif" w:hAnsi="Times New Roman;serif"/>
          <w:b w:val="false"/>
          <w:sz w:val="20"/>
        </w:rPr>
      </w:pPr>
      <w:r>
        <w:rPr>
          <w:rFonts w:ascii="Times New Roman;serif" w:hAnsi="Times New Roman;serif"/>
          <w:b w:val="false"/>
          <w:sz w:val="20"/>
        </w:rPr>
        <w:t>The following table presents, on a weighted-average basis, the assumptions used in the Black-Scholes option-pricing model to determine the grant date fair value of stock options granted:</w:t>
      </w:r>
    </w:p>
    <w:tbl>
      <w:tblPr>
        <w:tblW w:w="6220" w:type="dxa"/>
        <w:jc w:val="left"/>
        <w:tblInd w:w="0" w:type="dxa"/>
        <w:tblLayout w:type="fixed"/>
        <w:tblCellMar>
          <w:top w:w="28" w:type="dxa"/>
          <w:left w:w="28" w:type="dxa"/>
          <w:bottom w:w="28" w:type="dxa"/>
          <w:right w:w="28" w:type="dxa"/>
        </w:tblCellMar>
      </w:tblPr>
      <w:tblGrid>
        <w:gridCol w:w="2131"/>
        <w:gridCol w:w="146"/>
        <w:gridCol w:w="382"/>
        <w:gridCol w:w="1223"/>
        <w:gridCol w:w="271"/>
        <w:gridCol w:w="146"/>
        <w:gridCol w:w="382"/>
        <w:gridCol w:w="1223"/>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16" w:type="dxa"/>
            <w:tcBorders/>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316" w:type="dxa"/>
            <w:tcBorders/>
            <w:vAlign w:val="center"/>
          </w:tcPr>
          <w:p>
            <w:pPr>
              <w:pStyle w:val="TableContents"/>
              <w:bidi w:val="0"/>
              <w:spacing w:before="0" w:after="0"/>
              <w:ind w:left="0" w:right="0" w:hanging="0"/>
              <w:jc w:val="left"/>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120"/>
        <w:jc w:val="both"/>
        <w:rPr>
          <w:rFonts w:ascii="Times New Roman" w:hAnsi="Times New Roman"/>
          <w:sz w:val="20"/>
        </w:rPr>
      </w:pPr>
      <w:r>
        <w:rPr>
          <w:rFonts w:ascii="Times New Roman;serif" w:hAnsi="Times New Roman;serif"/>
          <w:b/>
          <w:i/>
          <w:sz w:val="20"/>
        </w:rPr>
        <w:t>Stock Option Activity</w:t>
      </w:r>
      <w:r>
        <w:rPr>
          <w:rFonts w:ascii="Times New Roman" w:hAnsi="Times New Roman"/>
          <w:sz w:val="20"/>
        </w:rPr>
        <w:t xml:space="preserve"> </w:t>
      </w:r>
    </w:p>
    <w:p>
      <w:pPr>
        <w:pStyle w:val="TextBody"/>
        <w:bidi w:val="0"/>
        <w:spacing w:before="120" w:after="80"/>
        <w:jc w:val="both"/>
        <w:rPr>
          <w:rFonts w:ascii="Times New Roman" w:hAnsi="Times New Roman"/>
          <w:sz w:val="20"/>
        </w:rPr>
      </w:pPr>
      <w:r>
        <w:rPr>
          <w:rFonts w:ascii="Times New Roman;serif" w:hAnsi="Times New Roman;serif"/>
          <w:b w:val="false"/>
          <w:sz w:val="20"/>
        </w:rPr>
        <w:t>The following table summarizes the Company’s stock option activity since December 31, 2022:</w:t>
      </w:r>
      <w:r>
        <w:rPr>
          <w:rFonts w:ascii="Times New Roman" w:hAnsi="Times New Roman"/>
          <w:sz w:val="20"/>
        </w:rPr>
        <w:t xml:space="preserve"> </w:t>
      </w:r>
    </w:p>
    <w:tbl>
      <w:tblPr>
        <w:tblW w:w="9503" w:type="dxa"/>
        <w:jc w:val="left"/>
        <w:tblInd w:w="0" w:type="dxa"/>
        <w:tblLayout w:type="fixed"/>
        <w:tblCellMar>
          <w:top w:w="28" w:type="dxa"/>
          <w:left w:w="28" w:type="dxa"/>
          <w:bottom w:w="28" w:type="dxa"/>
          <w:right w:w="28" w:type="dxa"/>
        </w:tblCellMar>
      </w:tblPr>
      <w:tblGrid>
        <w:gridCol w:w="3916"/>
        <w:gridCol w:w="146"/>
        <w:gridCol w:w="146"/>
        <w:gridCol w:w="1036"/>
        <w:gridCol w:w="166"/>
        <w:gridCol w:w="146"/>
        <w:gridCol w:w="266"/>
        <w:gridCol w:w="590"/>
        <w:gridCol w:w="146"/>
        <w:gridCol w:w="146"/>
        <w:gridCol w:w="285"/>
        <w:gridCol w:w="706"/>
        <w:gridCol w:w="146"/>
        <w:gridCol w:w="146"/>
        <w:gridCol w:w="303"/>
        <w:gridCol w:w="822"/>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years)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23,239,391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w:t>
            </w:r>
          </w:p>
        </w:tc>
        <w:tc>
          <w:tcPr>
            <w:tcW w:w="391" w:type="dxa"/>
            <w:tcBorders/>
            <w:vAlign w:val="center"/>
          </w:tcPr>
          <w:p>
            <w:pPr>
              <w:pStyle w:val="TableContents"/>
              <w:bidi w:val="0"/>
              <w:spacing w:before="0" w:after="0"/>
              <w:ind w:left="0" w:right="0" w:firstLine="200"/>
              <w:jc w:val="left"/>
              <w:rPr/>
            </w:pPr>
            <w:r>
              <w:rPr/>
              <w:t> </w:t>
            </w:r>
          </w:p>
        </w:tc>
      </w:tr>
      <w:tr>
        <w:trPr/>
        <w:tc>
          <w:tcPr>
            <w:tcW w:w="39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3,064,800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9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(423,203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9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(1,997,206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23,883,782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712</w:t>
            </w:r>
          </w:p>
        </w:tc>
        <w:tc>
          <w:tcPr>
            <w:tcW w:w="39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expected to vest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23,883,782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712</w:t>
            </w:r>
          </w:p>
        </w:tc>
        <w:tc>
          <w:tcPr>
            <w:tcW w:w="39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exercisable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7,006,412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80" w:after="120"/>
        <w:jc w:val="both"/>
        <w:rPr>
          <w:rFonts w:ascii="Times New Roman" w:hAnsi="Times New Roman"/>
          <w:sz w:val="20"/>
        </w:rPr>
      </w:pPr>
      <w:r>
        <w:rPr>
          <w:rFonts w:ascii="Times New Roman;serif" w:hAnsi="Times New Roman;serif"/>
          <w:b w:val="false"/>
          <w:sz w:val="20"/>
        </w:rPr>
        <w:t>The weighted-average grant date fair value of stock options granted during the three months ended March 31, 2023</w:t>
      </w:r>
      <w:r>
        <w:rPr>
          <w:rFonts w:ascii="Times New Roman" w:hAnsi="Times New Roman"/>
          <w:sz w:val="20"/>
        </w:rPr>
        <w:t xml:space="preserve"> </w:t>
      </w:r>
      <w:r>
        <w:rPr>
          <w:rFonts w:ascii="Times New Roman;serif" w:hAnsi="Times New Roman;serif"/>
          <w:b w:val="false"/>
          <w:sz w:val="20"/>
        </w:rPr>
        <w:t>and 2022 was $1.34</w:t>
      </w:r>
      <w:r>
        <w:rPr>
          <w:rFonts w:ascii="Times New Roman" w:hAnsi="Times New Roman"/>
          <w:sz w:val="20"/>
        </w:rPr>
        <w:t xml:space="preserve"> </w:t>
      </w:r>
      <w:r>
        <w:rPr>
          <w:rFonts w:ascii="Times New Roman;serif" w:hAnsi="Times New Roman;serif"/>
          <w:b w:val="false"/>
          <w:sz w:val="20"/>
        </w:rPr>
        <w:t>and $4.23, respectively, per share.</w:t>
      </w:r>
      <w:r>
        <w:rPr>
          <w:rFonts w:ascii="Times New Roman" w:hAnsi="Times New Roman"/>
          <w:sz w:val="20"/>
        </w:rPr>
        <w:t xml:space="preserve"> </w:t>
      </w:r>
    </w:p>
    <w:p>
      <w:pPr>
        <w:pStyle w:val="TextBody"/>
        <w:bidi w:val="0"/>
        <w:spacing w:before="80" w:after="120"/>
        <w:jc w:val="both"/>
        <w:rPr>
          <w:rFonts w:ascii="Times New Roman;serif" w:hAnsi="Times New Roman;serif"/>
          <w:b w:val="false"/>
          <w:sz w:val="20"/>
        </w:rPr>
      </w:pPr>
      <w:r>
        <w:rPr>
          <w:rFonts w:ascii="Times New Roman;serif" w:hAnsi="Times New Roman;serif"/>
          <w:b w:val="false"/>
          <w:sz w:val="20"/>
        </w:rPr>
        <w:t>The aggregate intrinsic value is calculated as the difference between the exercise price of the underlying options and the fair market value of the common stock for the options that had exercise prices lower than the estimated fair value of the Company's common stock at March 31, 2023 and 2022.</w:t>
      </w:r>
    </w:p>
    <w:p>
      <w:pPr>
        <w:pStyle w:val="TextBody"/>
        <w:bidi w:val="0"/>
        <w:spacing w:before="80" w:after="120"/>
        <w:jc w:val="both"/>
        <w:rPr>
          <w:rFonts w:ascii="Times New Roman" w:hAnsi="Times New Roman"/>
          <w:sz w:val="20"/>
        </w:rPr>
      </w:pPr>
      <w:r>
        <w:rPr>
          <w:rFonts w:ascii="Times New Roman;serif" w:hAnsi="Times New Roman;serif"/>
          <w:b w:val="false"/>
          <w:sz w:val="20"/>
        </w:rPr>
        <w:t>The total intrinsic value of stock options exercised was $0.3</w:t>
      </w:r>
      <w:r>
        <w:rPr>
          <w:rFonts w:ascii="Times New Roman" w:hAnsi="Times New Roman"/>
          <w:sz w:val="20"/>
        </w:rPr>
        <w:t xml:space="preserve"> </w:t>
      </w:r>
      <w:r>
        <w:rPr>
          <w:rFonts w:ascii="Times New Roman;serif" w:hAnsi="Times New Roman;serif"/>
          <w:b w:val="false"/>
          <w:sz w:val="20"/>
        </w:rPr>
        <w:t>million for both the three months ended March 31, 2023 and 2022.</w:t>
      </w:r>
    </w:p>
    <w:p>
      <w:pPr>
        <w:pStyle w:val="TextBody"/>
        <w:bidi w:val="0"/>
        <w:spacing w:before="120" w:after="120"/>
        <w:jc w:val="both"/>
        <w:rPr>
          <w:rFonts w:ascii="Times New Roman" w:hAnsi="Times New Roman"/>
          <w:sz w:val="20"/>
        </w:rPr>
      </w:pPr>
      <w:r>
        <w:rPr>
          <w:rFonts w:ascii="Times New Roman;serif" w:hAnsi="Times New Roman;serif"/>
          <w:b/>
          <w:i/>
          <w:sz w:val="20"/>
        </w:rPr>
        <w:t>Early Exercise of Stock Options into Restricted Stock</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Company’s restricted stock activity during the three months ended March 31, 2023 was solely due to shares of restricted common stock issued pursuant to the permitted early exercise of stock options as permitted under the 2020 Plan prior to amendments to the 2020 Plan. The 2021 Plan does not permit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r>
        <w:rPr>
          <w:rFonts w:ascii="Times New Roman" w:hAnsi="Times New Roman"/>
          <w:sz w:val="20"/>
        </w:rPr>
        <w:t xml:space="preserve"> </w:t>
      </w:r>
    </w:p>
    <w:p>
      <w:pPr>
        <w:pStyle w:val="TextBody"/>
        <w:bidi w:val="0"/>
        <w:spacing w:before="120" w:after="80"/>
        <w:jc w:val="both"/>
        <w:rPr>
          <w:rFonts w:ascii="Times New Roman" w:hAnsi="Times New Roman"/>
          <w:sz w:val="20"/>
        </w:rPr>
      </w:pPr>
      <w:r>
        <w:rPr>
          <w:rFonts w:ascii="Times New Roman;serif" w:hAnsi="Times New Roman;serif"/>
          <w:b w:val="false"/>
          <w:sz w:val="20"/>
        </w:rPr>
        <w:t>A summary of the Company’s unvested common stock from option early exercises that is subject to repurchase by the Company is as follows:</w:t>
      </w:r>
      <w:r>
        <w:rPr>
          <w:rFonts w:ascii="Times New Roman" w:hAnsi="Times New Roman"/>
          <w:sz w:val="20"/>
        </w:rPr>
        <w:t xml:space="preserve"> </w:t>
      </w:r>
    </w:p>
    <w:tbl>
      <w:tblPr>
        <w:tblW w:w="5520" w:type="dxa"/>
        <w:jc w:val="left"/>
        <w:tblInd w:w="0" w:type="dxa"/>
        <w:tblLayout w:type="fixed"/>
        <w:tblCellMar>
          <w:top w:w="28" w:type="dxa"/>
          <w:left w:w="28" w:type="dxa"/>
          <w:bottom w:w="28" w:type="dxa"/>
          <w:right w:w="28" w:type="dxa"/>
        </w:tblCellMar>
      </w:tblPr>
      <w:tblGrid>
        <w:gridCol w:w="3976"/>
        <w:gridCol w:w="146"/>
        <w:gridCol w:w="146"/>
        <w:gridCol w:w="841"/>
        <w:gridCol w:w="41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br/>
              <w:t>of Shares</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restricted stock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360,333</w:t>
            </w:r>
          </w:p>
        </w:tc>
        <w:tc>
          <w:tcPr>
            <w:tcW w:w="411" w:type="dxa"/>
            <w:tcBorders/>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(60,055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(206,802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restricted stock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93,476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80" w:after="120"/>
        <w:jc w:val="both"/>
        <w:rPr>
          <w:rFonts w:ascii="Times New Roman" w:hAnsi="Times New Roman"/>
          <w:sz w:val="20"/>
        </w:rPr>
      </w:pPr>
      <w:r>
        <w:rPr>
          <w:rFonts w:ascii="Times New Roman;serif" w:hAnsi="Times New Roman;serif"/>
          <w:b w:val="false"/>
          <w:sz w:val="20"/>
        </w:rPr>
        <w:t>Proceeds from the early exercise of stock options are recorded as an early-exercise liability on the condensed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both March 31, 2023 and December 31, 2022, the liability related to the payments for unvested shares from early-exercised options was less than $0.1</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i/>
          <w:sz w:val="20"/>
        </w:rPr>
        <w:t>Stock-Based Compensation Expense</w:t>
      </w:r>
      <w:r>
        <w:rPr>
          <w:rFonts w:ascii="Times New Roman" w:hAnsi="Times New Roman"/>
          <w:sz w:val="20"/>
        </w:rPr>
        <w:t xml:space="preserve"> </w:t>
      </w:r>
    </w:p>
    <w:p>
      <w:pPr>
        <w:pStyle w:val="TextBody"/>
        <w:bidi w:val="0"/>
        <w:spacing w:before="120" w:after="80"/>
        <w:jc w:val="both"/>
        <w:rPr>
          <w:rFonts w:ascii="Times New Roman" w:hAnsi="Times New Roman"/>
          <w:sz w:val="20"/>
        </w:rPr>
      </w:pPr>
      <w:r>
        <w:rPr>
          <w:rFonts w:ascii="Times New Roman;serif" w:hAnsi="Times New Roman;serif"/>
          <w:b w:val="false"/>
          <w:sz w:val="20"/>
        </w:rPr>
        <w:t>The Company recorded stock-based compensation expense (service-based stock options and employee stock purchase plan) in the following expense categories of its condensed consolidated statements of operations and comprehensive loss (in thousands):</w:t>
      </w:r>
      <w:r>
        <w:rPr>
          <w:rFonts w:ascii="Times New Roman" w:hAnsi="Times New Roman"/>
          <w:sz w:val="20"/>
        </w:rPr>
        <w:t xml:space="preserve"> </w:t>
      </w:r>
    </w:p>
    <w:tbl>
      <w:tblPr>
        <w:tblW w:w="6815" w:type="dxa"/>
        <w:jc w:val="left"/>
        <w:tblInd w:w="0" w:type="dxa"/>
        <w:tblLayout w:type="fixed"/>
        <w:tblCellMar>
          <w:top w:w="28" w:type="dxa"/>
          <w:left w:w="28" w:type="dxa"/>
          <w:bottom w:w="28" w:type="dxa"/>
          <w:right w:w="28" w:type="dxa"/>
        </w:tblCellMar>
      </w:tblPr>
      <w:tblGrid>
        <w:gridCol w:w="2956"/>
        <w:gridCol w:w="146"/>
        <w:gridCol w:w="433"/>
        <w:gridCol w:w="1172"/>
        <w:gridCol w:w="146"/>
        <w:gridCol w:w="146"/>
        <w:gridCol w:w="402"/>
        <w:gridCol w:w="1203"/>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211" w:type="dxa"/>
            <w:tcBorders/>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211" w:type="dxa"/>
            <w:tcBorders/>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4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80" w:after="120"/>
        <w:jc w:val="both"/>
        <w:rPr>
          <w:rFonts w:ascii="Times New Roman" w:hAnsi="Times New Roman"/>
          <w:sz w:val="20"/>
        </w:rPr>
      </w:pPr>
      <w:r>
        <w:rPr>
          <w:rFonts w:ascii="Times New Roman;serif" w:hAnsi="Times New Roman;serif"/>
          <w:b w:val="false"/>
          <w:sz w:val="20"/>
        </w:rPr>
        <w:t>As of March 31, 2023, total unrecognized stock-based compensation expense related to unvested stock-based awards was $53.8</w:t>
      </w:r>
      <w:r>
        <w:rPr>
          <w:rFonts w:ascii="Times New Roman" w:hAnsi="Times New Roman"/>
          <w:sz w:val="20"/>
        </w:rPr>
        <w:t xml:space="preserve"> </w:t>
      </w:r>
      <w:r>
        <w:rPr>
          <w:rFonts w:ascii="Times New Roman;serif" w:hAnsi="Times New Roman;serif"/>
          <w:b w:val="false"/>
          <w:sz w:val="20"/>
        </w:rPr>
        <w:t>million, which is expected to be recognized over a weighted-average period of 2.7 years.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i/>
          <w:sz w:val="20"/>
        </w:rPr>
        <w:t>2021 Employee Stock Purchase Plan</w:t>
      </w:r>
      <w:r>
        <w:rPr>
          <w:rFonts w:ascii="Times New Roman" w:hAnsi="Times New Roman"/>
          <w:sz w:val="20"/>
        </w:rPr>
        <w:t xml:space="preserve"> </w:t>
      </w:r>
    </w:p>
    <w:p>
      <w:pPr>
        <w:pStyle w:val="TextBody"/>
        <w:bidi w:val="0"/>
        <w:spacing w:before="80" w:after="120"/>
        <w:jc w:val="both"/>
        <w:rPr>
          <w:rFonts w:ascii="Times New Roman" w:hAnsi="Times New Roman"/>
          <w:sz w:val="20"/>
        </w:rPr>
      </w:pPr>
      <w:r>
        <w:rPr>
          <w:rFonts w:ascii="Times New Roman;serif" w:hAnsi="Times New Roman;serif"/>
          <w:b w:val="false"/>
          <w:sz w:val="20"/>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w:t>
      </w:r>
      <w:r>
        <w:rPr>
          <w:rFonts w:ascii="Times New Roman" w:hAnsi="Times New Roman"/>
          <w:sz w:val="20"/>
        </w:rPr>
        <w:t xml:space="preserve"> </w:t>
      </w:r>
      <w:r>
        <w:rPr>
          <w:rFonts w:ascii="Times New Roman;serif" w:hAnsi="Times New Roman;serif"/>
          <w:b w:val="false"/>
          <w:sz w:val="20"/>
        </w:rPr>
        <w:t>shares of common stock were initially reserved for issuance under the 2021 ESPP. There were 169,300</w:t>
      </w:r>
      <w:r>
        <w:rPr>
          <w:rFonts w:ascii="Times New Roman" w:hAnsi="Times New Roman"/>
          <w:sz w:val="20"/>
        </w:rPr>
        <w:t xml:space="preserve"> </w:t>
      </w:r>
      <w:r>
        <w:rPr>
          <w:rFonts w:ascii="Times New Roman;serif" w:hAnsi="Times New Roman;serif"/>
          <w:b w:val="false"/>
          <w:sz w:val="20"/>
        </w:rPr>
        <w:t>shares issued under the 2021 ESPP as of March 31, 2023. The number of shares of common stock that may be issued under the 2021 ESPP will automatically increase on the first day of each calendar year, beginning on January 1, 2022 and continuing through January 1, 2031, by an amount equal to the lesser of (i) 1% of the shares of common stock outstanding on the last day of the calendar month before the date of each automatic increase, (ii) 2,685,546</w:t>
      </w:r>
      <w:r>
        <w:rPr>
          <w:rFonts w:ascii="Times New Roman" w:hAnsi="Times New Roman"/>
          <w:sz w:val="20"/>
        </w:rPr>
        <w:t xml:space="preserve"> </w:t>
      </w:r>
      <w:r>
        <w:rPr>
          <w:rFonts w:ascii="Times New Roman;serif" w:hAnsi="Times New Roman;serif"/>
          <w:b w:val="false"/>
          <w:sz w:val="20"/>
        </w:rPr>
        <w:t>shares and (iii) an amount determined by the Company’s board of directors. The number of shares to be issued under the 2021 ESPP did not increase on January 1, 2023 as determined by the Company's board of directors. The first offering under the 2021 ESPP was June 6, 2022. As of March 31, 2023, 1,173,473</w:t>
      </w:r>
      <w:r>
        <w:rPr>
          <w:rFonts w:ascii="Times New Roman" w:hAnsi="Times New Roman"/>
          <w:sz w:val="20"/>
        </w:rPr>
        <w:t xml:space="preserve"> </w:t>
      </w:r>
      <w:r>
        <w:rPr>
          <w:rFonts w:ascii="Times New Roman;serif" w:hAnsi="Times New Roman;serif"/>
          <w:b w:val="false"/>
          <w:sz w:val="20"/>
        </w:rPr>
        <w:t>shares remained available for issuance under the 2021 ESPP. During the three months ended March 31, 2023, the Company recognized less than $0.1</w:t>
      </w:r>
      <w:r>
        <w:rPr>
          <w:rFonts w:ascii="Times New Roman" w:hAnsi="Times New Roman"/>
          <w:sz w:val="20"/>
        </w:rPr>
        <w:t xml:space="preserve"> </w:t>
      </w:r>
      <w:r>
        <w:rPr>
          <w:rFonts w:ascii="Times New Roman;serif" w:hAnsi="Times New Roman;serif"/>
          <w:b w:val="false"/>
          <w:sz w:val="20"/>
        </w:rPr>
        <w:t>million in related stock-based compensation expense.</w:t>
      </w:r>
    </w:p>
    <w:p>
      <w:pPr>
        <w:pStyle w:val="TextBody"/>
        <w:bidi w:val="0"/>
        <w:spacing w:before="120" w:after="120"/>
        <w:jc w:val="both"/>
        <w:rPr>
          <w:rFonts w:ascii="Times New Roman;serif" w:hAnsi="Times New Roman;serif"/>
          <w:b/>
          <w:i/>
          <w:sz w:val="20"/>
        </w:rPr>
      </w:pPr>
      <w:r>
        <w:rPr>
          <w:rFonts w:ascii="Times New Roman;serif" w:hAnsi="Times New Roman;serif"/>
          <w:b/>
          <w:i/>
          <w:sz w:val="20"/>
        </w:rPr>
        <w:t>Warrant Expense</w:t>
      </w:r>
    </w:p>
    <w:p>
      <w:pPr>
        <w:pStyle w:val="TextBody"/>
        <w:bidi w:val="0"/>
        <w:spacing w:before="120" w:after="0"/>
        <w:jc w:val="both"/>
        <w:rPr>
          <w:rFonts w:ascii="Times New Roman" w:hAnsi="Times New Roman"/>
          <w:sz w:val="20"/>
        </w:rPr>
      </w:pPr>
      <w:r>
        <w:rPr>
          <w:rFonts w:ascii="Times New Roman;serif" w:hAnsi="Times New Roman;serif"/>
          <w:b w:val="false"/>
          <w:sz w:val="20"/>
        </w:rPr>
        <w:t>In November 2022, the Company entered into the PHP MSA, the PHP Work Order and a warrant agreement with respect to the PHP Warrant. To compensate for the services and deliverables provided by PHP, the Company issued 6,824,712</w:t>
      </w:r>
      <w:r>
        <w:rPr>
          <w:rFonts w:ascii="Times New Roman" w:hAnsi="Times New Roman"/>
          <w:sz w:val="20"/>
        </w:rPr>
        <w:t xml:space="preserve"> </w:t>
      </w:r>
      <w:r>
        <w:rPr>
          <w:rFonts w:ascii="Times New Roman;serif" w:hAnsi="Times New Roman;serif"/>
          <w:b w:val="false"/>
          <w:sz w:val="20"/>
        </w:rPr>
        <w:t>equity-classified warrants to PHP. Each warrant shall give the right to acquire common stock of the Company at a purchase price of $3.48</w:t>
      </w:r>
      <w:r>
        <w:rPr>
          <w:rFonts w:ascii="Times New Roman" w:hAnsi="Times New Roman"/>
          <w:sz w:val="20"/>
        </w:rPr>
        <w:t xml:space="preserve"> </w:t>
      </w:r>
      <w:r>
        <w:rPr>
          <w:rFonts w:ascii="Times New Roman;serif" w:hAnsi="Times New Roman;serif"/>
          <w:b w:val="false"/>
          <w:sz w:val="20"/>
        </w:rPr>
        <w:t>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pStyle w:val="TextBody"/>
        <w:bidi w:val="0"/>
        <w:spacing w:before="120" w:after="0"/>
        <w:jc w:val="both"/>
        <w:rPr>
          <w:rFonts w:ascii="Times New Roman" w:hAnsi="Times New Roman"/>
          <w:sz w:val="20"/>
        </w:rPr>
      </w:pPr>
      <w:r>
        <w:rPr>
          <w:rFonts w:ascii="Times New Roman;serif" w:hAnsi="Times New Roman;serif"/>
          <w:b w:val="false"/>
          <w:sz w:val="20"/>
        </w:rPr>
        <w:t>The aggregate grant date fair value of the PHP Warrant was $17.4</w:t>
      </w:r>
      <w:r>
        <w:rPr>
          <w:rFonts w:ascii="Times New Roman" w:hAnsi="Times New Roman"/>
          <w:sz w:val="20"/>
        </w:rPr>
        <w:t xml:space="preserve"> </w:t>
      </w:r>
      <w:r>
        <w:rPr>
          <w:rFonts w:ascii="Times New Roman;serif" w:hAnsi="Times New Roman;serif"/>
          <w:b w:val="false"/>
          <w:sz w:val="20"/>
        </w:rPr>
        <w:t>million, which was recognized as warrant expense on the grant date in November 2022.</w:t>
      </w:r>
    </w:p>
    <w:p>
      <w:pPr>
        <w:pStyle w:val="TextBody"/>
        <w:bidi w:val="0"/>
        <w:spacing w:before="120" w:after="0"/>
        <w:jc w:val="both"/>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warrants issued during the three months ended March 31, 2023. As of March 31, 2023, there were 6,824,712</w:t>
      </w:r>
      <w:r>
        <w:rPr>
          <w:rFonts w:ascii="Times New Roman" w:hAnsi="Times New Roman"/>
          <w:sz w:val="20"/>
        </w:rPr>
        <w:t xml:space="preserve"> </w:t>
      </w:r>
      <w:r>
        <w:rPr>
          <w:rFonts w:ascii="Times New Roman;serif" w:hAnsi="Times New Roman;serif"/>
          <w:b w:val="false"/>
          <w:sz w:val="20"/>
        </w:rPr>
        <w:t>warrants outstanding at a weighted average exercise price of $3.48, with a weighted-average remaining contractual term of 9.64 years.</w:t>
      </w:r>
    </w:p>
    <w:p>
      <w:pPr>
        <w:pStyle w:val="TextBody"/>
        <w:bidi w:val="0"/>
        <w:spacing w:before="120" w:after="120"/>
        <w:jc w:val="both"/>
        <w:rPr>
          <w:rFonts w:ascii="Times New Roman" w:hAnsi="Times New Roman"/>
          <w:sz w:val="20"/>
        </w:rPr>
      </w:pPr>
      <w:r>
        <w:rPr>
          <w:rFonts w:ascii="Times New Roman;serif" w:hAnsi="Times New Roman;serif"/>
          <w:b/>
          <w:sz w:val="20"/>
        </w:rPr>
        <w:t>12. Income Taxes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For the three months ended March 31, 2023</w:t>
      </w:r>
      <w:r>
        <w:rPr>
          <w:rFonts w:ascii="Times New Roman" w:hAnsi="Times New Roman"/>
          <w:sz w:val="20"/>
        </w:rPr>
        <w:t xml:space="preserve"> </w:t>
      </w:r>
      <w:r>
        <w:rPr>
          <w:rFonts w:ascii="Times New Roman;serif" w:hAnsi="Times New Roman;serif"/>
          <w:b w:val="false"/>
          <w:sz w:val="20"/>
        </w:rPr>
        <w:t>and 2022, the Company recorded no</w:t>
      </w:r>
      <w:r>
        <w:rPr>
          <w:rFonts w:ascii="Times New Roman" w:hAnsi="Times New Roman"/>
          <w:sz w:val="20"/>
        </w:rPr>
        <w:t xml:space="preserve"> </w:t>
      </w:r>
      <w:r>
        <w:rPr>
          <w:rFonts w:ascii="Times New Roman;serif" w:hAnsi="Times New Roman;serif"/>
          <w:b w:val="false"/>
          <w:sz w:val="20"/>
        </w:rPr>
        <w:t>income tax benefits for the net operating losses incurred or for the research and development tax credits generated in each period, due to its uncertainty of realizing a benefit from those items. Substantially all of the Company’s operating losses since inception have been generated in the U.S.</w:t>
      </w:r>
    </w:p>
    <w:p>
      <w:pPr>
        <w:pStyle w:val="TextBody"/>
        <w:bidi w:val="0"/>
        <w:spacing w:before="120" w:after="120"/>
        <w:jc w:val="both"/>
        <w:rPr>
          <w:rFonts w:ascii="Times New Roman" w:hAnsi="Times New Roman"/>
          <w:sz w:val="20"/>
        </w:rPr>
      </w:pPr>
      <w:r>
        <w:rPr>
          <w:rFonts w:ascii="Times New Roman;serif" w:hAnsi="Times New Roman;serif"/>
          <w:b/>
          <w:sz w:val="20"/>
        </w:rPr>
        <w:t>13. Defined Contribution Plan</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maintains a 401(k) Plan (the “401(k) Plan”) for the benefit of eligible employees. The 401(k) Plan is a defined contribution plan under Section 401(k) of the Internal Revenue Code of 1986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both the three months ended March 31, 2023</w:t>
      </w:r>
      <w:r>
        <w:rPr>
          <w:rFonts w:ascii="Times New Roman" w:hAnsi="Times New Roman"/>
          <w:sz w:val="20"/>
        </w:rPr>
        <w:t xml:space="preserve"> </w:t>
      </w:r>
      <w:r>
        <w:rPr>
          <w:rFonts w:ascii="Times New Roman;serif" w:hAnsi="Times New Roman;serif"/>
          <w:b w:val="false"/>
          <w:sz w:val="20"/>
        </w:rPr>
        <w:t>and 2022, the Company contributed $0.2</w:t>
      </w:r>
      <w:r>
        <w:rPr>
          <w:rFonts w:ascii="Times New Roman" w:hAnsi="Times New Roman"/>
          <w:sz w:val="20"/>
        </w:rPr>
        <w:t xml:space="preserve"> </w:t>
      </w:r>
      <w:r>
        <w:rPr>
          <w:rFonts w:ascii="Times New Roman;serif" w:hAnsi="Times New Roman;serif"/>
          <w:b w:val="false"/>
          <w:sz w:val="20"/>
        </w:rPr>
        <w:t>million to the 401(k) Plan.</w:t>
      </w:r>
      <w:r>
        <w:rPr>
          <w:rFonts w:ascii="Times New Roman" w:hAnsi="Times New Roman"/>
          <w:sz w:val="20"/>
        </w:rPr>
        <w:t xml:space="preserve"> </w:t>
      </w:r>
    </w:p>
    <w:p>
      <w:pPr>
        <w:pStyle w:val="TextBody"/>
        <w:bidi w:val="0"/>
        <w:spacing w:before="120" w:after="120"/>
        <w:jc w:val="both"/>
        <w:rPr>
          <w:rFonts w:ascii="Times New Roman;serif" w:hAnsi="Times New Roman;serif"/>
          <w:b/>
          <w:sz w:val="20"/>
        </w:rPr>
      </w:pPr>
      <w:r>
        <w:rPr>
          <w:rFonts w:ascii="Times New Roman;serif" w:hAnsi="Times New Roman;serif"/>
          <w:b/>
          <w:sz w:val="20"/>
        </w:rPr>
        <w:t>14. Net Loss per Share</w:t>
      </w:r>
    </w:p>
    <w:p>
      <w:pPr>
        <w:pStyle w:val="TextBody"/>
        <w:bidi w:val="0"/>
        <w:spacing w:before="120" w:after="80"/>
        <w:jc w:val="both"/>
        <w:rPr>
          <w:rFonts w:ascii="Times New Roman" w:hAnsi="Times New Roman"/>
          <w:sz w:val="20"/>
        </w:rPr>
      </w:pPr>
      <w:r>
        <w:rPr>
          <w:rFonts w:ascii="Times New Roman;serif" w:hAnsi="Times New Roman;serif"/>
          <w:b w:val="false"/>
          <w:sz w:val="20"/>
        </w:rPr>
        <w:t>Basic and diluted net loss per share attributable to common stockholders was calculated as follows (in thousands, except share and per share amounts):</w:t>
      </w:r>
      <w:r>
        <w:rPr>
          <w:rFonts w:ascii="Times New Roman" w:hAnsi="Times New Roman"/>
          <w:sz w:val="20"/>
        </w:rPr>
        <w:t xml:space="preserve"> </w:t>
      </w:r>
    </w:p>
    <w:tbl>
      <w:tblPr>
        <w:tblW w:w="10105" w:type="dxa"/>
        <w:jc w:val="left"/>
        <w:tblInd w:w="0" w:type="dxa"/>
        <w:tblLayout w:type="fixed"/>
        <w:tblCellMar>
          <w:top w:w="28" w:type="dxa"/>
          <w:left w:w="28" w:type="dxa"/>
          <w:bottom w:w="28" w:type="dxa"/>
          <w:right w:w="28" w:type="dxa"/>
        </w:tblCellMar>
      </w:tblPr>
      <w:tblGrid>
        <w:gridCol w:w="6046"/>
        <w:gridCol w:w="146"/>
        <w:gridCol w:w="250"/>
        <w:gridCol w:w="1355"/>
        <w:gridCol w:w="166"/>
        <w:gridCol w:w="146"/>
        <w:gridCol w:w="250"/>
        <w:gridCol w:w="1355"/>
        <w:gridCol w:w="39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604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vAlign w:val="center"/>
          </w:tcPr>
          <w:p>
            <w:pPr>
              <w:pStyle w:val="TableContents"/>
              <w:bidi w:val="0"/>
              <w:spacing w:before="0" w:after="0"/>
              <w:ind w:left="20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(100,666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604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Weighted-average common shares outstanding, basic and diluted</w:t>
            </w:r>
          </w:p>
        </w:tc>
        <w:tc>
          <w:tcPr>
            <w:tcW w:w="146" w:type="dxa"/>
            <w:tcBorders/>
            <w:vAlign w:val="center"/>
          </w:tcPr>
          <w:p>
            <w:pPr>
              <w:pStyle w:val="TableContents"/>
              <w:bidi w:val="0"/>
              <w:spacing w:before="0" w:after="0"/>
              <w:ind w:left="20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108,785,519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107,869,570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attributable to common stockholders, basic and diluted</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80" w:after="120"/>
        <w:jc w:val="both"/>
        <w:rPr>
          <w:rFonts w:ascii="Times New Roman;serif" w:hAnsi="Times New Roman;serif"/>
          <w:b w:val="false"/>
          <w:sz w:val="20"/>
        </w:rPr>
      </w:pPr>
      <w:r>
        <w:rPr>
          <w:rFonts w:ascii="Times New Roman;serif" w:hAnsi="Times New Roman;serif"/>
          <w:b w:val="false"/>
          <w:sz w:val="20"/>
        </w:rPr>
        <w:t>Shares of unvested restricted common stock are not considered outstanding for accounting purposes until vested and were excluded from the calculations of basic net loss per share attributable to common stockholders for all periods presented.</w:t>
      </w:r>
    </w:p>
    <w:p>
      <w:pPr>
        <w:pStyle w:val="TextBody"/>
        <w:bidi w:val="0"/>
        <w:spacing w:before="120" w:after="80"/>
        <w:jc w:val="both"/>
        <w:rPr>
          <w:rFonts w:ascii="Times New Roman" w:hAnsi="Times New Roman"/>
          <w:sz w:val="20"/>
        </w:rPr>
      </w:pPr>
      <w:r>
        <w:rPr>
          <w:rFonts w:ascii="Times New Roman;serif" w:hAnsi="Times New Roman;serif"/>
          <w:b w:val="false"/>
          <w:sz w:val="20"/>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80"/>
        <w:jc w:val="both"/>
        <w:rPr>
          <w:rFonts w:ascii="Times New Roman;serif" w:hAnsi="Times New Roman;serif"/>
          <w:b w:val="false"/>
          <w:sz w:val="20"/>
        </w:rPr>
      </w:pPr>
      <w:r>
        <w:rPr>
          <w:rFonts w:ascii="Times New Roman;serif" w:hAnsi="Times New Roman;serif"/>
          <w:b w:val="false"/>
          <w:sz w:val="20"/>
        </w:rPr>
        <w:t>common shares, presented based on amounts outstanding at each period end, from the computation of diluted net loss per share attributable to common stockholders for the periods indicated, because including them would have had an anti-dilutive effect:</w:t>
      </w:r>
    </w:p>
    <w:tbl>
      <w:tblPr>
        <w:tblW w:w="6444" w:type="dxa"/>
        <w:jc w:val="left"/>
        <w:tblInd w:w="0" w:type="dxa"/>
        <w:tblLayout w:type="fixed"/>
        <w:tblCellMar>
          <w:top w:w="28" w:type="dxa"/>
          <w:left w:w="28" w:type="dxa"/>
          <w:bottom w:w="28" w:type="dxa"/>
          <w:right w:w="28" w:type="dxa"/>
        </w:tblCellMar>
      </w:tblPr>
      <w:tblGrid>
        <w:gridCol w:w="3451"/>
        <w:gridCol w:w="146"/>
        <w:gridCol w:w="146"/>
        <w:gridCol w:w="1036"/>
        <w:gridCol w:w="146"/>
        <w:gridCol w:w="146"/>
        <w:gridCol w:w="146"/>
        <w:gridCol w:w="103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March 31,</w:t>
            </w:r>
          </w:p>
        </w:tc>
        <w:tc>
          <w:tcPr>
            <w:tcW w:w="191" w:type="dxa"/>
            <w:tcBorders/>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23,883,782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19,737,947</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restricted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1,657,228</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6,824,712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30,801,970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21,395,175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15. Related Party Transactions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As of March 31, 2023 and December 31, 2022, an aggregate of $0.6</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respectively, was due to Adimab under the Adimab Assignment Agreement, the Adimab Collaboration Agreement and the Adimab Platform Transfer Agreement by the Company. As of March 31, 2023 and December 31, 2022, no</w:t>
      </w:r>
      <w:r>
        <w:rPr>
          <w:rFonts w:ascii="Times New Roman" w:hAnsi="Times New Roman"/>
          <w:sz w:val="20"/>
        </w:rPr>
        <w:t xml:space="preserve"> </w:t>
      </w:r>
      <w:r>
        <w:rPr>
          <w:rFonts w:ascii="Times New Roman;serif" w:hAnsi="Times New Roman;serif"/>
          <w:b w:val="false"/>
          <w:sz w:val="20"/>
        </w:rPr>
        <w:t>amounts were due from Adimab under the Adimab under the Adimab Assignment Agreement, the Adimab Collaboration Agreement or the Adimab Platform Transfer Agreement to the Company.</w:t>
      </w:r>
    </w:p>
    <w:p>
      <w:pPr>
        <w:pStyle w:val="TextBody"/>
        <w:bidi w:val="0"/>
        <w:spacing w:before="120" w:after="0"/>
        <w:jc w:val="both"/>
        <w:rPr>
          <w:rFonts w:ascii="Times New Roman" w:hAnsi="Times New Roman"/>
          <w:sz w:val="20"/>
        </w:rPr>
      </w:pPr>
      <w:r>
        <w:rPr>
          <w:rFonts w:ascii="Times New Roman;serif" w:hAnsi="Times New Roman;serif"/>
          <w:b/>
          <w:i/>
          <w:sz w:val="20"/>
        </w:rPr>
        <w:t>Adimab Assignment Agreement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Under the Adimab Assignment Agreement, Adimab, a principal stockholder of the Company, is entitled to receive milestone and royalty payments upon specified conditions and receives payments from the Company for providing ongoing services under the agreement (see Note 7).</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During the three months ended March 31, 2023, the Company recognized $0.4</w:t>
      </w:r>
      <w:r>
        <w:rPr>
          <w:rFonts w:ascii="Times New Roman" w:hAnsi="Times New Roman"/>
          <w:sz w:val="20"/>
        </w:rPr>
        <w:t xml:space="preserve"> </w:t>
      </w:r>
      <w:r>
        <w:rPr>
          <w:rFonts w:ascii="Times New Roman;serif" w:hAnsi="Times New Roman;serif"/>
          <w:b w:val="false"/>
          <w:sz w:val="20"/>
        </w:rPr>
        <w:t>million as IPR&amp;D expense with respect to a milestone payable under the Adimab Assignment Agreement. During the three months ended March 31, 2022, the Company did not recognize any IPR&amp;D expense with respect to contingent consideration payable under the Adimab Assignment Agreement.</w:t>
      </w:r>
    </w:p>
    <w:p>
      <w:pPr>
        <w:pStyle w:val="TextBody"/>
        <w:bidi w:val="0"/>
        <w:spacing w:before="120" w:after="0"/>
        <w:jc w:val="both"/>
        <w:rPr>
          <w:rFonts w:ascii="Times New Roman" w:hAnsi="Times New Roman"/>
          <w:sz w:val="20"/>
        </w:rPr>
      </w:pPr>
      <w:r>
        <w:rPr>
          <w:rFonts w:ascii="Times New Roman;serif" w:hAnsi="Times New Roman;serif"/>
          <w:b w:val="false"/>
          <w:sz w:val="20"/>
        </w:rPr>
        <w:t>During the three months ended March 31, 2023, the Company did not recognize any research and development expense with respect to services performed by Adimab on the Company's behalf under the Adimab Assignment Agreement. During the three months ended March 31, 2022, the Company recognized $0.3</w:t>
      </w:r>
      <w:r>
        <w:rPr>
          <w:rFonts w:ascii="Times New Roman" w:hAnsi="Times New Roman"/>
          <w:sz w:val="20"/>
        </w:rPr>
        <w:t xml:space="preserve"> </w:t>
      </w:r>
      <w:r>
        <w:rPr>
          <w:rFonts w:ascii="Times New Roman;serif" w:hAnsi="Times New Roman;serif"/>
          <w:b w:val="false"/>
          <w:sz w:val="20"/>
        </w:rPr>
        <w:t>million of research and development expense with respect to services performed by Adimab on the Company’s behalf under the Adimab Assignment Agreement.</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Adimab Collaboration Agreement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Under the Adimab Collaboration Agreement, the Company is obligated to pay Adimab for certain fees, milestones and royalty payments (see Note 7).</w:t>
      </w:r>
    </w:p>
    <w:p>
      <w:pPr>
        <w:pStyle w:val="TextBody"/>
        <w:bidi w:val="0"/>
        <w:spacing w:before="120" w:after="0"/>
        <w:jc w:val="both"/>
        <w:rPr>
          <w:rFonts w:ascii="Times New Roman" w:hAnsi="Times New Roman"/>
          <w:sz w:val="20"/>
        </w:rPr>
      </w:pPr>
      <w:r>
        <w:rPr>
          <w:rFonts w:ascii="Times New Roman;serif" w:hAnsi="Times New Roman;serif"/>
          <w:b w:val="false"/>
          <w:sz w:val="20"/>
        </w:rPr>
        <w:t>During both the three months ended March 31, 2023</w:t>
      </w:r>
      <w:r>
        <w:rPr>
          <w:rFonts w:ascii="Times New Roman" w:hAnsi="Times New Roman"/>
          <w:sz w:val="20"/>
        </w:rPr>
        <w:t xml:space="preserve"> </w:t>
      </w:r>
      <w:r>
        <w:rPr>
          <w:rFonts w:ascii="Times New Roman;serif" w:hAnsi="Times New Roman;serif"/>
          <w:b w:val="false"/>
          <w:sz w:val="20"/>
        </w:rPr>
        <w:t>and 2022, the Company recognized $1.3</w:t>
      </w:r>
      <w:r>
        <w:rPr>
          <w:rFonts w:ascii="Times New Roman" w:hAnsi="Times New Roman"/>
          <w:sz w:val="20"/>
        </w:rPr>
        <w:t xml:space="preserve"> </w:t>
      </w:r>
      <w:r>
        <w:rPr>
          <w:rFonts w:ascii="Times New Roman;serif" w:hAnsi="Times New Roman;serif"/>
          <w:b w:val="false"/>
          <w:sz w:val="20"/>
        </w:rPr>
        <w:t>million of research and development expense related to the quarterly fee.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During the three months ended March 31, 2023</w:t>
      </w:r>
      <w:r>
        <w:rPr>
          <w:rFonts w:ascii="Times New Roman" w:hAnsi="Times New Roman"/>
          <w:sz w:val="20"/>
        </w:rPr>
        <w:t xml:space="preserve"> </w:t>
      </w:r>
      <w:r>
        <w:rPr>
          <w:rFonts w:ascii="Times New Roman;serif" w:hAnsi="Times New Roman;serif"/>
          <w:b w:val="false"/>
          <w:sz w:val="20"/>
        </w:rPr>
        <w:t>and 2022, the Company recognized $0.2</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 of research and development expense with respect to services performed by Adimab on the Company’s behalf under the Adimab Collaboration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Adimab Platform Transfer Agreement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Under the Adimab Platform Transfer Agreement, the Company is obligated to pay Adimab for certain fees, milestones and royalty payments (see Note 7).</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During the three months ended March 31, 2023, the Company did not recognize any expense in connection with the Adimab Platform Transfer Agreement. The Adimab Platform Transfer Agreement was not effective during the three months ended March 31, 2022.</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Mithril Group</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March 2022, a group of stockholders, including, among others, Adimab; Mithril II LP; M28 Capital Management LP; Polaris Venture Partners V, L.P.; and Population Health Equity Partners III, L.P., which are collectively referred to as the Mithril Group, submitted a notice of intent to nominate three directors to the Company’s board of directors at the 2022 annual meeting of stockholders. In April 2022, the Mithril Group filed definitive proxy materials with the SEC seeking election of three directors to the Company's board of directors and adoption of a non-binding resolution for director declassification.</w:t>
      </w:r>
    </w:p>
    <w:p>
      <w:pPr>
        <w:pStyle w:val="TextBody"/>
        <w:bidi w:val="0"/>
        <w:spacing w:before="120" w:after="0"/>
        <w:jc w:val="both"/>
        <w:rPr>
          <w:rFonts w:ascii="Times New Roman" w:hAnsi="Times New Roman"/>
          <w:sz w:val="20"/>
        </w:rPr>
      </w:pPr>
      <w:r>
        <w:rPr>
          <w:rFonts w:ascii="Times New Roman;serif" w:hAnsi="Times New Roman;serif"/>
          <w:b w:val="false"/>
          <w:sz w:val="20"/>
        </w:rPr>
        <w:t>Subsequently, during the year ended December 31, 2022, Mithril II LP requested that the Company reimburse it for costs associated with legal expenses, corporate governance matters and stockholder proposals incurred as a result of the aforementioned matters in connection with the Company’s 2022 annual meeting of stockholders. The Company made such reimbursement payment to Mithril II LP in the amount of $1.4</w:t>
      </w:r>
      <w:r>
        <w:rPr>
          <w:rFonts w:ascii="Times New Roman" w:hAnsi="Times New Roman"/>
          <w:sz w:val="20"/>
        </w:rPr>
        <w:t xml:space="preserve"> </w:t>
      </w:r>
      <w:r>
        <w:rPr>
          <w:rFonts w:ascii="Times New Roman;serif" w:hAnsi="Times New Roman;serif"/>
          <w:b w:val="false"/>
          <w:sz w:val="20"/>
        </w:rPr>
        <w:t>million, which the Company recognized as a selling, general and administrative expense.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As of March 31, 2023, no</w:t>
      </w:r>
      <w:r>
        <w:rPr>
          <w:rFonts w:ascii="Times New Roman" w:hAnsi="Times New Roman"/>
          <w:sz w:val="20"/>
        </w:rPr>
        <w:t xml:space="preserve"> </w:t>
      </w:r>
      <w:r>
        <w:rPr>
          <w:rFonts w:ascii="Times New Roman;serif" w:hAnsi="Times New Roman;serif"/>
          <w:b w:val="false"/>
          <w:sz w:val="20"/>
        </w:rPr>
        <w:t>amounts were due to any member of the Mithril Group by the Company, and no</w:t>
      </w:r>
      <w:r>
        <w:rPr>
          <w:rFonts w:ascii="Times New Roman" w:hAnsi="Times New Roman"/>
          <w:sz w:val="20"/>
        </w:rPr>
        <w:t xml:space="preserve"> </w:t>
      </w:r>
      <w:r>
        <w:rPr>
          <w:rFonts w:ascii="Times New Roman;serif" w:hAnsi="Times New Roman;serif"/>
          <w:b w:val="false"/>
          <w:sz w:val="20"/>
        </w:rPr>
        <w:t>amounts were due from any member of the Mithril Group to the Company.</w:t>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Population Health Partners, L.P.</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Under the PHP MSA and PHP Work Order, the Company is obligated to pay cash compensation for services and deliverables (see Note 8). Clive Meanwell, M.D. and Tamsin Berry, members of the Company’s board of directors, are Managing Partner and Partner of PHP, respectively.</w:t>
      </w:r>
    </w:p>
    <w:p>
      <w:pPr>
        <w:pStyle w:val="TextBody"/>
        <w:bidi w:val="0"/>
        <w:spacing w:before="120" w:after="0"/>
        <w:jc w:val="both"/>
        <w:rPr>
          <w:rFonts w:ascii="Times New Roman" w:hAnsi="Times New Roman"/>
          <w:sz w:val="20"/>
        </w:rPr>
      </w:pPr>
      <w:r>
        <w:rPr>
          <w:rFonts w:ascii="Times New Roman;serif" w:hAnsi="Times New Roman;serif"/>
          <w:b w:val="false"/>
          <w:sz w:val="20"/>
        </w:rPr>
        <w:t>During the three months ended March 31, 2023, the Company recognized $1.5</w:t>
      </w:r>
      <w:r>
        <w:rPr>
          <w:rFonts w:ascii="Times New Roman" w:hAnsi="Times New Roman"/>
          <w:sz w:val="20"/>
        </w:rPr>
        <w:t xml:space="preserve"> </w:t>
      </w:r>
      <w:r>
        <w:rPr>
          <w:rFonts w:ascii="Times New Roman;serif" w:hAnsi="Times New Roman;serif"/>
          <w:b w:val="false"/>
          <w:sz w:val="20"/>
        </w:rPr>
        <w:t>million of research and development expense with respect to services performed by PHP in connection with the PHP Work Order. The agreements with PHP were not effective during the three months ended March 31, 2022.</w:t>
      </w:r>
    </w:p>
    <w:p>
      <w:pPr>
        <w:pStyle w:val="TextBody"/>
        <w:bidi w:val="0"/>
        <w:spacing w:before="120" w:after="0"/>
        <w:jc w:val="both"/>
        <w:rPr>
          <w:rFonts w:ascii="Times New Roman" w:hAnsi="Times New Roman"/>
          <w:sz w:val="20"/>
        </w:rPr>
      </w:pPr>
      <w:r>
        <w:rPr>
          <w:rFonts w:ascii="Times New Roman;serif" w:hAnsi="Times New Roman;serif"/>
          <w:b w:val="false"/>
          <w:sz w:val="20"/>
        </w:rPr>
        <w:t>As of March 31, 2023, $0.8</w:t>
      </w:r>
      <w:r>
        <w:rPr>
          <w:rFonts w:ascii="Times New Roman" w:hAnsi="Times New Roman"/>
          <w:sz w:val="20"/>
        </w:rPr>
        <w:t xml:space="preserve"> </w:t>
      </w:r>
      <w:r>
        <w:rPr>
          <w:rFonts w:ascii="Times New Roman;serif" w:hAnsi="Times New Roman;serif"/>
          <w:b w:val="false"/>
          <w:sz w:val="20"/>
        </w:rPr>
        <w:t>million was due to PHP by the Company, and no</w:t>
      </w:r>
      <w:r>
        <w:rPr>
          <w:rFonts w:ascii="Times New Roman" w:hAnsi="Times New Roman"/>
          <w:sz w:val="20"/>
        </w:rPr>
        <w:t xml:space="preserve"> </w:t>
      </w:r>
      <w:r>
        <w:rPr>
          <w:rFonts w:ascii="Times New Roman;serif" w:hAnsi="Times New Roman;serif"/>
          <w:b w:val="false"/>
          <w:sz w:val="20"/>
        </w:rPr>
        <w:t>amounts were due from PHP to the Company.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left"/>
        <w:rPr>
          <w:rFonts w:ascii="Times New Roman;serif" w:hAnsi="Times New Roman;serif"/>
          <w:b/>
          <w:sz w:val="20"/>
        </w:rPr>
      </w:pPr>
      <w:bookmarkStart w:id="13" w:name="i_item2"/>
      <w:bookmarkEnd w:id="13"/>
      <w:r>
        <w:rPr>
          <w:rFonts w:ascii="Times New Roman;serif" w:hAnsi="Times New Roman;serif"/>
          <w:b/>
          <w:sz w:val="20"/>
        </w:rPr>
        <w:t>Item 2. Management’s Discussion and Analysis of Financial Condition and Results of Operations.</w:t>
      </w:r>
    </w:p>
    <w:p>
      <w:pPr>
        <w:pStyle w:val="TextBody"/>
        <w:bidi w:val="0"/>
        <w:spacing w:before="120" w:after="120"/>
        <w:jc w:val="both"/>
        <w:rPr>
          <w:rFonts w:ascii="Times New Roman;serif" w:hAnsi="Times New Roman;serif"/>
          <w:b w:val="false"/>
          <w:i/>
          <w:sz w:val="20"/>
        </w:rPr>
      </w:pPr>
      <w:r>
        <w:rPr>
          <w:rFonts w:ascii="Times New Roman;serif" w:hAnsi="Times New Roman;serif"/>
          <w:b w:val="false"/>
          <w:i/>
          <w:sz w:val="20"/>
        </w:rPr>
        <w:t>You should read the following discussion and analysis of our financial condition and results of operations together with our condensed consolidated financial statements and related notes appearing elsewhere in this Quarterly Report on Form 10-Q and our Annual Report on Form 10-K for the year ended December 31, 2022, filed with the Securities and Exchange Commission (“SEC”) on March 23, 2023 (the “2022 Form 10-K”). Unless the context requires otherwise, references in this Quarterly Report on Form 10-Q to “we,” “us,” and “our” refer to Invivyd, Inc. together with its consolidated subsidiaries.</w:t>
      </w:r>
    </w:p>
    <w:p>
      <w:pPr>
        <w:pStyle w:val="TextBody"/>
        <w:bidi w:val="0"/>
        <w:spacing w:before="0" w:after="0"/>
        <w:jc w:val="both"/>
        <w:rPr>
          <w:rFonts w:ascii="Times New Roman;serif" w:hAnsi="Times New Roman;serif"/>
          <w:b/>
          <w:sz w:val="20"/>
          <w:u w:val="single"/>
        </w:rPr>
      </w:pPr>
      <w:r>
        <w:rPr>
          <w:rFonts w:ascii="Times New Roman;serif" w:hAnsi="Times New Roman;serif"/>
          <w:b/>
          <w:sz w:val="20"/>
          <w:u w:val="single"/>
        </w:rPr>
        <w:t>Cautionary Note Regarding Forward-Looking Statements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This Quarterly Report on Form 10-Q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Quarterly Report on Form 10-Q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timing, progress and results of our preclinical studies and clinical trials of our product candidates, including statements regarding the timing of our planned regulatory submissions, initiation and completion of studies or trials and related preparatory work and the period during which the results of the trials will become available, as well as anticipated data readouts, for our VYD222 program and other research and development programs;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our ability to rapidly and perpetually deliver antibody-based therapies that protect vulnerable people from the devastating consequences of circulating viral threats, beginning with SARS-CoV-2, and to generate a robust pipeline of product candidates which could be used in prevention or treatment of serious viral diseases, starting with COVID-19 and expanding into influenza and other high-need indications;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timing of any submission of filings for regulatory authorization or approval of, and our ability to obtain and maintain regulatory authorizations or approvals for, our product candidates;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belief that the adintrevimab clinical data package has the potential to support accelerated development of VYD222;</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produce additional candidates that will be designed to optimize their ability to stay ahead of the evolving SARS-CoV-2 virus;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intention to leverage evolving COVID-19 regulatory paradigms, which may rely on surrogate endpoints, to expedite drug development and maximize efficiency to deliver much-needed products for immunocompromised individuals and other vulnerable populations, and our belief that a ‘serial monotherapy’ approach would ensure that novel mAbs would be available if and when an authorized mAb loses activity against predominant circulating variants;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expectations regarding the size of the patient populations, market acceptance and opportunity for and clinical utility of our product candidates, if authorized or approved for commercial use;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expectations regarding the scope of any approved indication for VYD222 or any other product candidate;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manufacturing capabilities and strategy, including the scalability and commercial viability of our manufacturing methods and processes;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successfully commercialize our product candidates, if authorized or approved;</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leverage technology and our platform to identify and develop future product candidates;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estimates of our expenses, ongoing losses, future revenue, capital requirements and our need for or ability to obtain additional funding before we can expect to generate any revenue from product sales, if any of our product candidates are authorized or approved;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our belief that we have sufficient cash resources to fund our operating expenses and capital expenditure requirements into the second half of 2024;</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competitive position and the development of and projections relating to our competitors or our industry;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business disruptions affecting our preclinical studies or the initiation, patient enrollment, development and operation of our clinical trials, including a public health crisis, such as the outbreak of SARS-CoV-2.</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foregoing list of forward-looking statements is not exhaustive. You should refer to the “Risk Factors” section of the 2022 Form 10-K for a discussion of important factors that may cause our actual results to differ materially from those expressed or implied by our forward-looking statements. Other sections of this Quarterly Report on Form 10-Q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our forward-looking statements by these cautionary statements.</w:t>
      </w:r>
    </w:p>
    <w:p>
      <w:pPr>
        <w:pStyle w:val="TextBody"/>
        <w:bidi w:val="0"/>
        <w:spacing w:before="120" w:after="120"/>
        <w:jc w:val="both"/>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Invivyd, Inc. is a biopharmaceutical company on a mission to rapidly and perpetually deliver antibody-based therapies that protect vulnerable people from the devastating consequences of circulating viral threats, beginning with SARS-CoV-2. Our technology works at the intersection of evolutionary virology, predictive modeling, and antibody engineering, and is designed to identify high-quality, long-lasting antibodies with the potential to resist viral escape. We are generating a robust pipeline of product candidates which could be used in prevention or treatment of serious viral diseases, starting with COVID-19 and expanding into influenza and other high-need indications.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March 2023, we announced dosing of the first participants in a Phase 1 clinical trial of VYD222, a monoclonal antibody (“mAb”) candidate for prevention of COVID-19. In May 2023, we completed the dosing of all participants in the Phase 1 clinical trial. The Phase 1 randomized, blinded, placebo-controlled, dose-ranging trial, which is being conducted in Australia, will evaluate the safety, pharmacokinetics, tolerability, and serum virus neutralizing activity (“sVNA”) of VYD222 in healthy adult volunteers. The dose-ranging trial will evaluate three different doses, each administered as a single IV push. All doses are designed to provide durability in the face of viral evolution and flexibility at the time of regulatory submission. We anticipate initial data readouts from this Phase 1 clinical trial in the second quarter of 2023, which will include early insights into sVNA, and additional clinical readouts from the VYD222 program anticipated in 2023. In April 2023, we announced that the U.S. Food and Drug Administration (the “FDA”) cleared our Investigational New Drug (“IND”) application for VYD222.</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 xml:space="preserve">VYD222 is our second mAb candidate to enter clinical testing. VYD222 has demonstrated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neutralizing activity against prior and current SARS-CoV-2 variants of concern (“VoCs”), including Omicron sublineages up to and through XBB.1.5. VYD222 was engineered from adintrevimab, our investigational mAb that has a robust safety data package and demonstrated clinically meaningful results in global Phase 3 clinical trials for both the prevention and treatment of COVID-19. We believe that the adintrevimab clinical data package has the potential to support accelerated development of VYD222. We aim to leverage evolving COVID-19 regulatory paradigms, which may rely on surrogate endpoints, to expedite drug development, and maximize efficiency to deliver a much-needed mAb therapeutic option for COVID-19 for immunocompromised individuals and other vulnerable populations. Our ongoing Phase 1 clinical trial has the goal of providing information to allow for rapid advancement into Phase 3 pivotal trials that could support regulatory filings globally.</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Beyond VYD222, we plan to leverage our expanded laboratory capabilities and integrated discovery platform to produce additional candidates designed to optimize their ability to stay ahead of the evolving SARS-CoV-2 virus. We have multiple anti-SARS-CoV-2 mAb candidates in the discovery/preclinical stage and recently nominated an additional candidate for further preclinical characterization. In addition, we continue to engage with regulatory agencies with the goal of streamlining the development of novel antibodies to protect immunocompromised and other high-risk populations against the evolving SARS-CoV-2 virus. We are also developing our commercialization approach to determine how best to bring our product candidates, if authorized or approved, to these populations.</w:t>
      </w:r>
    </w:p>
    <w:p>
      <w:pPr>
        <w:pStyle w:val="TextBody"/>
        <w:bidi w:val="0"/>
        <w:spacing w:before="120" w:after="120"/>
        <w:jc w:val="both"/>
        <w:rPr>
          <w:rFonts w:ascii="Times New Roman" w:hAnsi="Times New Roman"/>
          <w:sz w:val="20"/>
        </w:rPr>
      </w:pPr>
      <w:r>
        <w:rPr>
          <w:rFonts w:ascii="Times New Roman;serif" w:hAnsi="Times New Roman;serif"/>
          <w:b w:val="false"/>
          <w:sz w:val="20"/>
        </w:rPr>
        <w:t>Globally, COVID-19 has caused millions of deaths and lasting health problems in many survivors and remains a significant global health crisis. COVID-19 persists and continues to impact patients, notably those who are immune compromised, and combating this disease will require a variety of effective and safe prevention and treatment options for years to come. By leveraging our capabilities, which we have developed through our experience with adintrevimab and nearly three years in the COVID-19 space, we aim to develop</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a continuous repertoire of SARS-CoV-2 neutralizing mAbs to keep pace with viral evolution. We believe this ‘serial monotherapy’ approach would ensure that novel mAbs would be available if and when an authorized mAb loses activity against predominant circulating variants, with the goal of ensuring that vulnerable populations would never be left without effective prophylaxis against COVID-19 as the SARS-CoV-2 virus continues to mutate.</w:t>
      </w:r>
    </w:p>
    <w:p>
      <w:pPr>
        <w:pStyle w:val="TextBody"/>
        <w:bidi w:val="0"/>
        <w:spacing w:before="120" w:after="120"/>
        <w:jc w:val="both"/>
        <w:rPr>
          <w:rFonts w:ascii="Times New Roman" w:hAnsi="Times New Roman"/>
          <w:sz w:val="20"/>
        </w:rPr>
      </w:pPr>
      <w:r>
        <w:rPr>
          <w:rFonts w:ascii="Times New Roman;serif" w:hAnsi="Times New Roman;serif"/>
          <w:b w:val="false"/>
          <w:sz w:val="20"/>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We rely on partnerships, external consultants and clinical research organizations (“CROs”) to conduct our discovery, non-clinical, preclinical and clinical activities. Additionally, we rely on contract testing laboratories and contract development and manufacturing organizations (“CDMOs”) to execute our chemistry, manufacturing and controls development, testing and manufacturing activities. We have engaged WuXi Biologics (Hong Kong) Limited (“WuXi Biologics”), a CDMO, for the development and manufacture of our product candidates for clinical and commercial use. Further, in 2022, we secured dedicated laboratory space and expanded our research team in order to enable internal discovery and development of our mAb candidates, while continuing to leverage our existing partnership with Adimab, LLC (“Adimab”). We are focused on antibody discovery and use of Adimab’s platform technology while building our internal capabilities. In addition, we perform research and development activities internally and engage third parties, including Adimab, to perform ongoing research and development and other services on our behalf. We expect to continue to rely on third parties for clinical trials and the manufacture and testing of our product candidates, as well as to perform ongoing research and development and other services on our behalf.</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Since our inception, we have financed our operations with net proceeds of $464.7 million from sales of our preferred stock and with net proceeds of $327.5 million from our initial public offering (“IPO”). To date, we have not generated any revenue from any sources, including product sales or government supply contracts. Our ability to generate product revenue sufficient to achieve profitability will depend heavily on the successful development and eventual commercialization of one or more of our product candidates, if authorized or approved.</w:t>
      </w:r>
    </w:p>
    <w:p>
      <w:pPr>
        <w:pStyle w:val="TextBody"/>
        <w:bidi w:val="0"/>
        <w:spacing w:before="120" w:after="120"/>
        <w:jc w:val="both"/>
        <w:rPr>
          <w:rFonts w:ascii="Times New Roman" w:hAnsi="Times New Roman"/>
          <w:sz w:val="20"/>
        </w:rPr>
      </w:pPr>
      <w:r>
        <w:rPr>
          <w:rFonts w:ascii="Times New Roman;serif" w:hAnsi="Times New Roman;serif"/>
          <w:b w:val="false"/>
          <w:sz w:val="20"/>
        </w:rPr>
        <w:t>Since our inception, we have incurred significant losses, including a net loss of $35.3 million for the three months ended March 31, 2023. As of March 31, 2023, we had an accumulated deficit of $568.7 million. We expect to continue to incur significant expenses and recognize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potential commercialization efforts. Our expenses could increase substantially in connection with our ongoing activities, as we:</w:t>
      </w:r>
      <w:r>
        <w:rPr>
          <w:rFonts w:ascii="Times New Roman" w:hAnsi="Times New Roman"/>
          <w:sz w:val="20"/>
        </w:rPr>
        <w:t xml:space="preserve">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initiate and conduct clinical trials of VYD222 or any other product candidate;</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develop product candidates in new indications or patient populations;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continue to advance the preclinical development of product candidates and our preclinical and discovery programs, including development and screening of additional antibodies;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seek regulatory authorization or approval for any product candidates that successfully complete clinical trials;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pursue marketing approvals or emergency use authorizations (“EUA”) and reimbursement for our product candidates;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acquire or in-license other product candidates, intellectual property and/or technologies;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further develop and validate our commercial-scale current Good Manufacturing Practices (“cGMP”) manufacturing process for VYD222;</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manufacture material under cGMP at our contracted manufacturing facilities for clinical trials and potential EUAs, regulatory approvals and commercial sales;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maintain, expand, enforce, defend and protect our intellectual property portfolio;</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comply with regulatory requirements established by the applicable regulatory authorities;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establish a sales, marketing and distribution infrastructure to commercialize any product candidates for which we may obtain regulatory approval or EUA;</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hire and retain additional personnel, including research, clinical, development, manufacturing, quality control, quality assurance, regulatory and scientific personnel;</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add operational, financial, corporate development, management information systems and administrative personnel, including personnel to support our product development and planned future commercialization efforts; and</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incur additional legal, accounting and other expenses in operating as a public company.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We do not anticipate generating revenue from product sales, including government supply contracts, unless and until we successfully complete clinical development and obtain marketing approvals or EUA for one or more of our product candidates. Subject to receiving marketing approval or EUA for any of our product candidates for the prevention and/or treatment of COVID-19, we expect to explore a range of commercial go-to-market approaches, including building our own commercial organization, outsourcing to contract sales and marketing organizations, and/or partnering with other biopharmaceutical companies with established sales, marketing, and market access capabilities. Accordingly, if we obtain marketing approval or EUA for any of our product candidates, we will incur significant additional commercialization expenses related to product manufacturing, marketing, sales and distribution.</w:t>
      </w:r>
    </w:p>
    <w:p>
      <w:pPr>
        <w:pStyle w:val="TextBody"/>
        <w:bidi w:val="0"/>
        <w:spacing w:before="120" w:after="120"/>
        <w:jc w:val="both"/>
        <w:rPr>
          <w:rFonts w:ascii="Times New Roman" w:hAnsi="Times New Roman"/>
          <w:sz w:val="20"/>
        </w:rPr>
      </w:pPr>
      <w:r>
        <w:rPr>
          <w:rFonts w:ascii="Times New Roman;serif" w:hAnsi="Times New Roman;serif"/>
          <w:b w:val="false"/>
          <w:sz w:val="20"/>
        </w:rPr>
        <w:t>As a result, we will need substantial additional funding to support our continuing operations and pursue our growth strategy. Until such time as we can generate significant product revenue, if ever, we expect to finance our operations through a combination of equity offerings, government or private-party funding or grants, debt financings, collaborations with other companies, strategic alliances and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Because of the numerous risks and uncertainties associated with pharmaceutical product development and emergence of SARS-CoV-2 VoCs, we are unable to accurately predict the timing or amount of increased expenses or when, or if, we will be able to achieve or maintain profitability. We may never obtain regulatory authorization or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before="120" w:after="120"/>
        <w:jc w:val="both"/>
        <w:rPr>
          <w:rFonts w:ascii="Times New Roman" w:hAnsi="Times New Roman"/>
          <w:sz w:val="20"/>
        </w:rPr>
      </w:pPr>
      <w:r>
        <w:rPr>
          <w:rFonts w:ascii="Times New Roman;serif" w:hAnsi="Times New Roman;serif"/>
          <w:b w:val="false"/>
          <w:sz w:val="20"/>
        </w:rPr>
        <w:t>Based on our current operating plan, we believe that our existing cash, cash equivalents and marketable securities of $333.4 million as of March 31, 2023, will be sufficient to fund our operating expenses and capital expenditure requirements into the second half of 2024. We have based this estimate on assumptions that may prove to be wrong, and we could exhaust our available capital resources sooner than we expect. See “Liquidity and Capital Resources.”</w:t>
      </w:r>
      <w:r>
        <w:rPr>
          <w:rFonts w:ascii="Times New Roman" w:hAnsi="Times New Roman"/>
          <w:sz w:val="20"/>
        </w:rPr>
        <w:t xml:space="preserve"> </w:t>
      </w:r>
    </w:p>
    <w:p>
      <w:pPr>
        <w:pStyle w:val="TextBody"/>
        <w:bidi w:val="0"/>
        <w:spacing w:before="120" w:after="120"/>
        <w:jc w:val="both"/>
        <w:rPr>
          <w:rFonts w:ascii="Times New Roman;serif" w:hAnsi="Times New Roman;serif"/>
          <w:b/>
          <w:i/>
          <w:sz w:val="20"/>
        </w:rPr>
      </w:pPr>
      <w:r>
        <w:rPr>
          <w:rFonts w:ascii="Times New Roman;serif" w:hAnsi="Times New Roman;serif"/>
          <w:b/>
          <w:i/>
          <w:sz w:val="20"/>
        </w:rPr>
        <w:t>Impact of COVID-19 on Our Operations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full impact of the COVID-19 pandemic and the disease continues to evolve and change as of the date of this Quarterly Report on Form 10-Q, and such impact will directly affect the potential commercial prospects of VYD222 and other product candidates for the prevention and treatment of COVID-19. The severity of the COVID-19 pandemic, the evolution of the disease and the continued emergence of VoCs, and the availability, administration and acceptance of vaccines, mAbs, antiviral agents and other therapeutic modalities will affect the design and enrollment of our clinical trials, the potential regulatory authorization or approval of our product candidates and the commercialization of our product candidates, if authorized or approved.</w:t>
      </w:r>
    </w:p>
    <w:p>
      <w:pPr>
        <w:pStyle w:val="TextBody"/>
        <w:bidi w:val="0"/>
        <w:spacing w:before="120" w:after="120"/>
        <w:jc w:val="both"/>
        <w:rPr>
          <w:rFonts w:ascii="Times New Roman" w:hAnsi="Times New Roman"/>
          <w:sz w:val="20"/>
        </w:rPr>
      </w:pPr>
      <w:r>
        <w:rPr>
          <w:rFonts w:ascii="Times New Roman;serif" w:hAnsi="Times New Roman;serif"/>
          <w:b w:val="false"/>
          <w:sz w:val="20"/>
        </w:rPr>
        <w:t>Similarly, it is not possible to determine the scale and rate of economic recovery from the pandemic, supply chain disruptions, and labor availability and costs, or the impact of other indirect factors that may be attributable to the pandemic. The ultimate extent of the impact of the COVID-19 pandemic on our business, financial condition, operations and product development timelines and plans remains uncertain and will depend on future developments, including the duration and spread of outbreaks and the continued emergence of variants, its impact on our clinical trial design and enrollment, trial sites, CROs, CDMOs, and other third parties with which we do business, as well as its impact on regulatory authorities and our key scientific and management personnel. To date, we have experienced some delays and disruptions in our development activities as a result of the COVID-19 pandemic. Some of our CROs, CDMOs and other service providers also continue to be impacted. We will continue to monitor developments as we address the disruptions, delays and uncertainties relating to the COVID-19 pandemic. If the financial markets and/or the overall economy are impacted for an extended period, our results and operations may be materially adversely affected and may affect our ability to raise capital.</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sz w:val="20"/>
        </w:rPr>
        <w:t>Components of Our Results of Operations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nature of our business and primary focus of our activities generates a significant amount of research and development costs. Research and development expenses represent costs incurred by us for:</w:t>
      </w:r>
      <w:r>
        <w:rPr>
          <w:rFonts w:ascii="Times New Roman" w:hAnsi="Times New Roman"/>
          <w:sz w:val="20"/>
        </w:rPr>
        <w:t xml:space="preserve">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the non-clinical and preclinical development of our product candidates, including our discovery efforts;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the procurement of our product candidates from third-party manufacturers; and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the global clinical development of our product candidates. </w:t>
      </w:r>
    </w:p>
    <w:p>
      <w:pPr>
        <w:pStyle w:val="TextBody"/>
        <w:bidi w:val="0"/>
        <w:spacing w:before="120" w:after="120"/>
        <w:jc w:val="both"/>
        <w:rPr>
          <w:rFonts w:ascii="Times New Roman" w:hAnsi="Times New Roman"/>
          <w:sz w:val="20"/>
        </w:rPr>
      </w:pPr>
      <w:r>
        <w:rPr>
          <w:rFonts w:ascii="Times New Roman;serif" w:hAnsi="Times New Roman;serif"/>
          <w:b w:val="false"/>
          <w:sz w:val="20"/>
        </w:rPr>
        <w:t>Such costs consist of:</w:t>
      </w:r>
      <w:r>
        <w:rPr>
          <w:rFonts w:ascii="Times New Roman" w:hAnsi="Times New Roman"/>
          <w:sz w:val="20"/>
        </w:rPr>
        <w:t xml:space="preserve">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personnel-related expenses, including salaries, bonuses, benefits and other compensation-related costs, including stock-based compensation expense, for employees engaged in research and development functions;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expenses incurred under agreements with third parties, such as collaborators, consultants, contractors and CROs, that conduct the discovery, non-clinical and preclinical studies and clinical trials of our product candidates and research programs;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costs of procuring manufactured product candidates for use in non-clinical studies, preclinical studies and clinical trials from third-party CDMOs;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costs of outside consultants and advisors, including their fees and stock-based compensation;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laboratory-related expenses, which include equipment, laboratory supplies, rent expense, depreciation expense, and other operating costs;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payments made under third-party licensing agreements; and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other expenses incurred as a result of research and development activities. </w:t>
      </w:r>
    </w:p>
    <w:p>
      <w:pPr>
        <w:pStyle w:val="TextBody"/>
        <w:bidi w:val="0"/>
        <w:spacing w:before="120" w:after="120"/>
        <w:jc w:val="both"/>
        <w:rPr>
          <w:rFonts w:ascii="Times New Roman" w:hAnsi="Times New Roman"/>
          <w:sz w:val="20"/>
        </w:rPr>
      </w:pPr>
      <w:r>
        <w:rPr>
          <w:rFonts w:ascii="Times New Roman;serif" w:hAnsi="Times New Roman;serif"/>
          <w:b w:val="false"/>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Our primary focus since inception has been the development of antibodies against COVID-19.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could increase substantially in the near term as we advance VYD222 through clinical development, pursue EUA or regulatory approval of our product candidates, continue to discover and develop additional product candidates and incur expenses associated with hiring additional personnel to support our research and development efforts, including the associated manufacturing activities.</w:t>
      </w:r>
    </w:p>
    <w:p>
      <w:pPr>
        <w:pStyle w:val="TextBody"/>
        <w:bidi w:val="0"/>
        <w:spacing w:before="120" w:after="120"/>
        <w:jc w:val="both"/>
        <w:rPr>
          <w:rFonts w:ascii="Times New Roman" w:hAnsi="Times New Roman"/>
          <w:sz w:val="20"/>
        </w:rPr>
      </w:pPr>
      <w:r>
        <w:rPr>
          <w:rFonts w:ascii="Times New Roman;serif" w:hAnsi="Times New Roman;serif"/>
          <w:b w:val="false"/>
          <w:sz w:val="20"/>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r>
        <w:rPr>
          <w:rFonts w:ascii="Times New Roman" w:hAnsi="Times New Roman"/>
          <w:sz w:val="20"/>
        </w:rPr>
        <w:t xml:space="preserve">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the timing and progress of preclinical and clinical development activities;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the number and scope of preclinical and clinical programs we decide to pursue;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filing acceptable IND applications with the FDA or comparable foreign applications that allow commencement of our planned clinical trials or future clinical trials for our product candidates;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sufficiency of our financial and other resources to complete the necessary preclinical studies and clinical trials, manufacture the product candidates and complete associated regulatory activities;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our ability to establish and maintain agreements with third-party manufacturers for clinical supply for our clinical trials and successfully develop, obtain regulatory approval or EUA for our product candidates;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successful enrollment and timely completion of clinical trials, including our ability to generate positive data from any such clinical trials;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the costs associated with the development of any additional development programs and product candidates we identify in-house or acquire through collaborations;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the prevalence, nature and severity of adverse events experienced with any product candidates;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the terms and timing of any collaboration, license or other arrangement, including the terms and timing of any milestone payments thereunder;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our ability to obtain and maintain patent, trademark and trade secret protection and regulatory exclusivity for our product candidates, if and when approved, and otherwise protecting our rights in our intellectual property portfolio;</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our ability to maintain compliance with regulatory requirements, including current Good Clinical Practices (“cGCPs”), current Good Laboratory Practices (“cGLPs”) and cGMPs, and to comply effectively with other rules, regulations and procedures applicable to the development and sale of pharmaceutical products;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receipt of timely marketing approvals from applicable regulatory authorities;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potential significant and changing government regulation, regulatory guidance and requirements and evolving treatment guidelines; and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the impact of any business interruptions to our operations or those of third parties with which we work, particularly in light of the current COVID-19 pandemic. </w:t>
      </w:r>
    </w:p>
    <w:p>
      <w:pPr>
        <w:pStyle w:val="TextBody"/>
        <w:bidi w:val="0"/>
        <w:spacing w:before="120" w:after="0"/>
        <w:jc w:val="both"/>
        <w:rPr>
          <w:rFonts w:ascii="Times New Roman" w:hAnsi="Times New Roman"/>
          <w:sz w:val="20"/>
        </w:rPr>
      </w:pPr>
      <w:r>
        <w:rPr>
          <w:rFonts w:ascii="Times New Roman;serif" w:hAnsi="Times New Roman;serif"/>
          <w:b w:val="false"/>
          <w:sz w:val="20"/>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emergency situations, such as a pandemic, and with a declaration of a public health emergency by the U.S. Secretary of the Department of Health and Human Services (“HHS”), the FDA has the authority to issue an EUA. While the Biden Administration announced that it would allow the COVID-19 public health emergency declared by HHS under the Public Health Service Act to expire on May 11, 2023, this does not impact the FDA’s ability to authorize COVID-19 drugs and biological products for emergency use. The FDA may continue to issue new EUAs going forward when criteria for issuance are met. Such ability arises from the EUA declaration and determination issued pursuant to the Federal Food, Drug, and Cosmetic Act (the “FDCA”), which remain in effect unless or until the HHS Secretary terminates such declaration and determination, at which point EUAs based on such declaration would cease to be in effect and the FDA may no longer issue EUAs for products covered by such declaration. There can be no assurance that the public health emergency in the U.S. declared under the FDCA will continue to be in place for an extended period of time, that any of our product candidates will be granted an EUA by the FDA, if we apply for such an authorization, or that we would be able to maintain an EUA, if received, for an extended period of time.</w:t>
      </w:r>
    </w:p>
    <w:p>
      <w:pPr>
        <w:pStyle w:val="TextBody"/>
        <w:bidi w:val="0"/>
        <w:spacing w:before="120" w:after="120"/>
        <w:jc w:val="both"/>
        <w:rPr>
          <w:rFonts w:ascii="Times New Roman" w:hAnsi="Times New Roman"/>
          <w:sz w:val="20"/>
        </w:rPr>
      </w:pPr>
      <w:r>
        <w:rPr>
          <w:rFonts w:ascii="Times New Roman;serif" w:hAnsi="Times New Roman;serif"/>
          <w:b/>
          <w:i/>
          <w:sz w:val="20"/>
        </w:rPr>
        <w:t>Acquired In-Process Research and Development Expenses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Acquired in-process research and development (“IPR&amp;D”) expenses consist primarily of costs of contingent milestone payments incurred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i/>
          <w:sz w:val="20"/>
        </w:rPr>
        <w:t>Selling, General and Administrative Expenses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Our selling, general and administrative expenses could increase in the future as our business expands and we increase our headcount to support the expected growth in our research and development activities and the potential commercialization of our product candidates. In particular, we could incur additional commercialization expenses prior to any regulatory approval or EUA of our product candidates as we continue to expand our commercial function to support potential future product launches. We also anticipate that we will continue to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20"/>
        </w:rPr>
        <w:t>In June 2022, and subsequently amended in September 2022, we entered into a lease agreement for dedicated laboratory and office space in Newton, Massachusetts for research and development purposes. Through March 31, 2023, we have operated as a hybrid company with employees working at our corporate headquarters and remotely. We have not incurred material operating expenses for the rent, maintenance and insurance of facilities, or for the depreciation of fixed assets.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i/>
          <w:sz w:val="20"/>
        </w:rPr>
        <w:t>Other Income (Expense), Net</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Other income (expense),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pStyle w:val="TextBody"/>
        <w:bidi w:val="0"/>
        <w:spacing w:before="120" w:after="120"/>
        <w:jc w:val="both"/>
        <w:rPr>
          <w:rFonts w:ascii="Times New Roman;serif" w:hAnsi="Times New Roman;serif"/>
          <w:b/>
          <w:i/>
          <w:sz w:val="20"/>
        </w:rPr>
      </w:pPr>
      <w:r>
        <w:rPr>
          <w:rFonts w:ascii="Times New Roman;serif" w:hAnsi="Times New Roman;serif"/>
          <w:b/>
          <w:i/>
          <w:sz w:val="20"/>
        </w:rPr>
        <w:t>Income Taxes</w:t>
      </w:r>
    </w:p>
    <w:p>
      <w:pPr>
        <w:pStyle w:val="TextBody"/>
        <w:bidi w:val="0"/>
        <w:spacing w:before="120" w:after="120"/>
        <w:jc w:val="both"/>
        <w:rPr>
          <w:rFonts w:ascii="Times New Roman" w:hAnsi="Times New Roman"/>
          <w:sz w:val="20"/>
        </w:rPr>
      </w:pPr>
      <w:r>
        <w:rPr>
          <w:rFonts w:ascii="Times New Roman;serif" w:hAnsi="Times New Roman;serif"/>
          <w:b w:val="false"/>
          <w:sz w:val="20"/>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120"/>
        <w:jc w:val="both"/>
        <w:rPr>
          <w:rFonts w:ascii="Times New Roman;serif" w:hAnsi="Times New Roman;serif"/>
          <w:b/>
          <w:i/>
          <w:sz w:val="20"/>
        </w:rPr>
      </w:pPr>
      <w:r>
        <w:rPr>
          <w:rFonts w:ascii="Times New Roman;serif" w:hAnsi="Times New Roman;serif"/>
          <w:b/>
          <w:i/>
          <w:sz w:val="20"/>
        </w:rPr>
        <w:t>Comparison of the three months ended March 31, 2023 and 2022</w:t>
      </w:r>
    </w:p>
    <w:p>
      <w:pPr>
        <w:pStyle w:val="TextBody"/>
        <w:bidi w:val="0"/>
        <w:spacing w:before="120" w:after="80"/>
        <w:jc w:val="both"/>
        <w:rPr>
          <w:rFonts w:ascii="Times New Roman" w:hAnsi="Times New Roman"/>
          <w:sz w:val="20"/>
        </w:rPr>
      </w:pPr>
      <w:r>
        <w:rPr>
          <w:rFonts w:ascii="Times New Roman;serif" w:hAnsi="Times New Roman;serif"/>
          <w:b w:val="false"/>
          <w:sz w:val="20"/>
        </w:rPr>
        <w:t>The following table summarizes our results of operations for the three months ended March 31, 2023 and 2022:</w:t>
      </w:r>
      <w:r>
        <w:rPr>
          <w:rFonts w:ascii="Times New Roman" w:hAnsi="Times New Roman"/>
          <w:sz w:val="20"/>
        </w:rPr>
        <w:t xml:space="preserve"> </w:t>
      </w:r>
    </w:p>
    <w:tbl>
      <w:tblPr>
        <w:tblW w:w="9419" w:type="dxa"/>
        <w:jc w:val="left"/>
        <w:tblInd w:w="0" w:type="dxa"/>
        <w:tblLayout w:type="fixed"/>
        <w:tblCellMar>
          <w:top w:w="28" w:type="dxa"/>
          <w:left w:w="28" w:type="dxa"/>
          <w:bottom w:w="28" w:type="dxa"/>
          <w:right w:w="28" w:type="dxa"/>
        </w:tblCellMar>
      </w:tblPr>
      <w:tblGrid>
        <w:gridCol w:w="3901"/>
        <w:gridCol w:w="146"/>
        <w:gridCol w:w="357"/>
        <w:gridCol w:w="1248"/>
        <w:gridCol w:w="166"/>
        <w:gridCol w:w="146"/>
        <w:gridCol w:w="322"/>
        <w:gridCol w:w="1283"/>
        <w:gridCol w:w="166"/>
        <w:gridCol w:w="146"/>
        <w:gridCol w:w="211"/>
        <w:gridCol w:w="736"/>
        <w:gridCol w:w="5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39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(64,834</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Acquired in-process research and development</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2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w:t>
            </w:r>
          </w:p>
        </w:tc>
        <w:tc>
          <w:tcPr>
            <w:tcW w:w="591" w:type="dxa"/>
            <w:tcBorders/>
            <w:vAlign w:val="center"/>
          </w:tcPr>
          <w:p>
            <w:pPr>
              <w:pStyle w:val="TableContents"/>
              <w:bidi w:val="0"/>
              <w:spacing w:before="0" w:after="0"/>
              <w:ind w:left="0" w:right="0" w:firstLine="200"/>
              <w:jc w:val="left"/>
              <w:rPr/>
            </w:pPr>
            <w:r>
              <w:rPr/>
              <w:t> </w:t>
            </w:r>
          </w:p>
        </w:tc>
      </w:tr>
      <w:tr>
        <w:trPr/>
        <w:tc>
          <w:tcPr>
            <w:tcW w:w="39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90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(61,668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61,668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39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90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(100,666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65,345</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80" w:after="120"/>
        <w:jc w:val="both"/>
        <w:rPr>
          <w:rFonts w:ascii="Times New Roman" w:hAnsi="Times New Roman"/>
          <w:sz w:val="20"/>
        </w:rPr>
      </w:pPr>
      <w:r>
        <w:rPr>
          <w:rFonts w:ascii="Times New Roman;serif" w:hAnsi="Times New Roman;serif"/>
          <w:b w:val="false"/>
          <w:sz w:val="20"/>
        </w:rPr>
        <w:t>The following discussion presents the components of our expenses for the periods presented:</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4895"/>
        <w:gridCol w:w="146"/>
        <w:gridCol w:w="361"/>
        <w:gridCol w:w="1158"/>
        <w:gridCol w:w="146"/>
        <w:gridCol w:w="146"/>
        <w:gridCol w:w="361"/>
        <w:gridCol w:w="1158"/>
        <w:gridCol w:w="146"/>
        <w:gridCol w:w="146"/>
        <w:gridCol w:w="211"/>
        <w:gridCol w:w="736"/>
        <w:gridCol w:w="595"/>
      </w:tblGrid>
      <w:tr>
        <w:trPr/>
        <w:tc>
          <w:tcPr>
            <w:tcW w:w="4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left"/>
              <w:rPr/>
            </w:pPr>
            <w:r>
              <w:rPr/>
              <w:t> </w:t>
            </w:r>
          </w:p>
        </w:tc>
      </w:tr>
      <w:tr>
        <w:trPr/>
        <w:tc>
          <w:tcPr>
            <w:tcW w:w="489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left"/>
              <w:rPr/>
            </w:pPr>
            <w:r>
              <w:rPr/>
              <w:t> </w:t>
            </w:r>
          </w:p>
        </w:tc>
        <w:tc>
          <w:tcPr>
            <w:tcW w:w="15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Direct, external research and development expenses by program:</w:t>
            </w:r>
          </w:p>
        </w:tc>
        <w:tc>
          <w:tcPr>
            <w:tcW w:w="146" w:type="dxa"/>
            <w:tcBorders/>
            <w:vAlign w:val="center"/>
          </w:tcPr>
          <w:p>
            <w:pPr>
              <w:pStyle w:val="TableContents"/>
              <w:bidi w:val="0"/>
              <w:spacing w:before="0" w:after="0"/>
              <w:ind w:left="0" w:right="0" w:hanging="0"/>
              <w:jc w:val="left"/>
              <w:rPr/>
            </w:pPr>
            <w:r>
              <w:rPr/>
              <w:t> </w:t>
            </w:r>
          </w:p>
        </w:tc>
        <w:tc>
          <w:tcPr>
            <w:tcW w:w="15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firstLine="200"/>
              <w:jc w:val="left"/>
              <w:rPr/>
            </w:pPr>
            <w:r>
              <w:rPr/>
              <w:t> </w:t>
            </w:r>
          </w:p>
        </w:tc>
      </w:tr>
      <w:tr>
        <w:trPr/>
        <w:tc>
          <w:tcPr>
            <w:tcW w:w="48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Adintrevimab</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77,583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(75,046</w:t>
            </w:r>
          </w:p>
        </w:tc>
        <w:tc>
          <w:tcPr>
            <w:tcW w:w="59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8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VYD222</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1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1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8,915</w:t>
            </w:r>
          </w:p>
        </w:tc>
        <w:tc>
          <w:tcPr>
            <w:tcW w:w="595" w:type="dxa"/>
            <w:tcBorders/>
            <w:vAlign w:val="center"/>
          </w:tcPr>
          <w:p>
            <w:pPr>
              <w:pStyle w:val="TableContents"/>
              <w:bidi w:val="0"/>
              <w:spacing w:before="0" w:after="0"/>
              <w:ind w:left="0" w:right="0" w:hanging="0"/>
              <w:jc w:val="left"/>
              <w:rPr/>
            </w:pPr>
            <w:r>
              <w:rPr/>
              <w:t> </w:t>
            </w:r>
          </w:p>
        </w:tc>
      </w:tr>
      <w:tr>
        <w:trPr/>
        <w:tc>
          <w:tcPr>
            <w:tcW w:w="48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Unallocated research and development expenses:</w:t>
            </w:r>
          </w:p>
        </w:tc>
        <w:tc>
          <w:tcPr>
            <w:tcW w:w="146" w:type="dxa"/>
            <w:tcBorders/>
            <w:vAlign w:val="center"/>
          </w:tcPr>
          <w:p>
            <w:pPr>
              <w:pStyle w:val="TableContents"/>
              <w:bidi w:val="0"/>
              <w:spacing w:before="0" w:after="0"/>
              <w:ind w:left="0" w:right="0" w:hanging="0"/>
              <w:jc w:val="left"/>
              <w:rPr/>
            </w:pPr>
            <w:r>
              <w:rPr/>
              <w:t> </w:t>
            </w:r>
          </w:p>
        </w:tc>
        <w:tc>
          <w:tcPr>
            <w:tcW w:w="15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firstLine="200"/>
              <w:jc w:val="left"/>
              <w:rPr/>
            </w:pPr>
            <w:r>
              <w:rPr/>
              <w:t> </w:t>
            </w:r>
          </w:p>
        </w:tc>
      </w:tr>
      <w:tr>
        <w:trPr/>
        <w:tc>
          <w:tcPr>
            <w:tcW w:w="48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Personnel-related costs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1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1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(2,216</w:t>
            </w:r>
          </w:p>
        </w:tc>
        <w:tc>
          <w:tcPr>
            <w:tcW w:w="59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8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External discovery-related and other costs</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3,513</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89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(64,834</w:t>
            </w:r>
          </w:p>
        </w:tc>
        <w:tc>
          <w:tcPr>
            <w:tcW w:w="5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80" w:after="0"/>
        <w:jc w:val="both"/>
        <w:rPr>
          <w:rFonts w:ascii="Times New Roman" w:hAnsi="Times New Roman"/>
          <w:sz w:val="20"/>
        </w:rPr>
      </w:pPr>
      <w:r>
        <w:rPr>
          <w:rFonts w:ascii="Times New Roman;serif" w:hAnsi="Times New Roman;serif"/>
          <w:b w:val="false"/>
          <w:sz w:val="20"/>
        </w:rPr>
        <w:t>Research and development expenses were $27.2 million for the three months ended March 31, 2023, compared to $92.0 million for the three months ended March 31, 2022. The $64.8 million decrease in research and development expenses was primarily due to the following:</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The decrease in direct costs related to our adintrevimab program of $75.0 million was primarily due to a decrease in our contract manufacturing and contract research expenses for such program. Contract manufacturing expenses decreased by $53.1 million, primarily due to production of materials for use in our clinical trials and non-clinical studies for the adintrevimab program, as well as supply for use under a potential EUA for adintrevimab during the three months ended March 31, 2022. Contract research expenses decreased by $19.7 million, primarily due to lower costs related to a pause in enrollment and closing of clinical trials evaluating adintrevimab in January 2022 and November 2022, respectively. In addition, other external and non-clinical expenses related to our adintrevimab program decreased by $2.2 million.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increase in direct costs related to our VYD222 program was due to the nomination of our VYD222 product candidate in 2023 to proceed to IND-enabling activities. The costs were primarily related to contract manufacturing expenses for the manufacture of materials for use in our clinical trials and non-clinical studies.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Personnel-related costs, including salaries, bonuses, benefits and other compensation-related costs were $5.0 million and stock-based compensation expense was $2.3 million for the three months ended March 31, 2023, compared to personnel-related costs of $6.3 million and stock-based compensation expense of $3.2 million for the three months ended March 31, 2022. The decrease in personnel-related costs of $2.2 million was primarily due to a reduction in headcount, including a decrease in stock-based compensation expense of $0.9 million.</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The increase in external discovery-related and other costs of $3.5 million was primarily due to an increase in contract manufacturing expenses related to our pipeline candidates of $3.1 million and an increase in other external costs of $1.2 million, partially offset by a decrease of $0.8 million related to the termination of a Research Collaboration and License Agreement with The Scripps Research Institute in 2022.</w:t>
      </w:r>
    </w:p>
    <w:p>
      <w:pPr>
        <w:pStyle w:val="TextBody"/>
        <w:bidi w:val="0"/>
        <w:spacing w:before="120" w:after="0"/>
        <w:jc w:val="both"/>
        <w:rPr>
          <w:rFonts w:ascii="Times New Roman" w:hAnsi="Times New Roman"/>
          <w:sz w:val="20"/>
        </w:rPr>
      </w:pPr>
      <w:r>
        <w:rPr>
          <w:rFonts w:ascii="Times New Roman;serif" w:hAnsi="Times New Roman;serif"/>
          <w:b/>
          <w:i/>
          <w:sz w:val="20"/>
        </w:rPr>
        <w:t>Acquired In-Process Research and Development (“IPR&amp;D”) Expenses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IPR&amp;D expenses of $0.8 million for the three months ended March 31, 2023 consisted of a $0.4 million milestone payment that became due to Adimab in March 2023 upon dosing of the first subject in a Phase 1 clinical trial evaluating VYD222 under the Adimab License Agreement and $0.4 million in license fees due to WuXi Biologics under the Cell Line License Agreement.</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There was no IPR&amp;D expense recognized during the three months ended March 31, 2022.</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i/>
          <w:sz w:val="20"/>
        </w:rPr>
        <w:t>Selling, General and Administrative Expenses</w:t>
      </w:r>
      <w:r>
        <w:rPr>
          <w:rFonts w:ascii="Times New Roman" w:hAnsi="Times New Roman"/>
          <w:sz w:val="20"/>
        </w:rPr>
        <w:t xml:space="preserve"> </w:t>
      </w:r>
    </w:p>
    <w:tbl>
      <w:tblPr>
        <w:tblW w:w="9359" w:type="dxa"/>
        <w:jc w:val="left"/>
        <w:tblInd w:w="0" w:type="dxa"/>
        <w:tblLayout w:type="fixed"/>
        <w:tblCellMar>
          <w:top w:w="28" w:type="dxa"/>
          <w:left w:w="28" w:type="dxa"/>
          <w:bottom w:w="28" w:type="dxa"/>
          <w:right w:w="28" w:type="dxa"/>
        </w:tblCellMar>
      </w:tblPr>
      <w:tblGrid>
        <w:gridCol w:w="4186"/>
        <w:gridCol w:w="146"/>
        <w:gridCol w:w="382"/>
        <w:gridCol w:w="1223"/>
        <w:gridCol w:w="146"/>
        <w:gridCol w:w="146"/>
        <w:gridCol w:w="433"/>
        <w:gridCol w:w="1172"/>
        <w:gridCol w:w="146"/>
        <w:gridCol w:w="146"/>
        <w:gridCol w:w="211"/>
        <w:gridCol w:w="631"/>
        <w:gridCol w:w="3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Personnel-related costs</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4,624</w:t>
            </w:r>
          </w:p>
        </w:tc>
        <w:tc>
          <w:tcPr>
            <w:tcW w:w="391" w:type="dxa"/>
            <w:tcBorders/>
            <w:vAlign w:val="center"/>
          </w:tcPr>
          <w:p>
            <w:pPr>
              <w:pStyle w:val="TableContents"/>
              <w:bidi w:val="0"/>
              <w:spacing w:before="0" w:after="0"/>
              <w:ind w:left="0" w:right="0" w:hanging="0"/>
              <w:jc w:val="left"/>
              <w:rPr/>
            </w:pPr>
            <w:r>
              <w:rPr/>
              <w:t> </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and consultant fees</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(2,558</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1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80" w:after="120"/>
        <w:jc w:val="both"/>
        <w:rPr>
          <w:rFonts w:ascii="Times New Roman" w:hAnsi="Times New Roman"/>
          <w:sz w:val="20"/>
        </w:rPr>
      </w:pPr>
      <w:r>
        <w:rPr>
          <w:rFonts w:ascii="Times New Roman;serif" w:hAnsi="Times New Roman;serif"/>
          <w:b w:val="false"/>
          <w:sz w:val="20"/>
        </w:rPr>
        <w:t>Selling, general and administrative expenses were $11.0 million for the three months ended March 31, 2023, compared to $8.7 million for the three months ended March 31, 2022. The $2.3 million increase in selling, general and administrative expenses was primarily due to the following:</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Personnel-related costs, including salaries, bonuses, benefits and other compensation-related costs were $3.1 million and stock-based compensation expense was $3.1 million for the three months ended March 31, 2023, compared to personnel-related costs of $2.8 million and a stock-based compensation credit of $1.2 million for the three months ended March 31, 2022. The increase in personnel-related costs of $4.6 million was primarily due to the non-recurring reversal of stock-based compensation expense related to the forfeiture of stock options in conjunction with the resignation of our former Chief Executive Officer and President during the three months ended March 31, 2022.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decrease in professional and consultant fees of $2.6 million was primarily due to a decrease in professional and consulting service costs of $1.5 million, a decrease in director and officer insurance premiums of $0.6 million and a decrease in commercial costs of $0.5 million.</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Other costs remained relatively consistent between periods.</w:t>
      </w:r>
    </w:p>
    <w:p>
      <w:pPr>
        <w:pStyle w:val="TextBody"/>
        <w:bidi w:val="0"/>
        <w:spacing w:before="120" w:after="120"/>
        <w:jc w:val="both"/>
        <w:rPr>
          <w:rFonts w:ascii="Times New Roman;serif" w:hAnsi="Times New Roman;serif"/>
          <w:b/>
          <w:i/>
          <w:sz w:val="20"/>
        </w:rPr>
      </w:pPr>
      <w:r>
        <w:rPr>
          <w:rFonts w:ascii="Times New Roman;serif" w:hAnsi="Times New Roman;serif"/>
          <w:b/>
          <w:i/>
          <w:sz w:val="20"/>
        </w:rPr>
        <w:t>Other Income</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Other income was $3.8 million for the three months ended March 31, 2023, consisting primarily of $1.1 million of interest earned on our invested cash balances and $2.7 million of net accretion of discounts related to our marketable securities.</w:t>
      </w:r>
    </w:p>
    <w:p>
      <w:pPr>
        <w:pStyle w:val="TextBody"/>
        <w:bidi w:val="0"/>
        <w:spacing w:before="120" w:after="120"/>
        <w:jc w:val="both"/>
        <w:rPr>
          <w:rFonts w:ascii="Times New Roman" w:hAnsi="Times New Roman"/>
          <w:sz w:val="20"/>
        </w:rPr>
      </w:pPr>
      <w:r>
        <w:rPr>
          <w:rFonts w:ascii="Times New Roman;serif" w:hAnsi="Times New Roman;serif"/>
          <w:b w:val="false"/>
          <w:sz w:val="20"/>
        </w:rPr>
        <w:t>Other income was less than $0.1 million for the three months ended March 31, 2022, consisting primarily of interest earned on invested cash balances.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i/>
          <w:sz w:val="20"/>
        </w:rPr>
        <w:t>Sources of Liquidity</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Since our inception in June 2020, we have not generated any revenue from any sources, including from product sales or government supply contracts, and have incurred significant operating losses and negative cash flows from operations. We expect to incur substantial expenses and operating losses for the foreseeable future as we advance the clinical development of our product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candidates. To date, we have financed our operations with net proceeds of $464.7 million from sales of our preferred stock, and with aggregate net proceeds from our IPO in August 2021 of $327.5 million.</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As of March 31, 2023, we had cash, cash equivalents and marketable securities of $333.4 million.</w:t>
      </w:r>
    </w:p>
    <w:p>
      <w:pPr>
        <w:pStyle w:val="TextBody"/>
        <w:bidi w:val="0"/>
        <w:spacing w:before="120" w:after="120"/>
        <w:jc w:val="both"/>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80"/>
        <w:jc w:val="both"/>
        <w:rPr>
          <w:rFonts w:ascii="Times New Roman" w:hAnsi="Times New Roman"/>
          <w:sz w:val="20"/>
        </w:rPr>
      </w:pPr>
      <w:r>
        <w:rPr>
          <w:rFonts w:ascii="Times New Roman;serif" w:hAnsi="Times New Roman;serif"/>
          <w:b w:val="false"/>
          <w:sz w:val="20"/>
        </w:rPr>
        <w:t>The following table summarizes our sources and uses of cash for each of the periods presented:</w:t>
      </w:r>
      <w:r>
        <w:rPr>
          <w:rFonts w:ascii="Times New Roman" w:hAnsi="Times New Roman"/>
          <w:sz w:val="20"/>
        </w:rPr>
        <w:t xml:space="preserve"> </w:t>
      </w:r>
    </w:p>
    <w:tbl>
      <w:tblPr>
        <w:tblW w:w="9970" w:type="dxa"/>
        <w:jc w:val="left"/>
        <w:tblInd w:w="0" w:type="dxa"/>
        <w:tblLayout w:type="fixed"/>
        <w:tblCellMar>
          <w:top w:w="28" w:type="dxa"/>
          <w:left w:w="28" w:type="dxa"/>
          <w:bottom w:w="28" w:type="dxa"/>
          <w:right w:w="28" w:type="dxa"/>
        </w:tblCellMar>
      </w:tblPr>
      <w:tblGrid>
        <w:gridCol w:w="4321"/>
        <w:gridCol w:w="146"/>
        <w:gridCol w:w="534"/>
        <w:gridCol w:w="1866"/>
        <w:gridCol w:w="166"/>
        <w:gridCol w:w="146"/>
        <w:gridCol w:w="534"/>
        <w:gridCol w:w="1866"/>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left"/>
              <w:rPr/>
            </w:pPr>
            <w:r>
              <w:rPr/>
              <w:t> </w:t>
            </w:r>
          </w:p>
        </w:tc>
        <w:tc>
          <w:tcPr>
            <w:tcW w:w="24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(59,049</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left"/>
              <w:rPr/>
            </w:pPr>
            <w:r>
              <w:rPr/>
              <w:t> </w:t>
            </w:r>
          </w:p>
        </w:tc>
        <w:tc>
          <w:tcPr>
            <w:tcW w:w="1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left"/>
              <w:rPr/>
            </w:pPr>
            <w:r>
              <w:rPr/>
              <w:t> </w:t>
            </w:r>
          </w:p>
        </w:tc>
        <w:tc>
          <w:tcPr>
            <w:tcW w:w="18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49,000</w:t>
            </w:r>
          </w:p>
        </w:tc>
        <w:tc>
          <w:tcPr>
            <w:tcW w:w="39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increase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5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120"/>
        <w:jc w:val="both"/>
        <w:rPr>
          <w:rFonts w:ascii="Times New Roman;serif" w:hAnsi="Times New Roman;serif"/>
          <w:b w:val="false"/>
          <w:i/>
          <w:sz w:val="20"/>
        </w:rPr>
      </w:pPr>
      <w:r>
        <w:rPr>
          <w:rFonts w:ascii="Times New Roman;serif" w:hAnsi="Times New Roman;serif"/>
          <w:b w:val="false"/>
          <w:i/>
          <w:sz w:val="20"/>
        </w:rPr>
        <w:t>Operating Activities</w:t>
      </w:r>
    </w:p>
    <w:p>
      <w:pPr>
        <w:pStyle w:val="TextBody"/>
        <w:bidi w:val="0"/>
        <w:spacing w:before="120" w:after="120"/>
        <w:jc w:val="both"/>
        <w:rPr>
          <w:rFonts w:ascii="Times New Roman" w:hAnsi="Times New Roman"/>
          <w:sz w:val="20"/>
        </w:rPr>
      </w:pPr>
      <w:r>
        <w:rPr>
          <w:rFonts w:ascii="Times New Roman;serif" w:hAnsi="Times New Roman;serif"/>
          <w:b w:val="false"/>
          <w:sz w:val="20"/>
        </w:rPr>
        <w:t>During the three months ended March 31, 2023, operating activities used $41.2 million of cash, primarily due to our net loss of $35.3 million, partially offset by non-cash charges of $3.4 million. Net cash used in changes in our operating assets and liabilities consisted of a $6.3 million increase in prepaid expenses and other current assets and a $4.4 million increase in accounts payable, partially offset by a $6.9 million decrease in accrued expenses. The increase in accounts payable and decrease in accrued expenses was primarily due to the timing of vendor invoicing and payments. The increase in prepaid expenses and other current assets was primarily due to up-front payments related to our Phase 1 clinical trial for VYD222 and up-front payments to WuXi Biologics for manufacturing costs.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During the three months ended March 31, 2022, operating activities used $59.0 million of cash, primarily due to our net loss of $100.7 million, partially offset by non-cash charges of $2.3 million. Net cash provided by changes in our operating assets and liabilities consisted of a $20.3 million increase in accrued expenses and a $12.9 million increase in accounts payable, partially offset by a $3.2 million decrease in prepaid expenses and other current assets and a $3.1 million decrease in other non-current assets. The increases in accounts payable and accrued expenses were primarily due to increased external costs associated with our research and development activities, including clinical trials and clinical and commercial manufacturing.</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Net cash provided by investing activities during the three months ended March 31, 2023 consisted of $75.6 million in maturities of marketable securities, offset by $0.6 million in purchases of property and equipment.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Net cash provided by investing activities during the three months ended March 31, 2022 consisted of $49.0 million in maturities of marketable securities.</w:t>
      </w:r>
    </w:p>
    <w:p>
      <w:pPr>
        <w:pStyle w:val="TextBody"/>
        <w:bidi w:val="0"/>
        <w:spacing w:before="120" w:after="120"/>
        <w:jc w:val="both"/>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Net cash provided by financing activities during the three months ended March 31, 2023 consisted of $0.4 million from exercises of stock options and $0.1 million from issuance of common stock under the employee stock purchase plan.</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Net cash provided by financing activities during the three months ended March 31, 2022 consisted of less than $0.1 million from exercises of stock options.</w:t>
      </w:r>
    </w:p>
    <w:p>
      <w:pPr>
        <w:pStyle w:val="TextBody"/>
        <w:bidi w:val="0"/>
        <w:spacing w:before="120" w:after="120"/>
        <w:jc w:val="both"/>
        <w:rPr>
          <w:rFonts w:ascii="Times New Roman" w:hAnsi="Times New Roman"/>
          <w:sz w:val="20"/>
        </w:rPr>
      </w:pPr>
      <w:r>
        <w:rPr>
          <w:rFonts w:ascii="Times New Roman;serif" w:hAnsi="Times New Roman;serif"/>
          <w:b/>
          <w:i/>
          <w:sz w:val="20"/>
        </w:rPr>
        <w:t>Funding Requirements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Our expenses could increase in connection with our ongoing activities, particularly as we advance the non-clinical and preclinical studies and the clinical trials of our product candidates, including any associated manufacturing activities, and potential commercialization efforts. Our funding requirements and timing and amount of our operating expenditures will depend on many factors, including:</w:t>
      </w:r>
      <w:r>
        <w:rPr>
          <w:rFonts w:ascii="Times New Roman" w:hAnsi="Times New Roman"/>
          <w:sz w:val="20"/>
        </w:rPr>
        <w:t xml:space="preserve">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rate of progress in the development of VYD222 and our other product candidates;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scope, progress, results and costs of discovery, non-clinical studies, preclinical development, laboratory testing and clinical trials for our product candidates and associated development programs;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extent to which we develop, in-license or acquire other product candidates and technologies in our pipeline;</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scope, progress, results and costs of manufacturing and validation activities associated with our current product candidates with the development and manufacturing of our future product candidates and other programs as we advance them through preclinical and clinical development;</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number and development requirements of product candidates that we may pursue;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costs, timing and outcome of regulatory review of our product candidates;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our headcount growth and associated costs as we expand our research and development capabilities and establish a commercial infrastructure for any product candidates for which we may obtain regulatory approval or EUA;</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timing and costs of securing sufficient capacity for clinical and commercial supply of our current and potential future product candidates, or the raw material components thereof;</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costs and timing of future commercialization activities, including product manufacturing, marketing, sales and distribution, for any of our product candidates for which we receive marketing approval or EUA;</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costs necessary to obtain regulatory approvals, if any, for products in the U.S. and other jurisdictions, and the costs of post-marketing studies that could be required by regulatory authorities in jurisdictions where approval is obtained;</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continuation of our existing licensing and collaboration arrangements and entry into new collaborations and licensing arrangements, if at all;</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need and ability to hire additional research, clinical, development, scientific and manufacturing personnel;</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costs we incur in maintaining business operations;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need to implement additional internal systems and infrastructure;</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effect of competing technological, product and market developments;</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revenue, if any, received from commercial sales of our product candidates for which we receive marketing approval;</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costs of operating as a public company; and</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 xml:space="preserve">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 </w:t>
      </w:r>
    </w:p>
    <w:p>
      <w:pPr>
        <w:pStyle w:val="TextBody"/>
        <w:bidi w:val="0"/>
        <w:spacing w:before="120" w:after="120"/>
        <w:jc w:val="both"/>
        <w:rPr>
          <w:rFonts w:ascii="Times New Roman" w:hAnsi="Times New Roman"/>
          <w:sz w:val="20"/>
        </w:rPr>
      </w:pPr>
      <w:r>
        <w:rPr>
          <w:rFonts w:ascii="Times New Roman;serif" w:hAnsi="Times New Roman;serif"/>
          <w:b w:val="false"/>
          <w:sz w:val="20"/>
        </w:rPr>
        <w:t>We believe that our cash, cash equivalents and marketable securities will enable us to fund our operating expenses and capital expenditure requirements into the second half of 2024. We have based this estimate on assumptions that may prove to be wrong, and we could exhaust our available capital resources sooner than we expect.</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Until such time, if ever, as we can generate significant product revenue, we expect to finance our operations through a combination of equity offerings, government or private-party funding or grants, debt financings, collaborations with other companies, strategic alliances and licensing arrangements. To the extent that we raise additional capital through the sale of equity or convertible debt securities, your ownership interest will be diluted, and the terms of such securities may include liquidation or other preferences and anti-dilution protections that adversely affect your rights as a common stockholder. Additional debt financing and preferred equity financing, if available, may involve agreements that include covenants limiting or restricting our ability to take specific actions, such as incurring debt, making acquisitions or capital expenditures or declaring dividends, which could adversely constrain our ability to conduct our business,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 we may be required to delay, limit, reduce or terminate our product development programs or any future commercialization efforts or grant rights to develop and market product candidates to third parties that we would otherwise prefer to develop and market ourselves.</w:t>
      </w:r>
    </w:p>
    <w:p>
      <w:pPr>
        <w:pStyle w:val="TextBody"/>
        <w:bidi w:val="0"/>
        <w:spacing w:before="120" w:after="120"/>
        <w:jc w:val="both"/>
        <w:rPr>
          <w:rFonts w:ascii="Times New Roman;serif" w:hAnsi="Times New Roman;serif"/>
          <w:b/>
          <w:sz w:val="20"/>
        </w:rPr>
      </w:pPr>
      <w:r>
        <w:rPr>
          <w:rFonts w:ascii="Times New Roman;serif" w:hAnsi="Times New Roman;serif"/>
          <w:b/>
          <w:sz w:val="20"/>
        </w:rPr>
        <w:t>Contractual Obligations and Commitments</w:t>
      </w:r>
    </w:p>
    <w:p>
      <w:pPr>
        <w:pStyle w:val="TextBody"/>
        <w:bidi w:val="0"/>
        <w:spacing w:before="120" w:after="120"/>
        <w:jc w:val="both"/>
        <w:rPr>
          <w:rFonts w:ascii="Times New Roman" w:hAnsi="Times New Roman"/>
          <w:sz w:val="20"/>
        </w:rPr>
      </w:pPr>
      <w:r>
        <w:rPr>
          <w:rFonts w:ascii="Times New Roman;serif" w:hAnsi="Times New Roman;serif"/>
          <w:b w:val="false"/>
          <w:sz w:val="20"/>
        </w:rPr>
        <w:t>During the three months ended March 31, 2023, there were no material changes to our contractual obligations from those described in the 2022 Form 10-K. For additional information, see Note 9 to our condensed consolidated financial statements appearing in this Quarterly Report on Form 10-Q.</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sz w:val="20"/>
        </w:rPr>
        <w:t>Critical Accounting Policies and Significant Judgments and Estimates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and estimates are described under the heading “Management’s Discussion and Analysis of Financial Condition and Results of Operations—Critical Accounting Policies and Significant Judgments and Estimates” in our 2022 Form 10-K. If actual results or events differ materially from the estimates, judgments and assumptions used by us in applying these policies, our reported financial condition and results of operations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20"/>
        </w:rPr>
        <w:t>could be materially affected. There have been no significant changes to our critical accounting policies and estimates from those described in the 2022 Form 10-K.</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sz w:val="20"/>
        </w:rPr>
        <w:t>Recently Issued Accounting Pronouncements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A description of recently issued accounting pronouncements that may potentially impact our financial position, results of operations and cash flows is disclosed in Note 2 to our condensed consolidated financial statements appearing elsewhere in this Quarterly Report on Form 10-Q.</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sz w:val="20"/>
        </w:rPr>
        <w:t>Emerging Growth Company Status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We are an “emerging growth company,” as defined in the Jumpstart Our Business Startups Act of 2012 (the “JOBS Act”), and will remain an emerging growth company until the last day of the fiscal year following the fifth anniversary of the completion of our IPO.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an exemption from compliance with the auditor attestation requirement in the assessment of our internal control over financial reporting;</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reduced disclosure obligations regarding executive compensation;</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exemptions from the requirements of holding a non-binding advisory vote on executive compensation and stockholder approval of any golden parachute payments not previously approved; and</w:t>
      </w:r>
    </w:p>
    <w:p>
      <w:pPr>
        <w:pStyle w:val="TextBody"/>
        <w:bidi w:val="0"/>
        <w:spacing w:before="120" w:after="120"/>
        <w:jc w:val="both"/>
        <w:rPr/>
      </w:pPr>
      <w:r>
        <w:rPr/>
        <w:t>•</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an exemption from compliance with the requirements of the Public Company Accounting Oversight Board regarding the communication of critical audit matters in the auditor’s report on the financial statements.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sz w:val="20"/>
        </w:rPr>
      </w:pPr>
      <w:bookmarkStart w:id="14" w:name="i_item3"/>
      <w:bookmarkEnd w:id="14"/>
      <w:r>
        <w:rPr>
          <w:rFonts w:ascii="Times New Roman;serif" w:hAnsi="Times New Roman;serif"/>
          <w:b/>
          <w:sz w:val="20"/>
        </w:rPr>
        <w:t>Item 3. Quantitative and Qualitative Disclosures About Market Risk.</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We are a smaller reporting company as defined by Rule 12b-2 of the Exchange Act and are not required to provide the information required under this item.</w:t>
      </w:r>
    </w:p>
    <w:p>
      <w:pPr>
        <w:pStyle w:val="TextBody"/>
        <w:bidi w:val="0"/>
        <w:spacing w:before="120" w:after="120"/>
        <w:jc w:val="left"/>
        <w:rPr>
          <w:rFonts w:ascii="Times New Roman;serif" w:hAnsi="Times New Roman;serif"/>
          <w:b/>
          <w:sz w:val="20"/>
        </w:rPr>
      </w:pPr>
      <w:bookmarkStart w:id="15" w:name="i_item4"/>
      <w:bookmarkEnd w:id="15"/>
      <w:r>
        <w:rPr>
          <w:rFonts w:ascii="Times New Roman;serif" w:hAnsi="Times New Roman;serif"/>
          <w:b/>
          <w:sz w:val="20"/>
        </w:rPr>
        <w:t>Item 4. Controls and Procedures.</w:t>
      </w:r>
    </w:p>
    <w:p>
      <w:pPr>
        <w:pStyle w:val="TextBody"/>
        <w:bidi w:val="0"/>
        <w:spacing w:before="120" w:after="120"/>
        <w:jc w:val="both"/>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Our management, with the participation of our Chief Executive Officer and our Interim Chief Financial Officer (our principal executive officer and principal financial officer, respectively), evaluated the effectiveness of our disclosure controls and procedures as of March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2023, our Chief Executive Officer and Interim Chief Financial Officer concluded that, as of such date, our disclosure controls and procedures were effective at the reasonable assurance level.</w:t>
      </w:r>
    </w:p>
    <w:p>
      <w:pPr>
        <w:pStyle w:val="TextBody"/>
        <w:bidi w:val="0"/>
        <w:spacing w:before="120" w:after="120"/>
        <w:jc w:val="both"/>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Rules 13a-15(f) and 15(d)-15(f) under the Exchange Act) that occurred during the period covered by this Quarterly Report on Form 10-Q that have materially affected, or are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center"/>
        <w:rPr>
          <w:rFonts w:ascii="Times New Roman;serif" w:hAnsi="Times New Roman;serif"/>
          <w:b/>
          <w:sz w:val="20"/>
        </w:rPr>
      </w:pPr>
      <w:bookmarkStart w:id="16" w:name="part_ii_other_information"/>
      <w:bookmarkEnd w:id="16"/>
      <w:r>
        <w:rPr>
          <w:rFonts w:ascii="Times New Roman;serif" w:hAnsi="Times New Roman;serif"/>
          <w:b/>
          <w:sz w:val="20"/>
        </w:rPr>
        <w:t>PART II—OTHER INFORMATION</w:t>
      </w:r>
    </w:p>
    <w:p>
      <w:pPr>
        <w:pStyle w:val="TextBody"/>
        <w:bidi w:val="0"/>
        <w:spacing w:before="120" w:after="120"/>
        <w:jc w:val="left"/>
        <w:rPr>
          <w:rFonts w:ascii="Times New Roman;serif" w:hAnsi="Times New Roman;serif"/>
          <w:b/>
          <w:sz w:val="20"/>
        </w:rPr>
      </w:pPr>
      <w:bookmarkStart w:id="17" w:name="ii_item1"/>
      <w:bookmarkEnd w:id="17"/>
      <w:r>
        <w:rPr>
          <w:rFonts w:ascii="Times New Roman;serif" w:hAnsi="Times New Roman;serif"/>
          <w:b/>
          <w:sz w:val="20"/>
        </w:rPr>
        <w:t>Item 1. Legal Proceedings.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On January 31, 2023, a securities class action lawsuit captioned Brill v. Invivyd, Inc., et. al., Case No. 1:23-CV-10254-LTS, was filed against us and certain of our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We believe that we have strong defenses and we intend to vigorously defend against this action. The lawsuit is in early stages, and, at this time, no assessment can be made as to the likely outcome or whether the outcome will be material to us.</w:t>
      </w:r>
    </w:p>
    <w:p>
      <w:pPr>
        <w:pStyle w:val="TextBody"/>
        <w:bidi w:val="0"/>
        <w:spacing w:before="120" w:after="120"/>
        <w:jc w:val="both"/>
        <w:rPr>
          <w:rFonts w:ascii="Times New Roman" w:hAnsi="Times New Roman"/>
          <w:sz w:val="20"/>
        </w:rPr>
      </w:pPr>
      <w:r>
        <w:rPr>
          <w:rFonts w:ascii="Times New Roman;serif" w:hAnsi="Times New Roman;serif"/>
          <w:b w:val="false"/>
          <w:sz w:val="20"/>
        </w:rPr>
        <w:t>Additionally, we received a request from the SEC, dated March 22, 2023, for documents and information concerning, among other matters, our testing and analysis of the efficacy of ADG20 against Omicron and other COVID-19 variants, our public statements regarding the potential use of ADG20 against the Omicron variant, and related communications with investors and the media. We intend to cooperate fully with this fact-finding inquiry.</w:t>
      </w:r>
      <w:r>
        <w:rPr>
          <w:rFonts w:ascii="Times New Roman" w:hAnsi="Times New Roman"/>
          <w:sz w:val="20"/>
        </w:rPr>
        <w:t xml:space="preserve"> </w:t>
      </w:r>
    </w:p>
    <w:p>
      <w:pPr>
        <w:pStyle w:val="TextBody"/>
        <w:bidi w:val="0"/>
        <w:spacing w:before="120" w:after="120"/>
        <w:jc w:val="left"/>
        <w:rPr>
          <w:rFonts w:ascii="Times New Roman" w:hAnsi="Times New Roman"/>
          <w:sz w:val="20"/>
        </w:rPr>
      </w:pPr>
      <w:bookmarkStart w:id="18" w:name="ii_item1a"/>
      <w:bookmarkEnd w:id="18"/>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Information regarding risks and uncertainties related to our business appears in Part I, Item 1A. “Risk Factors” of our 2022 Form 10-K. There have been no material changes from the risk factors set forth in our 2022 Form 10-K.</w:t>
      </w:r>
    </w:p>
    <w:p>
      <w:pPr>
        <w:pStyle w:val="TextBody"/>
        <w:bidi w:val="0"/>
        <w:spacing w:before="120" w:after="120"/>
        <w:jc w:val="left"/>
        <w:rPr>
          <w:rFonts w:ascii="Times New Roman" w:hAnsi="Times New Roman"/>
          <w:sz w:val="20"/>
        </w:rPr>
      </w:pPr>
      <w:bookmarkStart w:id="19" w:name="ii_item2"/>
      <w:bookmarkEnd w:id="19"/>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bidi w:val="0"/>
        <w:spacing w:before="0" w:after="0"/>
        <w:jc w:val="both"/>
        <w:rPr>
          <w:rFonts w:ascii="Times New Roman;serif" w:hAnsi="Times New Roman;serif"/>
          <w:b/>
          <w:sz w:val="20"/>
        </w:rPr>
      </w:pPr>
      <w:r>
        <w:rPr>
          <w:rFonts w:ascii="Times New Roman;serif" w:hAnsi="Times New Roman;serif"/>
          <w:b/>
          <w:sz w:val="20"/>
        </w:rPr>
        <w:t>Recent Sales of Unregistered Securities; Use of Proceeds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We did not issue any unregistered equity securities during the three months ended March 31, 2023.</w:t>
      </w:r>
    </w:p>
    <w:p>
      <w:pPr>
        <w:pStyle w:val="TextBody"/>
        <w:bidi w:val="0"/>
        <w:spacing w:before="0" w:after="0"/>
        <w:jc w:val="left"/>
        <w:rPr>
          <w:rFonts w:ascii="Times New Roman;serif" w:hAnsi="Times New Roman;serif"/>
          <w:b/>
          <w:sz w:val="20"/>
        </w:rPr>
      </w:pPr>
      <w:r>
        <w:rPr>
          <w:rFonts w:ascii="Times New Roman;serif" w:hAnsi="Times New Roman;serif"/>
          <w:b/>
          <w:sz w:val="20"/>
        </w:rPr>
        <w:t>Purchases of Equity Securities by the Issuer</w:t>
      </w:r>
    </w:p>
    <w:tbl>
      <w:tblPr>
        <w:tblW w:w="10205" w:type="dxa"/>
        <w:jc w:val="left"/>
        <w:tblInd w:w="0" w:type="dxa"/>
        <w:tblLayout w:type="fixed"/>
        <w:tblCellMar>
          <w:top w:w="28" w:type="dxa"/>
          <w:left w:w="28" w:type="dxa"/>
          <w:bottom w:w="28" w:type="dxa"/>
          <w:right w:w="28" w:type="dxa"/>
        </w:tblCellMar>
      </w:tblPr>
      <w:tblGrid>
        <w:gridCol w:w="1327"/>
        <w:gridCol w:w="146"/>
        <w:gridCol w:w="224"/>
        <w:gridCol w:w="1201"/>
        <w:gridCol w:w="146"/>
        <w:gridCol w:w="235"/>
        <w:gridCol w:w="329"/>
        <w:gridCol w:w="892"/>
        <w:gridCol w:w="146"/>
        <w:gridCol w:w="146"/>
        <w:gridCol w:w="638"/>
        <w:gridCol w:w="1520"/>
        <w:gridCol w:w="146"/>
        <w:gridCol w:w="146"/>
        <w:gridCol w:w="820"/>
        <w:gridCol w:w="1947"/>
        <w:gridCol w:w="196"/>
      </w:tblGrid>
      <w:tr>
        <w:trPr/>
        <w:tc>
          <w:tcPr>
            <w:tcW w:w="1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Period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 Shares (or Units) Purchased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2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 Price Paid per Share (or Unit)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 Shares (or Units) Purchased as Part of Publicly Announced Plans or Programs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Maximum Number (or Approximate Dollar Value) of Shares (or Units) that May Yet Be Purchased Under the Plans or Programs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 2023 to January 31, 2023</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left"/>
              <w:rPr/>
            </w:pPr>
            <w:r>
              <w:rPr/>
              <w:t> </w:t>
            </w:r>
          </w:p>
        </w:tc>
        <w:tc>
          <w:tcPr>
            <w:tcW w:w="1947"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13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 2023 to February 28, 2023</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8"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left"/>
              <w:rPr/>
            </w:pPr>
            <w:r>
              <w:rPr/>
              <w:t> </w:t>
            </w:r>
          </w:p>
        </w:tc>
        <w:tc>
          <w:tcPr>
            <w:tcW w:w="1947"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13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March 1, 2023 to March 31, 2023</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206,802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(1)</w:t>
            </w:r>
          </w:p>
        </w:tc>
        <w:tc>
          <w:tcPr>
            <w:tcW w:w="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206,802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3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 w:hAnsi="Times New Roman"/>
          <w:sz w:val="20"/>
        </w:rPr>
      </w:pPr>
      <w:r>
        <w:rPr>
          <w:rFonts w:ascii="Times New Roman;serif" w:hAnsi="Times New Roman;serif"/>
          <w:b w:val="false"/>
          <w:sz w:val="13"/>
        </w:rPr>
        <w:t xml:space="preserve">(1) </w:t>
      </w:r>
      <w:r>
        <w:rPr>
          <w:rFonts w:ascii="Times New Roman;serif" w:hAnsi="Times New Roman;serif"/>
          <w:b w:val="false"/>
          <w:sz w:val="20"/>
        </w:rPr>
        <w:t>We repurchased shares of our common stock that were previously issued upon the early exercise of employee stock options in connection with the exercise of our repurchase right upon cessation of service of certain of our employees and directors.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20" w:name="item5_other_information"/>
      <w:bookmarkEnd w:id="20"/>
      <w:r>
        <w:rPr>
          <w:rFonts w:ascii="Times New Roman;serif" w:hAnsi="Times New Roman;serif"/>
          <w:b/>
          <w:sz w:val="20"/>
        </w:rPr>
        <w:t>Item 5. Other Information.</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On May 5, 2023, Frederick W. Driscoll, Interim Chief Financial Officer of the Company, provided notice to the Company of his planned retirement, effective May 31,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20"/>
        <w:jc w:val="left"/>
        <w:rPr>
          <w:rFonts w:ascii="Times New Roman;serif" w:hAnsi="Times New Roman;serif"/>
          <w:b/>
          <w:sz w:val="20"/>
        </w:rPr>
      </w:pPr>
      <w:bookmarkStart w:id="21" w:name="ii_item6"/>
      <w:bookmarkEnd w:id="21"/>
      <w:r>
        <w:rPr>
          <w:rFonts w:ascii="Times New Roman;serif" w:hAnsi="Times New Roman;serif"/>
          <w:b/>
          <w:sz w:val="20"/>
        </w:rPr>
        <w:t>Item 6. Exhibits.</w:t>
      </w:r>
    </w:p>
    <w:tbl>
      <w:tblPr>
        <w:tblW w:w="10205" w:type="dxa"/>
        <w:jc w:val="left"/>
        <w:tblInd w:w="0" w:type="dxa"/>
        <w:tblLayout w:type="fixed"/>
        <w:tblCellMar>
          <w:top w:w="28" w:type="dxa"/>
          <w:left w:w="28" w:type="dxa"/>
          <w:bottom w:w="28" w:type="dxa"/>
          <w:right w:w="28" w:type="dxa"/>
        </w:tblCellMar>
      </w:tblPr>
      <w:tblGrid>
        <w:gridCol w:w="786"/>
        <w:gridCol w:w="146"/>
        <w:gridCol w:w="9273"/>
      </w:tblGrid>
      <w:tr>
        <w:trPr/>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3" w:type="dxa"/>
            <w:tcBorders/>
            <w:vAlign w:val="center"/>
          </w:tcPr>
          <w:p>
            <w:pPr>
              <w:pStyle w:val="TableContents"/>
              <w:bidi w:val="0"/>
              <w:spacing w:before="0" w:after="283"/>
              <w:jc w:val="left"/>
              <w:rPr>
                <w:sz w:val="4"/>
                <w:szCs w:val="4"/>
              </w:rPr>
            </w:pPr>
            <w:r>
              <w:rPr>
                <w:sz w:val="4"/>
                <w:szCs w:val="4"/>
              </w:rPr>
            </w:r>
          </w:p>
        </w:tc>
      </w:tr>
      <w:tr>
        <w:trPr/>
        <w:tc>
          <w:tcPr>
            <w:tcW w:w="78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 (incorporated by reference to Exhibit 3.1 of the Company’s Current Report on Form 8-K (File No. 001-40703), filed with the Securities and Exchange Commission on August 10, 2021).</w:t>
              </w:r>
            </w:hyperlink>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Certificate of Amendment to the Amended and Restated Certificate of Incorporation (incorporated by reference to Exhibit 3.1 of the Company’s Current Report on Form 8-K (File No. 001-40703), filed with the Securities and Exchange Commission on September 13, 2022).</w:t>
              </w:r>
            </w:hyperlink>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Amended and Restated Bylaws (incorporated by reference to Exhibit 3.2 of the Company’s Current Report on Form 8-K (File No. 001-40703), filed with the Securities and Exchange Commission on September 13, 2022).</w:t>
              </w:r>
            </w:hyperlink>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Delaware Certificate of Change of Registered Agent (incorporated by reference to Exhibit 3.3 of the Company's Registration Statement on Form S-3 (File No. 333-267643), filed with the Securities and Exchange Commission on September 28, 2022).</w:t>
              </w:r>
            </w:hyperlink>
            <w:hyperlink r:id="rId6">
              <w:r>
                <w:rPr>
                  <w:rStyle w:val="InternetLink"/>
                  <w:rFonts w:ascii="Times New Roman" w:hAnsi="Times New Roman"/>
                  <w:sz w:val="20"/>
                </w:rPr>
                <w:t xml:space="preserve"> </w:t>
              </w:r>
            </w:hyperlink>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Amendment No. 1 to the Cell Line License Agreement by and between the Registrant and WuXi Biologics (Hong Kong) Limited, dated February 2, 2023 (incorporated by reference to Exhibit 10.16 of the Registrant’s Annual Report on Form 10-K (File No. 001-40703), filed with the Securities and Exchange Commission on March 23, 2023).</w:t>
              </w:r>
            </w:hyperlink>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vvd-ex10_2.htm">
              <w:r>
                <w:rPr>
                  <w:rStyle w:val="InternetLink"/>
                  <w:rFonts w:ascii="Times New Roman;serif" w:hAnsi="Times New Roman;serif"/>
                  <w:b w:val="false"/>
                  <w:sz w:val="20"/>
                  <w:u w:val="single"/>
                </w:rPr>
                <w:t>Consulting Services Agreement, effective as of February 4, 2023, by and between the Registrant and RDBio Consulting LLC.</w:t>
              </w:r>
            </w:hyperlink>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vvd-ex10_3.htm">
              <w:r>
                <w:rPr>
                  <w:rStyle w:val="InternetLink"/>
                  <w:rFonts w:ascii="Times New Roman;serif" w:hAnsi="Times New Roman;serif"/>
                  <w:b w:val="false"/>
                  <w:sz w:val="20"/>
                  <w:u w:val="single"/>
                </w:rPr>
                <w:t>Non-Employee Director Compensation Policy.</w:t>
              </w:r>
            </w:hyperlink>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vvd-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vvd-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vvd-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vvd-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33"/>
        <w:gridCol w:w="146"/>
        <w:gridCol w:w="9826"/>
      </w:tblGrid>
      <w:tr>
        <w:trPr/>
        <w:tc>
          <w:tcPr>
            <w:tcW w:w="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26" w:type="dxa"/>
            <w:tcBorders/>
            <w:vAlign w:val="center"/>
          </w:tcPr>
          <w:p>
            <w:pPr>
              <w:pStyle w:val="TableContents"/>
              <w:bidi w:val="0"/>
              <w:spacing w:before="0" w:after="283"/>
              <w:jc w:val="left"/>
              <w:rPr>
                <w:sz w:val="4"/>
                <w:szCs w:val="4"/>
              </w:rPr>
            </w:pPr>
            <w:r>
              <w:rPr>
                <w:sz w:val="4"/>
                <w:szCs w:val="4"/>
              </w:rPr>
            </w:r>
          </w:p>
        </w:tc>
      </w:tr>
      <w:tr>
        <w:trPr/>
        <w:tc>
          <w:tcPr>
            <w:tcW w:w="2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8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Filed herewith.</w:t>
            </w:r>
          </w:p>
        </w:tc>
      </w:tr>
      <w:tr>
        <w:trPr/>
        <w:tc>
          <w:tcPr>
            <w:tcW w:w="2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8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Certain portions of this exhibit (indicated by asterisks) have been omitted pursuant to Item 601(b)(10)(iv) of Regulation S-K.</w:t>
            </w:r>
          </w:p>
        </w:tc>
      </w:tr>
      <w:tr>
        <w:trPr/>
        <w:tc>
          <w:tcPr>
            <w:tcW w:w="2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8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Indicates management contract or compensatory plan.</w:t>
            </w:r>
            <w:r>
              <w:rPr>
                <w:rFonts w:ascii="Times New Roman" w:hAnsi="Times New Roman"/>
                <w:sz w:val="20"/>
              </w:rPr>
              <w:t xml:space="preserve"> </w:t>
            </w:r>
          </w:p>
        </w:tc>
      </w:tr>
      <w:tr>
        <w:trPr/>
        <w:tc>
          <w:tcPr>
            <w:tcW w:w="2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8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7634" w:type="dxa"/>
        <w:jc w:val="left"/>
        <w:tblInd w:w="0" w:type="dxa"/>
        <w:tblLayout w:type="fixed"/>
        <w:tblCellMar>
          <w:top w:w="28" w:type="dxa"/>
          <w:left w:w="28" w:type="dxa"/>
          <w:bottom w:w="28" w:type="dxa"/>
          <w:right w:w="28" w:type="dxa"/>
        </w:tblCellMar>
      </w:tblPr>
      <w:tblGrid>
        <w:gridCol w:w="1741"/>
        <w:gridCol w:w="146"/>
        <w:gridCol w:w="406"/>
        <w:gridCol w:w="534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4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INVIVYD, INC.</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3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David Hering, M.B.A.</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David Hering, M.B.A.</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 and Director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3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3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Frederick W. Driscoll</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Frederick W. Driscoll</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Interim Chief Financial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3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righ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3" w:name="ivvd-ex10_2.htm"/>
      <w:bookmarkStart w:id="24" w:name="ksivvdex10_2"/>
      <w:bookmarkEnd w:id="23"/>
      <w:bookmarkEnd w:id="24"/>
      <w:r>
        <w:rPr>
          <w:rFonts w:ascii="Times New Roman;serif" w:hAnsi="Times New Roman;serif"/>
          <w:b/>
          <w:sz w:val="20"/>
        </w:rPr>
        <w:t>Exhibit 10.2</w:t>
      </w:r>
      <w:r>
        <w:br w:type="page"/>
      </w:r>
    </w:p>
    <w:p>
      <w:pPr>
        <w:pStyle w:val="TextBody"/>
        <w:bidi w:val="0"/>
        <w:spacing w:before="0" w:after="0"/>
        <w:jc w:val="right"/>
        <w:rPr/>
      </w:pPr>
      <w:r>
        <w:rPr/>
        <w:t> </w:t>
      </w:r>
    </w:p>
    <w:p>
      <w:pPr>
        <w:pStyle w:val="TextBody"/>
        <w:bidi w:val="0"/>
        <w:spacing w:before="0" w:after="240"/>
        <w:jc w:val="center"/>
        <w:rPr>
          <w:rFonts w:ascii="Times New Roman;serif" w:hAnsi="Times New Roman;serif"/>
          <w:b/>
          <w:sz w:val="22"/>
        </w:rPr>
      </w:pPr>
      <w:bookmarkStart w:id="25" w:name="text15"/>
      <w:bookmarkEnd w:id="25"/>
      <w:r>
        <w:rPr>
          <w:rFonts w:ascii="Times New Roman;serif" w:hAnsi="Times New Roman;serif"/>
          <w:b/>
          <w:sz w:val="22"/>
        </w:rPr>
        <w:t>CONSULTING SERVICES AGREEMENT</w:t>
      </w:r>
    </w:p>
    <w:p>
      <w:pPr>
        <w:pStyle w:val="TextBody"/>
        <w:bidi w:val="0"/>
        <w:spacing w:before="0" w:after="240"/>
        <w:jc w:val="both"/>
        <w:rPr>
          <w:rFonts w:ascii="Times New Roman" w:hAnsi="Times New Roman"/>
          <w:sz w:val="20"/>
        </w:rPr>
      </w:pPr>
      <w:r>
        <w:rPr>
          <w:rFonts w:ascii="Times New Roman;serif" w:hAnsi="Times New Roman;serif"/>
          <w:b/>
          <w:smallCaps/>
          <w:sz w:val="22"/>
        </w:rPr>
        <w:t>This Consulting Services Agreement</w:t>
      </w:r>
      <w:r>
        <w:rPr>
          <w:rFonts w:ascii="Times New Roman" w:hAnsi="Times New Roman"/>
          <w:sz w:val="20"/>
        </w:rPr>
        <w:t xml:space="preserve"> </w:t>
      </w:r>
      <w:r>
        <w:rPr>
          <w:rFonts w:ascii="Times New Roman;serif" w:hAnsi="Times New Roman;serif"/>
          <w:b w:val="false"/>
          <w:sz w:val="22"/>
        </w:rPr>
        <w:t>(this</w:t>
      </w:r>
      <w:r>
        <w:rPr>
          <w:rFonts w:ascii="Times New Roman" w:hAnsi="Times New Roman"/>
          <w:sz w:val="20"/>
        </w:rPr>
        <w:t xml:space="preserve"> “</w:t>
      </w:r>
      <w:r>
        <w:rPr>
          <w:rFonts w:ascii="Times New Roman;serif" w:hAnsi="Times New Roman;serif"/>
          <w:b w:val="false"/>
          <w:sz w:val="22"/>
          <w:u w:val="single"/>
        </w:rPr>
        <w:t>Agreement</w:t>
      </w:r>
      <w:r>
        <w:rPr>
          <w:rFonts w:ascii="Times New Roman" w:hAnsi="Times New Roman"/>
          <w:sz w:val="20"/>
        </w:rPr>
        <w:t>”</w:t>
      </w:r>
      <w:r>
        <w:rPr>
          <w:rFonts w:ascii="Times New Roman;serif" w:hAnsi="Times New Roman;serif"/>
          <w:b w:val="false"/>
          <w:sz w:val="22"/>
        </w:rPr>
        <w:t>), effective as of February 4, 2023, (“</w:t>
      </w:r>
      <w:r>
        <w:rPr>
          <w:rFonts w:ascii="Times New Roman;serif" w:hAnsi="Times New Roman;serif"/>
          <w:b w:val="false"/>
          <w:sz w:val="22"/>
          <w:u w:val="single"/>
        </w:rPr>
        <w:t>Effective Date</w:t>
      </w:r>
      <w:r>
        <w:rPr>
          <w:rFonts w:ascii="Times New Roman" w:hAnsi="Times New Roman"/>
          <w:sz w:val="20"/>
        </w:rPr>
        <w:t>”</w:t>
      </w:r>
      <w:r>
        <w:rPr>
          <w:rFonts w:ascii="Times New Roman;serif" w:hAnsi="Times New Roman;serif"/>
          <w:b w:val="false"/>
          <w:sz w:val="22"/>
        </w:rPr>
        <w:t xml:space="preserve">) is between </w:t>
      </w:r>
      <w:r>
        <w:rPr>
          <w:rFonts w:ascii="Times New Roman;serif" w:hAnsi="Times New Roman;serif"/>
          <w:b/>
          <w:sz w:val="22"/>
        </w:rPr>
        <w:t>INVIVYD</w:t>
      </w:r>
      <w:r>
        <w:rPr>
          <w:rFonts w:ascii="Times New Roman;serif" w:hAnsi="Times New Roman;serif"/>
          <w:b/>
          <w:smallCaps/>
          <w:sz w:val="22"/>
        </w:rPr>
        <w:t xml:space="preserve">, Inc. </w:t>
      </w:r>
      <w:r>
        <w:rPr>
          <w:rFonts w:ascii="Times New Roman;serif" w:hAnsi="Times New Roman;serif"/>
          <w:b w:val="false"/>
          <w:sz w:val="22"/>
        </w:rPr>
        <w:t>a Delaware corporation having a place of business at 1601 Trapelo Road, Suite 178, Waltham, MA 02451, and its successors or assignees (“Invivyd” or the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 and RDBio Consulting LLC, a Pennsylvania Limited Liability Company (</w:t>
      </w:r>
      <w:r>
        <w:rPr>
          <w:rFonts w:ascii="Times New Roman" w:hAnsi="Times New Roman"/>
          <w:smallCaps/>
          <w:sz w:val="20"/>
        </w:rPr>
        <w:t>“</w:t>
      </w:r>
      <w:r>
        <w:rPr>
          <w:rFonts w:ascii="Times New Roman;serif" w:hAnsi="Times New Roman;serif"/>
          <w:b w:val="false"/>
          <w:sz w:val="22"/>
          <w:u w:val="single"/>
        </w:rPr>
        <w:t>Consultant</w:t>
      </w:r>
      <w:r>
        <w:rPr>
          <w:rFonts w:ascii="Times New Roman" w:hAnsi="Times New Roman"/>
          <w:sz w:val="20"/>
        </w:rPr>
        <w:t>”</w:t>
      </w:r>
      <w:r>
        <w:rPr>
          <w:rFonts w:ascii="Times New Roman;serif" w:hAnsi="Times New Roman;serif"/>
          <w:b w:val="false"/>
          <w:sz w:val="22"/>
        </w:rPr>
        <w:t>).</w:t>
      </w:r>
    </w:p>
    <w:p>
      <w:pPr>
        <w:pStyle w:val="TextBody"/>
        <w:bidi w:val="0"/>
        <w:spacing w:before="0" w:after="0"/>
        <w:jc w:val="both"/>
        <w:rPr>
          <w:rFonts w:ascii="Times New Roman" w:hAnsi="Times New Roman"/>
          <w:sz w:val="20"/>
        </w:rPr>
      </w:pPr>
      <w:r>
        <w:rPr>
          <w:rFonts w:ascii="Times New Roman;serif" w:hAnsi="Times New Roman;serif"/>
          <w:b/>
          <w:smallCaps/>
          <w:sz w:val="22"/>
        </w:rPr>
        <w:t xml:space="preserve">Whereas, </w:t>
      </w:r>
      <w:r>
        <w:rPr>
          <w:rFonts w:ascii="Times New Roman;serif" w:hAnsi="Times New Roman;serif"/>
          <w:b w:val="false"/>
          <w:sz w:val="22"/>
        </w:rPr>
        <w:t>as of February 3, 2023, Consultant’s employment as Chief Technology and Manufacturing Officer of the Company will end;</w:t>
      </w:r>
    </w:p>
    <w:p>
      <w:pPr>
        <w:pStyle w:val="TextBody"/>
        <w:bidi w:val="0"/>
        <w:spacing w:before="240" w:after="0"/>
        <w:jc w:val="both"/>
        <w:rPr>
          <w:rFonts w:ascii="Times New Roman" w:hAnsi="Times New Roman"/>
          <w:sz w:val="20"/>
        </w:rPr>
      </w:pPr>
      <w:r>
        <w:rPr>
          <w:rFonts w:ascii="Times New Roman;serif" w:hAnsi="Times New Roman;serif"/>
          <w:b/>
          <w:smallCaps/>
          <w:sz w:val="22"/>
        </w:rPr>
        <w:t>Whereas</w:t>
      </w:r>
      <w:r>
        <w:rPr>
          <w:rFonts w:ascii="Times New Roman;serif" w:hAnsi="Times New Roman;serif"/>
          <w:b/>
          <w:sz w:val="22"/>
        </w:rPr>
        <w:t xml:space="preserve">, </w:t>
      </w:r>
      <w:r>
        <w:rPr>
          <w:rFonts w:ascii="Times New Roman;serif" w:hAnsi="Times New Roman;serif"/>
          <w:b w:val="false"/>
          <w:sz w:val="22"/>
        </w:rPr>
        <w:t>as of</w:t>
      </w:r>
      <w:r>
        <w:rPr>
          <w:rFonts w:ascii="Times New Roman" w:hAnsi="Times New Roman"/>
          <w:sz w:val="20"/>
        </w:rPr>
        <w:t xml:space="preserve"> </w:t>
      </w:r>
      <w:r>
        <w:rPr>
          <w:rFonts w:ascii="Times New Roman;serif" w:hAnsi="Times New Roman;serif"/>
          <w:b w:val="false"/>
          <w:sz w:val="22"/>
        </w:rPr>
        <w:t>the Effective Date</w:t>
      </w:r>
      <w:r>
        <w:rPr>
          <w:rFonts w:ascii="Times New Roman;serif" w:hAnsi="Times New Roman;serif"/>
          <w:b/>
          <w:sz w:val="22"/>
        </w:rPr>
        <w:t xml:space="preserve">, </w:t>
      </w:r>
      <w:r>
        <w:rPr>
          <w:rFonts w:ascii="Times New Roman;serif" w:hAnsi="Times New Roman;serif"/>
          <w:b w:val="false"/>
          <w:sz w:val="22"/>
        </w:rPr>
        <w:t>the Company desires to retain Consultant as an independent contractor to perform consulting services for the Company as further detailed herein;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smallCaps/>
          <w:sz w:val="22"/>
        </w:rPr>
        <w:t xml:space="preserve">Whereas, </w:t>
      </w:r>
      <w:r>
        <w:rPr>
          <w:rFonts w:ascii="Times New Roman;serif" w:hAnsi="Times New Roman;serif"/>
          <w:b w:val="false"/>
          <w:sz w:val="22"/>
        </w:rPr>
        <w:t>Consultant has agreed to execute the Waiver and General Release annexed hereto as Exhibit B on the Effective Date; and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smallCaps/>
          <w:sz w:val="22"/>
        </w:rPr>
        <w:t>Whereas</w:t>
      </w:r>
      <w:r>
        <w:rPr>
          <w:rFonts w:ascii="Times New Roman;serif" w:hAnsi="Times New Roman;serif"/>
          <w:b/>
          <w:sz w:val="22"/>
        </w:rPr>
        <w:t xml:space="preserve">, </w:t>
      </w:r>
      <w:r>
        <w:rPr>
          <w:rFonts w:ascii="Times New Roman;serif" w:hAnsi="Times New Roman;serif"/>
          <w:b w:val="false"/>
          <w:sz w:val="22"/>
        </w:rPr>
        <w:t>Consultant is willing to perform the services, on the terms and conditions set forth below.</w:t>
      </w:r>
    </w:p>
    <w:p>
      <w:pPr>
        <w:pStyle w:val="TextBody"/>
        <w:bidi w:val="0"/>
        <w:spacing w:before="240" w:after="0"/>
        <w:jc w:val="both"/>
        <w:rPr>
          <w:rFonts w:ascii="Times New Roman" w:hAnsi="Times New Roman"/>
          <w:sz w:val="20"/>
        </w:rPr>
      </w:pPr>
      <w:r>
        <w:rPr>
          <w:rFonts w:ascii="Times New Roman;serif" w:hAnsi="Times New Roman;serif"/>
          <w:b/>
          <w:smallCaps/>
          <w:sz w:val="22"/>
        </w:rPr>
        <w:t>Now, Therefore,</w:t>
      </w:r>
      <w:r>
        <w:rPr>
          <w:rFonts w:ascii="Times New Roman" w:hAnsi="Times New Roman"/>
          <w:sz w:val="20"/>
        </w:rPr>
        <w:t xml:space="preserve"> </w:t>
      </w:r>
      <w:r>
        <w:rPr>
          <w:rFonts w:ascii="Times New Roman;serif" w:hAnsi="Times New Roman;serif"/>
          <w:b w:val="false"/>
          <w:sz w:val="22"/>
        </w:rPr>
        <w:t>in consideration of the mutual promises contained herein, the parties agree as follows:</w:t>
      </w:r>
    </w:p>
    <w:p>
      <w:pPr>
        <w:pStyle w:val="TextBody"/>
        <w:bidi w:val="0"/>
        <w:spacing w:before="120" w:after="0"/>
        <w:jc w:val="both"/>
        <w:rPr/>
      </w:pPr>
      <w:r>
        <w:rPr/>
        <w:t> </w:t>
      </w:r>
    </w:p>
    <w:p>
      <w:pPr>
        <w:pStyle w:val="TextBody"/>
        <w:bidi w:val="0"/>
        <w:spacing w:before="0" w:after="240"/>
        <w:jc w:val="both"/>
        <w:rPr>
          <w:rFonts w:ascii="Times New Roman" w:hAnsi="Times New Roman"/>
          <w:b/>
          <w:smallCaps/>
          <w:sz w:val="22"/>
        </w:rPr>
      </w:pPr>
      <w:r>
        <w:rPr>
          <w:rFonts w:ascii="Times New Roman" w:hAnsi="Times New Roman"/>
          <w:b/>
          <w:smallCaps/>
          <w:sz w:val="22"/>
        </w:rPr>
        <w:t>1.</w:t>
      </w:r>
    </w:p>
    <w:p>
      <w:pPr>
        <w:pStyle w:val="TextBody"/>
        <w:bidi w:val="0"/>
        <w:spacing w:before="0" w:after="240"/>
        <w:jc w:val="both"/>
        <w:rPr/>
      </w:pPr>
      <w:r>
        <w:rPr>
          <w:rFonts w:ascii="Times New Roman;serif" w:hAnsi="Times New Roman;serif"/>
          <w:b/>
          <w:smallCaps/>
          <w:sz w:val="22"/>
        </w:rPr>
        <w:t>Engagement of Services.</w:t>
      </w:r>
      <w:r>
        <w:rPr/>
        <w:t xml:space="preserve"> </w:t>
      </w:r>
      <w:r>
        <w:rPr>
          <w:rFonts w:ascii="Times New Roman;serif" w:hAnsi="Times New Roman;serif"/>
          <w:b w:val="false"/>
          <w:sz w:val="22"/>
        </w:rPr>
        <w:t>Consultant will provide technical operations and general consulting for the Company (the “</w:t>
      </w:r>
      <w:r>
        <w:rPr>
          <w:rFonts w:ascii="Times New Roman;serif" w:hAnsi="Times New Roman;serif"/>
          <w:b w:val="false"/>
          <w:sz w:val="22"/>
          <w:u w:val="single"/>
        </w:rPr>
        <w:t>Services</w:t>
      </w:r>
      <w:r>
        <w:rPr/>
        <w:t>”</w:t>
      </w:r>
      <w:r>
        <w:rPr>
          <w:rFonts w:ascii="Times New Roman;serif" w:hAnsi="Times New Roman;serif"/>
          <w:b w:val="false"/>
          <w:sz w:val="22"/>
        </w:rPr>
        <w:t xml:space="preserve">), as more fully described in a written Statement of Work made and agreed to by Company and Consultant from time to time during the term of this Agreement, in the format attached hereto as </w:t>
      </w:r>
      <w:r>
        <w:rPr>
          <w:rFonts w:ascii="Times New Roman;serif" w:hAnsi="Times New Roman;serif"/>
          <w:b w:val="false"/>
          <w:sz w:val="22"/>
          <w:u w:val="single"/>
        </w:rPr>
        <w:t>Exhibit A</w:t>
      </w:r>
      <w:r>
        <w:rPr/>
        <w:t xml:space="preserve"> </w:t>
      </w:r>
      <w:r>
        <w:rPr>
          <w:rFonts w:ascii="Times New Roman;serif" w:hAnsi="Times New Roman;serif"/>
          <w:b w:val="false"/>
          <w:sz w:val="22"/>
        </w:rPr>
        <w:t>(each, a “</w:t>
      </w:r>
      <w:r>
        <w:rPr>
          <w:rFonts w:ascii="Times New Roman;serif" w:hAnsi="Times New Roman;serif"/>
          <w:b w:val="false"/>
          <w:sz w:val="22"/>
          <w:u w:val="single"/>
        </w:rPr>
        <w:t>SOW</w:t>
      </w:r>
      <w:r>
        <w:rPr/>
        <w:t>”</w:t>
      </w:r>
      <w:r>
        <w:rPr>
          <w:rFonts w:ascii="Times New Roman;serif" w:hAnsi="Times New Roman;serif"/>
          <w:b w:val="false"/>
          <w:sz w:val="22"/>
        </w:rPr>
        <w:t>). To the extent a SOW is not inconsistent with this Agreement, and after acceptance by Company, each such SOW shall be deemed incorporated into this Agreement with respect to scope of work, time for performance and cost of Services only. Consultant agrees to exercise diligence and the highest degree of professionalism in providing Services under this Agreement. Consultant shall perform all Services in compliance with all Applicable Laws. “</w:t>
      </w:r>
      <w:r>
        <w:rPr>
          <w:rFonts w:ascii="Times New Roman;serif" w:hAnsi="Times New Roman;serif"/>
          <w:b w:val="false"/>
          <w:sz w:val="22"/>
          <w:u w:val="single"/>
        </w:rPr>
        <w:t>Applicable Laws</w:t>
      </w:r>
      <w:r>
        <w:rPr/>
        <w:t xml:space="preserve">” </w:t>
      </w:r>
      <w:r>
        <w:rPr>
          <w:rFonts w:ascii="Times New Roman;serif" w:hAnsi="Times New Roman;serif"/>
          <w:b w:val="false"/>
          <w:sz w:val="22"/>
        </w:rPr>
        <w:t>means the laws, statutes, rules, or regulations applicable to a party’s activities to be performed under this Agreement including, but not limited to, the Federal Food, Drug, and Cosmetic Act, the federal Anti-Kickback Statute (42 U.S.C. § 1320a-7b(b)), the Federal Civil Monetary Penalties Law (42 U.S.C. § 1320a-7a), the civil False Claims Act (31 U.S.C. §§ 3729 et seq.), the criminal False Claims Law (42 U.S.C. § 1320a- 7b(a)), the criminal Health Care Fraud laws (18 U.S.C. §§ 286, 287, 1347, 1349), the Patient Protection and Affordable Care Act of 2010 (42 U.S.C, § 18001 et seq.), the Federal Sunshine Law, the Generic Drug Enforcement Act of 1992 (21 U.S.C. § 335a et seq.), the Health Insurance Portability and Accountability Act of 1996 (42 U.S.C. §§ 1320d et seq.) as amended by the Health Information Technology for Economic and Clinical Health Act (42 U.S.C. §§ 17921 et seq.), the exclusion laws (42 U.S.C. § 1320a-7), Medicare (Title XVIII of the Social Security Act), Medicaid (Title XIX of the Social Security Act), the U.S. Foreign Corrupt Practices Act and any other anti-bribery and anti-corruption laws, state and federal licensure laws, the regulations promulgated pursuant to such laws, and any other similar state or federal law.</w:t>
      </w:r>
    </w:p>
    <w:p>
      <w:pPr>
        <w:pStyle w:val="TextBody"/>
        <w:bidi w:val="0"/>
        <w:spacing w:before="0" w:after="240"/>
        <w:jc w:val="both"/>
        <w:rPr/>
      </w:pPr>
      <w:r>
        <w:rPr/>
        <w:t> </w:t>
      </w:r>
    </w:p>
    <w:p>
      <w:pPr>
        <w:pStyle w:val="TextBody"/>
        <w:bidi w:val="0"/>
        <w:spacing w:before="0" w:after="240"/>
        <w:jc w:val="both"/>
        <w:rPr>
          <w:rFonts w:ascii="Times New Roman" w:hAnsi="Times New Roman"/>
          <w:b/>
          <w:smallCaps/>
          <w:sz w:val="22"/>
        </w:rPr>
      </w:pPr>
      <w:r>
        <w:rPr>
          <w:rFonts w:ascii="Times New Roman" w:hAnsi="Times New Roman"/>
          <w:b/>
          <w:smallCaps/>
          <w:sz w:val="22"/>
        </w:rPr>
        <w:t>2.</w:t>
      </w:r>
    </w:p>
    <w:p>
      <w:pPr>
        <w:pStyle w:val="TextBody"/>
        <w:bidi w:val="0"/>
        <w:spacing w:before="0" w:after="240"/>
        <w:jc w:val="both"/>
        <w:rPr/>
      </w:pPr>
      <w:r>
        <w:rPr>
          <w:rFonts w:ascii="Times New Roman;serif" w:hAnsi="Times New Roman;serif"/>
          <w:b/>
          <w:smallCaps/>
          <w:sz w:val="22"/>
        </w:rPr>
        <w:t>Compensation; Expenses.</w:t>
      </w:r>
      <w:r>
        <w:rPr>
          <w:smallCaps/>
        </w:rPr>
        <w:t xml:space="preserve"> </w:t>
      </w:r>
    </w:p>
    <w:p>
      <w:pPr>
        <w:pStyle w:val="TextBody"/>
        <w:bidi w:val="0"/>
        <w:spacing w:before="0" w:after="240"/>
        <w:jc w:val="both"/>
        <w:rPr>
          <w:rFonts w:ascii="Times New Roman" w:hAnsi="Times New Roman"/>
          <w:b/>
          <w:sz w:val="22"/>
        </w:rPr>
      </w:pPr>
      <w:r>
        <w:rPr>
          <w:rFonts w:ascii="Times New Roman" w:hAnsi="Times New Roman"/>
          <w:b/>
          <w:sz w:val="22"/>
        </w:rPr>
        <w:t>2.1</w:t>
      </w:r>
    </w:p>
    <w:p>
      <w:pPr>
        <w:pStyle w:val="TextBody"/>
        <w:bidi w:val="0"/>
        <w:spacing w:before="0" w:after="240"/>
        <w:jc w:val="both"/>
        <w:rPr/>
      </w:pPr>
      <w:r>
        <w:rPr>
          <w:rFonts w:ascii="Times New Roman;serif" w:hAnsi="Times New Roman;serif"/>
          <w:b w:val="false"/>
          <w:smallCaps/>
          <w:sz w:val="22"/>
        </w:rPr>
        <w:t>C</w:t>
      </w:r>
      <w:r>
        <w:rPr>
          <w:rFonts w:ascii="Times New Roman;serif" w:hAnsi="Times New Roman;serif"/>
          <w:b w:val="false"/>
          <w:sz w:val="22"/>
        </w:rPr>
        <w:t xml:space="preserve">ompensation for Services provided shall be paid as set forth in each approved SOW and paid in US Dollars. Consultant shall be paid for actual Services completed.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sz w:val="22"/>
        </w:rPr>
      </w:pPr>
      <w:r>
        <w:rPr>
          <w:rFonts w:ascii="Times New Roman" w:hAnsi="Times New Roman"/>
          <w:b/>
          <w:sz w:val="22"/>
        </w:rPr>
        <w:t>2.2</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Consultant shall be reimbursed for all reasonable, appropriate, or necessary travel and other out-of-pocket expenses incurred in the performance of its duties hereunder upon submission and approval of written statements and bills in accordance with the then regular reimbursement procedures of Company. Notwithstanding the foregoing, prior written consent of Company shall only be required for any individual expense in excess of $2,500.00. Company or its authorized agents shall have the right to audit relevant financial documentation to verify amounts billed at any time upon request by Company.</w:t>
      </w:r>
    </w:p>
    <w:p>
      <w:pPr>
        <w:pStyle w:val="TextBody"/>
        <w:bidi w:val="0"/>
        <w:spacing w:before="0" w:after="240"/>
        <w:jc w:val="both"/>
        <w:rPr>
          <w:rFonts w:ascii="Times New Roman" w:hAnsi="Times New Roman"/>
          <w:b/>
          <w:sz w:val="22"/>
        </w:rPr>
      </w:pPr>
      <w:r>
        <w:rPr>
          <w:rFonts w:ascii="Times New Roman" w:hAnsi="Times New Roman"/>
          <w:b/>
          <w:sz w:val="22"/>
        </w:rPr>
        <w:t>2.3</w:t>
      </w:r>
    </w:p>
    <w:p>
      <w:pPr>
        <w:pStyle w:val="TextBody"/>
        <w:bidi w:val="0"/>
        <w:spacing w:before="0" w:after="240"/>
        <w:jc w:val="both"/>
        <w:rPr/>
      </w:pPr>
      <w:r>
        <w:rPr>
          <w:rFonts w:ascii="Times New Roman;serif" w:hAnsi="Times New Roman;serif"/>
          <w:b w:val="false"/>
          <w:sz w:val="22"/>
        </w:rPr>
        <w:t xml:space="preserve">Unless requested otherwise by the Company or its agents, Consultant shall submit monthly invoices to Invivyd, which shall be based on the compensation schedule set forth in Exhibit A to this Agreement.. All invoices submitted by Consultant to Invivyd under this Agreement shall (i) include a description of all Services performed and the amount due for the Services, (ii) reference the applicable engagement, (iii) be clearly marked as an “Invoice”, and (iv) contain an invoice number. The invoice submitted by Consultant shall also include an itemized list of any expenses incurred in performance of the Services under the Agreement and all documentation for expenses. If the Company provides Consultant an expense form to complete in connection with the Services performed, which shall be subject to Consultant’s approval, which shall not be unreasonably withheld, this form must be completed by Consultant and submitted to the Company as part of the invoice. The Company shall pay the amount of each invoice received from Consultant within forty-five (45) days of its receipt by the Company, unless the Company has notified Consultant within such forty-five (45) day period that it disputes any particular invoiced item(s), which dispute the parties shall attempt in good faith to resolve. The Company reserves the right to decline to pay on invoices more than ninety (90) days after an expense has been incurred. In no event will the Company pay on invoices submitted more than one hundred eighty (180) days after an expense has been incurred. All invoices shall be emailed to: </w:t>
      </w:r>
      <w:r>
        <w:rPr>
          <w:rFonts w:ascii="Times New Roman;serif" w:hAnsi="Times New Roman;serif"/>
          <w:b w:val="false"/>
          <w:sz w:val="22"/>
          <w:u w:val="single"/>
        </w:rPr>
        <w:t>AP@Invivyd.com</w:t>
      </w:r>
      <w:r>
        <w:rPr/>
        <w:t xml:space="preserve"> </w:t>
      </w:r>
      <w:r>
        <w:rPr>
          <w:rFonts w:ascii="Times New Roman;serif" w:hAnsi="Times New Roman;serif"/>
          <w:b w:val="false"/>
          <w:sz w:val="22"/>
        </w:rPr>
        <w:t>for processing. The payment thereof shall constitute full payment for Services to Company during the term of this Agreement, and Consultant shall not receive any additional benefits or compensation for the Services. Payment for Services performed under this Agreement shall be subject to the completion of such Services to the reasonable satisfaction of Company.</w:t>
      </w:r>
    </w:p>
    <w:p>
      <w:pPr>
        <w:pStyle w:val="TextBody"/>
        <w:bidi w:val="0"/>
        <w:spacing w:before="0" w:after="240"/>
        <w:jc w:val="both"/>
        <w:rPr>
          <w:rFonts w:ascii="Times New Roman" w:hAnsi="Times New Roman"/>
          <w:b/>
          <w:sz w:val="22"/>
        </w:rPr>
      </w:pPr>
      <w:r>
        <w:rPr>
          <w:rFonts w:ascii="Times New Roman" w:hAnsi="Times New Roman"/>
          <w:b/>
          <w:sz w:val="22"/>
        </w:rPr>
        <w:t>2.4</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At such times and intervals as Company may require, Consultant shall provide Company with timely reports (and supporting documentation, if requested) of any payments made to health care providers, including, but not limited to, physicians, nurses, hospitals, pharmacies and health plans, in connection with Consultant’s performance of the Services hereunder to allow Company to meet applicable federal and/or state law reporting requirements. Reportable payments shall include, but are not limited to, fees or honoraria paid for services, meals provided and reimbursed travel, lodging and meals expenses. Consultant consents to Company’s disclosure of such fees and expenses from time to time, if and when required by law or government regulation thereunder, without any further notification to Consultant.</w:t>
      </w:r>
    </w:p>
    <w:p>
      <w:pPr>
        <w:pStyle w:val="TextBody"/>
        <w:bidi w:val="0"/>
        <w:spacing w:before="0" w:after="240"/>
        <w:jc w:val="both"/>
        <w:rPr/>
      </w:pPr>
      <w:r>
        <w:rPr/>
        <w:t> </w:t>
      </w:r>
    </w:p>
    <w:p>
      <w:pPr>
        <w:pStyle w:val="TextBody"/>
        <w:bidi w:val="0"/>
        <w:spacing w:before="0" w:after="240"/>
        <w:jc w:val="both"/>
        <w:rPr>
          <w:rFonts w:ascii="Times New Roman" w:hAnsi="Times New Roman"/>
          <w:b/>
          <w:smallCaps/>
          <w:sz w:val="22"/>
        </w:rPr>
      </w:pPr>
      <w:r>
        <w:rPr>
          <w:rFonts w:ascii="Times New Roman" w:hAnsi="Times New Roman"/>
          <w:b/>
          <w:smallCaps/>
          <w:sz w:val="22"/>
        </w:rPr>
        <w:t>3.</w:t>
      </w:r>
    </w:p>
    <w:p>
      <w:pPr>
        <w:pStyle w:val="TextBody"/>
        <w:bidi w:val="0"/>
        <w:spacing w:before="0" w:after="240"/>
        <w:jc w:val="both"/>
        <w:rPr>
          <w:rFonts w:ascii="Times New Roman;serif" w:hAnsi="Times New Roman;serif"/>
          <w:b/>
          <w:smallCaps/>
          <w:sz w:val="22"/>
        </w:rPr>
      </w:pPr>
      <w:r>
        <w:rPr>
          <w:rFonts w:ascii="Times New Roman;serif" w:hAnsi="Times New Roman;serif"/>
          <w:b/>
          <w:smallCaps/>
          <w:sz w:val="22"/>
        </w:rPr>
        <w:t xml:space="preserve">Independent Contractor Relationship; Continued Vesting of Shares. </w:t>
      </w:r>
    </w:p>
    <w:p>
      <w:pPr>
        <w:pStyle w:val="TextBody"/>
        <w:bidi w:val="0"/>
        <w:spacing w:before="0" w:after="240"/>
        <w:jc w:val="both"/>
        <w:rPr>
          <w:rFonts w:ascii="Times New Roman" w:hAnsi="Times New Roman"/>
          <w:b/>
          <w:sz w:val="22"/>
        </w:rPr>
      </w:pPr>
      <w:r>
        <w:rPr>
          <w:rFonts w:ascii="Times New Roman" w:hAnsi="Times New Roman"/>
          <w:b/>
          <w:sz w:val="22"/>
        </w:rPr>
        <w:t>3.1</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 xml:space="preserve">Consultant’s relationship with Company will be that of an independent contractor and nothing in this Agreement should be construed to create a partnership, joint venture, or employer-employee relationship. Consultant is not the agent of Company and is not authorized to make any representation, contract, or commitment on behalf of Company. Consultant is not entitled to and will be excluded from participating in any of Company’s fringe benefit plans or programs as a result of the performance of the Services,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or workers’ compensation benefits from Company in the event Consultant is injured in any manner or becomes ill while performing the Services under this Agreement. Consultant will be solely responsible for all tax returns and payments required to be filed with or made to any federal, state or local tax authority with respect to Consultant’s performance of Services and receipt of fees under this Agreement. Consultant agrees to accept exclusive liability for complying with all applicable state and federal laws governing self-employed individuals, including obligations such as payment of taxes, social security, disability and other contributions based on fees paid to Consultant, its agents or employees under this Agreement.</w:t>
      </w:r>
    </w:p>
    <w:p>
      <w:pPr>
        <w:pStyle w:val="TextBody"/>
        <w:bidi w:val="0"/>
        <w:spacing w:before="0" w:after="240"/>
        <w:jc w:val="both"/>
        <w:rPr>
          <w:rFonts w:ascii="Times New Roman" w:hAnsi="Times New Roman"/>
          <w:b/>
          <w:sz w:val="22"/>
        </w:rPr>
      </w:pPr>
      <w:r>
        <w:rPr>
          <w:rFonts w:ascii="Times New Roman" w:hAnsi="Times New Roman"/>
          <w:b/>
          <w:sz w:val="22"/>
        </w:rPr>
        <w:t>3.2</w:t>
      </w:r>
    </w:p>
    <w:p>
      <w:pPr>
        <w:pStyle w:val="TextBody"/>
        <w:bidi w:val="0"/>
        <w:spacing w:before="0" w:after="240"/>
        <w:jc w:val="both"/>
        <w:rPr/>
      </w:pPr>
      <w:r>
        <w:rPr>
          <w:rFonts w:ascii="Times New Roman;serif" w:hAnsi="Times New Roman;serif"/>
          <w:b w:val="false"/>
          <w:sz w:val="22"/>
        </w:rPr>
        <w:t>Consultant shall continue to vest in the unvested stock options granted to Consultant under the Company’s 2020 and 2021 Equity Incentive Plans (“</w:t>
      </w:r>
      <w:r>
        <w:rPr>
          <w:rFonts w:ascii="Times New Roman;serif" w:hAnsi="Times New Roman;serif"/>
          <w:b w:val="false"/>
          <w:sz w:val="22"/>
          <w:u w:val="single"/>
        </w:rPr>
        <w:t>Equity Plans</w:t>
      </w:r>
      <w:r>
        <w:rPr/>
        <w:t>”</w:t>
      </w:r>
      <w:r>
        <w:rPr>
          <w:rFonts w:ascii="Times New Roman;serif" w:hAnsi="Times New Roman;serif"/>
          <w:b w:val="false"/>
          <w:sz w:val="22"/>
        </w:rPr>
        <w:t xml:space="preserve">) and all stock options granted to Dabora under the Equity Plans shall remain outstanding as if the Services had been provided by her as an employee of the Company until this Agreement is terminated pursuant to </w:t>
      </w:r>
      <w:r>
        <w:rPr>
          <w:rFonts w:ascii="Times New Roman;serif" w:hAnsi="Times New Roman;serif"/>
          <w:b w:val="false"/>
          <w:sz w:val="22"/>
          <w:u w:val="single"/>
        </w:rPr>
        <w:t>Section 11</w:t>
      </w:r>
      <w:r>
        <w:rPr>
          <w:rFonts w:ascii="Times New Roman;serif" w:hAnsi="Times New Roman;serif"/>
          <w:b w:val="false"/>
          <w:sz w:val="22"/>
        </w:rPr>
        <w:t xml:space="preserve">. Such awards shall continue to be governed by the terms and conditions set forth in the Equity Plans and award agreements pursuant to which they were granted. For the avoidance of doubt, upon the termination of this Agreement pursuant to </w:t>
      </w:r>
      <w:r>
        <w:rPr>
          <w:rFonts w:ascii="Times New Roman;serif" w:hAnsi="Times New Roman;serif"/>
          <w:b w:val="false"/>
          <w:sz w:val="22"/>
          <w:u w:val="single"/>
        </w:rPr>
        <w:t>Section 11</w:t>
      </w:r>
      <w:r>
        <w:rPr>
          <w:rFonts w:ascii="Times New Roman;serif" w:hAnsi="Times New Roman;serif"/>
          <w:b w:val="false"/>
          <w:sz w:val="22"/>
        </w:rPr>
        <w:t xml:space="preserve">, all of Consultant’s then vested stock options shall remain outstanding for three months after the date of such termination and all of Consultant’s then unvested stock options will terminate and be forfeited as of the date of such termination, except as set forth in </w:t>
      </w:r>
      <w:r>
        <w:rPr>
          <w:rFonts w:ascii="Times New Roman;serif" w:hAnsi="Times New Roman;serif"/>
          <w:b w:val="false"/>
          <w:sz w:val="22"/>
          <w:u w:val="single"/>
        </w:rPr>
        <w:t>Section 3.3</w:t>
      </w:r>
      <w:r>
        <w:rPr/>
        <w:t xml:space="preserve"> </w:t>
      </w:r>
      <w:r>
        <w:rPr>
          <w:rFonts w:ascii="Times New Roman;serif" w:hAnsi="Times New Roman;serif"/>
          <w:b w:val="false"/>
          <w:sz w:val="22"/>
        </w:rPr>
        <w:t xml:space="preserve">below. </w:t>
      </w:r>
    </w:p>
    <w:p>
      <w:pPr>
        <w:pStyle w:val="TextBody"/>
        <w:bidi w:val="0"/>
        <w:spacing w:before="0" w:after="240"/>
        <w:jc w:val="both"/>
        <w:rPr>
          <w:rFonts w:ascii="Times New Roman" w:hAnsi="Times New Roman"/>
          <w:b/>
          <w:sz w:val="22"/>
        </w:rPr>
      </w:pPr>
      <w:r>
        <w:rPr>
          <w:rFonts w:ascii="Times New Roman" w:hAnsi="Times New Roman"/>
          <w:b/>
          <w:sz w:val="22"/>
        </w:rPr>
        <w:t>3.3</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 xml:space="preserve">Notwithstanding anything to the contrary in any Time-Based Equity Awards (as defined in the Employment Agreement (defined below)), the unvested portions of all Time-Based Equity Awards shall not terminate or be forfeited on February 3, 2023, but rather shall remain outstanding until ninety (90) days after the termination of the Consulting Services Agreement (the “Pre-CIC Protection Period”). If the Company has not, prior to the end of the Pre-CIC Protection Period, entered into a definitive agreement that, if closed, would result in a Change in Control (as defined in the Employment Agreement) (a “P&amp;S Agreement”) then the unvested portion of the Time-Based Equity Awards shall terminate and be forfeited as of the end of the Pre-CIC Protection Period. If the Company, prior to the end of the Pre-CIC Protection Period, enters into a P&amp;S Agreement, then the Time-Based Equity Awards shall remain outstanding and, to the extent unvested, become fully vested upon a Change in Control resulting from such agreement, and all such awards that are assumed or continued in the Change in Control transaction shall remain outstanding until the later of (i) the end of the Pre-CIC Protection Period and (ii) ninety (90) days after such Change in Control. Unvested Time Based Equity Awards shall terminate and be forfeited if the Company abandons a sale of the Company as contemplated under the P&amp;S Agreement entered into during the Pre-CIC Protection Period. No additional vesting of the Time-Based Equity Awards shall occur following the Separation Date except on account of a Change in Control during or after the Pre-CIC Protection Period as specifically provided herein. For the avoidance of doubt, any unvested Performance-Based Equity Awards (as defined in the Employment Agreement) shall terminate and be forfeited on the Separation Date unless otherwise provided by the terms of the Plan or the applicable award agreement. Notwithstanding anything herein to the contrary, no Time-Based Awards shall remain outstanding following the original expiration date of such award, as set forth in the applicable award agreement. </w:t>
      </w:r>
    </w:p>
    <w:p>
      <w:pPr>
        <w:pStyle w:val="TextBody"/>
        <w:bidi w:val="0"/>
        <w:spacing w:before="0" w:after="240"/>
        <w:jc w:val="both"/>
        <w:rPr>
          <w:rFonts w:ascii="Times New Roman" w:hAnsi="Times New Roman"/>
          <w:b/>
          <w:smallCaps/>
          <w:sz w:val="22"/>
        </w:rPr>
      </w:pPr>
      <w:r>
        <w:rPr>
          <w:rFonts w:ascii="Times New Roman" w:hAnsi="Times New Roman"/>
          <w:b/>
          <w:smallCaps/>
          <w:sz w:val="22"/>
        </w:rPr>
        <w:t>4.</w:t>
      </w:r>
    </w:p>
    <w:p>
      <w:pPr>
        <w:pStyle w:val="TextBody"/>
        <w:bidi w:val="0"/>
        <w:spacing w:before="0" w:after="240"/>
        <w:jc w:val="both"/>
        <w:rPr/>
      </w:pPr>
      <w:r>
        <w:rPr>
          <w:rFonts w:ascii="Times New Roman;serif" w:hAnsi="Times New Roman;serif"/>
          <w:b/>
          <w:smallCaps/>
          <w:sz w:val="22"/>
        </w:rPr>
        <w:t xml:space="preserve">Insurance. </w:t>
      </w:r>
      <w:r>
        <w:rPr>
          <w:rFonts w:ascii="Times New Roman;serif" w:hAnsi="Times New Roman;serif"/>
          <w:b w:val="false"/>
          <w:sz w:val="22"/>
        </w:rPr>
        <w:t>Consultant is responsible for providing and maintaining during the term of this Agreement all appropriate insurance coverage required by applicable federal and state laws and shall produce a certificate of such insurance at Company’s request.</w:t>
      </w:r>
    </w:p>
    <w:p>
      <w:pPr>
        <w:pStyle w:val="TextBody"/>
        <w:bidi w:val="0"/>
        <w:spacing w:before="0" w:after="240"/>
        <w:jc w:val="both"/>
        <w:rPr>
          <w:rFonts w:ascii="Times New Roman" w:hAnsi="Times New Roman"/>
          <w:b/>
          <w:smallCaps/>
          <w:sz w:val="22"/>
        </w:rPr>
      </w:pPr>
      <w:r>
        <w:rPr>
          <w:rFonts w:ascii="Times New Roman" w:hAnsi="Times New Roman"/>
          <w:b/>
          <w:smallCaps/>
          <w:sz w:val="22"/>
        </w:rPr>
        <w:t>5.</w:t>
      </w:r>
    </w:p>
    <w:p>
      <w:pPr>
        <w:pStyle w:val="TextBody"/>
        <w:bidi w:val="0"/>
        <w:spacing w:before="0" w:after="240"/>
        <w:jc w:val="both"/>
        <w:rPr/>
      </w:pPr>
      <w:r>
        <w:rPr>
          <w:rFonts w:ascii="Times New Roman;serif" w:hAnsi="Times New Roman;serif"/>
          <w:b/>
          <w:smallCaps/>
          <w:sz w:val="22"/>
        </w:rPr>
        <w:t>Conflicts of Interest</w:t>
      </w:r>
      <w:r>
        <w:rPr>
          <w:rFonts w:ascii="Times New Roman;serif" w:hAnsi="Times New Roman;serif"/>
          <w:b w:val="false"/>
          <w:sz w:val="22"/>
        </w:rPr>
        <w:t xml:space="preserve">. Consultant represents and warrants that he or she is authorized to enter into this Agreement and is not a party to any other agreement or under any obligation to any third party which would prevent Consultant from entering into this Agreement or from performing Consultant’s obligation hereunder. Consultant further represents and warrants that there is no conflict of interest in Consultant’s other contracts for services or other employment, if any, with the Services to be provided pursuant to this Agreement and that Consultant will ensure that no such conflict arises during the term of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this Agreement. If required to do so, Consultant has obtained all consents or permissions to enter into this Agreement.</w:t>
      </w:r>
    </w:p>
    <w:p>
      <w:pPr>
        <w:pStyle w:val="TextBody"/>
        <w:bidi w:val="0"/>
        <w:spacing w:before="0" w:after="240"/>
        <w:jc w:val="both"/>
        <w:rPr>
          <w:rFonts w:ascii="Times New Roman" w:hAnsi="Times New Roman"/>
          <w:b/>
          <w:smallCaps/>
          <w:sz w:val="22"/>
        </w:rPr>
      </w:pPr>
      <w:r>
        <w:rPr>
          <w:rFonts w:ascii="Times New Roman" w:hAnsi="Times New Roman"/>
          <w:b/>
          <w:smallCaps/>
          <w:sz w:val="22"/>
        </w:rPr>
        <w:t>6.</w:t>
      </w:r>
    </w:p>
    <w:p>
      <w:pPr>
        <w:pStyle w:val="TextBody"/>
        <w:bidi w:val="0"/>
        <w:spacing w:before="0" w:after="240"/>
        <w:jc w:val="both"/>
        <w:rPr>
          <w:rFonts w:ascii="Times New Roman;serif" w:hAnsi="Times New Roman;serif"/>
          <w:b/>
          <w:smallCaps/>
          <w:sz w:val="22"/>
        </w:rPr>
      </w:pPr>
      <w:r>
        <w:rPr>
          <w:rFonts w:ascii="Times New Roman;serif" w:hAnsi="Times New Roman;serif"/>
          <w:b/>
          <w:smallCaps/>
          <w:sz w:val="22"/>
        </w:rPr>
        <w:t>Confidential Information.</w:t>
      </w:r>
    </w:p>
    <w:p>
      <w:pPr>
        <w:pStyle w:val="TextBody"/>
        <w:bidi w:val="0"/>
        <w:spacing w:before="0" w:after="240"/>
        <w:jc w:val="both"/>
        <w:rPr>
          <w:rFonts w:ascii="Times New Roman" w:hAnsi="Times New Roman"/>
          <w:b/>
          <w:sz w:val="22"/>
        </w:rPr>
      </w:pPr>
      <w:r>
        <w:rPr>
          <w:rFonts w:ascii="Times New Roman" w:hAnsi="Times New Roman"/>
          <w:b/>
          <w:sz w:val="22"/>
        </w:rPr>
        <w:t>6.1</w:t>
      </w:r>
    </w:p>
    <w:p>
      <w:pPr>
        <w:pStyle w:val="TextBody"/>
        <w:bidi w:val="0"/>
        <w:spacing w:before="0" w:after="240"/>
        <w:jc w:val="both"/>
        <w:rPr/>
      </w:pPr>
      <w:r>
        <w:rPr>
          <w:rFonts w:ascii="Times New Roman;serif" w:hAnsi="Times New Roman;serif"/>
          <w:b/>
          <w:sz w:val="22"/>
        </w:rPr>
        <w:t>Company Confidential Information.</w:t>
      </w:r>
      <w:r>
        <w:rPr/>
        <w:t xml:space="preserve"> </w:t>
      </w:r>
      <w:r>
        <w:rPr>
          <w:rFonts w:ascii="Times New Roman;serif" w:hAnsi="Times New Roman;serif"/>
          <w:b w:val="false"/>
          <w:sz w:val="22"/>
        </w:rPr>
        <w:t xml:space="preserve">Except as set forth in </w:t>
      </w:r>
      <w:r>
        <w:rPr>
          <w:rFonts w:ascii="Times New Roman;serif" w:hAnsi="Times New Roman;serif"/>
          <w:b w:val="false"/>
          <w:sz w:val="22"/>
          <w:u w:val="single"/>
        </w:rPr>
        <w:t>Exhibit B</w:t>
      </w:r>
      <w:r>
        <w:rPr>
          <w:rFonts w:ascii="Times New Roman;serif" w:hAnsi="Times New Roman;serif"/>
          <w:b w:val="false"/>
          <w:sz w:val="22"/>
        </w:rPr>
        <w:t>, Consultant hereby reaffirms Consultant’s obligations as set forth in the PIIA. In addition to the obligations as set forth in the PIIA, Consultant agrees during the term of this Agreement and thereafter that Consultant will take all steps reasonably necessary to hold Company’s Confidential Information (as defined below) in trust and confidence, will not use Confidential Information in any manner or for any purpose not expressly set forth in this Agreement, and will not disclose any such Confidential Information to any third party without first obtaining Company’s express written consent on a case-by-case basis. Consultant will have its directors, officers, employees, collaborators, and agents (“</w:t>
      </w:r>
      <w:r>
        <w:rPr>
          <w:rFonts w:ascii="Times New Roman;serif" w:hAnsi="Times New Roman;serif"/>
          <w:b w:val="false"/>
          <w:sz w:val="22"/>
          <w:u w:val="single"/>
        </w:rPr>
        <w:t>Personnel</w:t>
      </w:r>
      <w:r>
        <w:rPr/>
        <w:t>”</w:t>
      </w:r>
      <w:r>
        <w:rPr>
          <w:rFonts w:ascii="Times New Roman;serif" w:hAnsi="Times New Roman;serif"/>
          <w:b w:val="false"/>
          <w:sz w:val="22"/>
        </w:rPr>
        <w:t>) who have access to Confidential Information enter into confidentiality obligations that are substantially similar to this Agreement. Consultant shall be responsible for any breach of this Agreement by Consultant’s Personnel. Consultant shall notify Company immediately in writing upon any loss, misuse, misappropriation or other unauthorized disclosure of Company Confidential Information by Consultant or Consultant’s Personnel. “</w:t>
      </w:r>
      <w:r>
        <w:rPr>
          <w:rFonts w:ascii="Times New Roman;serif" w:hAnsi="Times New Roman;serif"/>
          <w:b w:val="false"/>
          <w:sz w:val="22"/>
          <w:u w:val="single"/>
        </w:rPr>
        <w:t>Confidential Information</w:t>
      </w:r>
      <w:r>
        <w:rPr/>
        <w:t xml:space="preserve">” </w:t>
      </w:r>
      <w:r>
        <w:rPr>
          <w:rFonts w:ascii="Times New Roman;serif" w:hAnsi="Times New Roman;serif"/>
          <w:b w:val="false"/>
          <w:sz w:val="22"/>
        </w:rPr>
        <w:t xml:space="preserve">means any oral, written, graphic or machine-readable information including, but not limited to: that which relates to patents, patent applications, trade secrets, inventions; research; product plans, products, developments, processes, designs, drawings, engineering, formulae; markets, regulatory information, medical reports; all clinical data and analysis and current and concluded clinical trials and studies; reagents, cell lines, genes, gene haplotypes and gene sequences, assays, biological materials, chemical formulas, chemical compounds; business plans, agreements with third parties, services, customers, marketing or finances of Company or other scientific, technical, financial, trade, or business information, of which Confidential Information is designated in writing or marked as being confidential or proprietary, or is disclosed under conditions that reasonably indicate that Company intended such information to be confidential. Notwithstanding the other provisions of this Agreement, Confidential Information shall not include information that Consultant can demonstrate by competent written evidence: (i) has been published or is otherwise readily available to the public other than by a breach of this Agreement; (ii) is known by Consultant at the time of receiving such information, as evidenced by Consultant’s pre-existing written records; (iii) has been received by Consultant from a third party as a matter of right and without confidentiality limitations; or (iv) is independently developed by Consultant without aid, use or benefit of Confidential Information. Notwithstanding the provisions of this </w:t>
      </w:r>
      <w:r>
        <w:rPr>
          <w:rFonts w:ascii="Times New Roman;serif" w:hAnsi="Times New Roman;serif"/>
          <w:b w:val="false"/>
          <w:sz w:val="22"/>
          <w:u w:val="single"/>
        </w:rPr>
        <w:t>Section 6.1</w:t>
      </w:r>
      <w:r>
        <w:rPr>
          <w:rFonts w:ascii="Times New Roman;serif" w:hAnsi="Times New Roman;serif"/>
          <w:b w:val="false"/>
          <w:sz w:val="22"/>
        </w:rPr>
        <w:t xml:space="preserve">, Consultant may disclose Confidential Information, without violating its obligations under this Agreement, to the extent the disclosure is required by a valid order of a court or other governmental body of competent jurisdiction or is otherwise required by law or regulation, </w:t>
      </w:r>
      <w:r>
        <w:rPr>
          <w:rFonts w:ascii="Times New Roman;serif" w:hAnsi="Times New Roman;serif"/>
          <w:b w:val="false"/>
          <w:i/>
          <w:sz w:val="22"/>
        </w:rPr>
        <w:t>provided</w:t>
      </w:r>
      <w:r>
        <w:rPr>
          <w:rFonts w:ascii="Times New Roman;serif" w:hAnsi="Times New Roman;serif"/>
          <w:b w:val="false"/>
          <w:sz w:val="22"/>
        </w:rPr>
        <w:t>,</w:t>
      </w:r>
      <w:r>
        <w:rPr/>
        <w:t xml:space="preserve"> </w:t>
      </w:r>
      <w:r>
        <w:rPr>
          <w:rFonts w:ascii="Times New Roman;serif" w:hAnsi="Times New Roman;serif"/>
          <w:b w:val="false"/>
          <w:i/>
          <w:sz w:val="22"/>
        </w:rPr>
        <w:t>that</w:t>
      </w:r>
      <w:r>
        <w:rPr>
          <w:rFonts w:ascii="Times New Roman;serif" w:hAnsi="Times New Roman;serif"/>
          <w:b w:val="false"/>
          <w:sz w:val="22"/>
        </w:rPr>
        <w:t>, Consultant shall give reasonable prior written notice to Company of such required disclosure and, at Company’s request and expense, shall cooperate with Company’s efforts to contest such requirement, to obtain a protective order requiring that the Confidential Information so disclosed be used only for the purposes for which the order was issued or the law or regulation required, and/or to obtain other confidential treatment of such Confidential Information. In any event, Consultant shall disclose only that portion of the Confidential Information that is legally required to be disclosed. Notwithstanding anything to the contrary in this Agreement or the PIIA, Consultant shall be entitled to retain use of Confidential Information and other Company property as appropriate to continue to provide services to the Company during the Term, as reasonably determined by Consultant,</w:t>
      </w:r>
      <w:r>
        <w:rPr/>
        <w:t xml:space="preserve"> </w:t>
      </w:r>
      <w:r>
        <w:rPr>
          <w:rFonts w:ascii="Times New Roman;serif" w:hAnsi="Times New Roman;serif"/>
          <w:b w:val="false"/>
          <w:sz w:val="22"/>
        </w:rPr>
        <w:t>however such Confidential Information may only be used to provide services to the Company during the Term and upon termination of the Agreement, such Confidential Information must be returned to the Company or destroyed pursuant to Section 11.2 herein.</w:t>
      </w:r>
    </w:p>
    <w:p>
      <w:pPr>
        <w:pStyle w:val="TextBody"/>
        <w:bidi w:val="0"/>
        <w:spacing w:before="0" w:after="240"/>
        <w:jc w:val="both"/>
        <w:rPr>
          <w:rFonts w:ascii="Times New Roman" w:hAnsi="Times New Roman"/>
          <w:b/>
          <w:sz w:val="22"/>
        </w:rPr>
      </w:pPr>
      <w:r>
        <w:rPr>
          <w:rFonts w:ascii="Times New Roman" w:hAnsi="Times New Roman"/>
          <w:b/>
          <w:sz w:val="22"/>
        </w:rPr>
        <w:t>6.2</w:t>
      </w:r>
    </w:p>
    <w:p>
      <w:pPr>
        <w:pStyle w:val="TextBody"/>
        <w:bidi w:val="0"/>
        <w:spacing w:before="0" w:after="240"/>
        <w:jc w:val="both"/>
        <w:rPr/>
      </w:pPr>
      <w:r>
        <w:rPr>
          <w:rFonts w:ascii="Times New Roman;serif" w:hAnsi="Times New Roman;serif"/>
          <w:b/>
          <w:sz w:val="22"/>
        </w:rPr>
        <w:t>Third Party Information.</w:t>
      </w:r>
      <w:r>
        <w:rPr/>
        <w:t xml:space="preserve"> </w:t>
      </w:r>
      <w:r>
        <w:rPr>
          <w:rFonts w:ascii="Times New Roman;serif" w:hAnsi="Times New Roman;serif"/>
          <w:b w:val="false"/>
          <w:sz w:val="22"/>
        </w:rPr>
        <w:t>Consultant understands that Company has received and will in the future receive from third parties confidential or proprietary information (“</w:t>
      </w:r>
      <w:r>
        <w:rPr>
          <w:rFonts w:ascii="Times New Roman;serif" w:hAnsi="Times New Roman;serif"/>
          <w:b w:val="false"/>
          <w:sz w:val="22"/>
          <w:u w:val="single"/>
        </w:rPr>
        <w:t>Third Party Information</w:t>
      </w:r>
      <w:r>
        <w:rPr/>
        <w:t>”</w:t>
      </w:r>
      <w:r>
        <w:rPr>
          <w:rFonts w:ascii="Times New Roman;serif" w:hAnsi="Times New Roman;serif"/>
          <w:b w:val="false"/>
          <w:sz w:val="22"/>
        </w:rPr>
        <w:t xml:space="preserve">) subject to a duty on Company’s part to maintain the confidentiality of such information and use it only for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certain limited purposes. Consultant agrees to hold Third Party Information in confidence and not to disclose to anyone (other than Company personnel who need to know such information in connection with their work for Company) or to use, except in connection with Consultant’s work for Company, which may involve disclosure to third parties, Third Party Information unless expressly authorized in writing by an officer of Company.</w:t>
      </w:r>
    </w:p>
    <w:p>
      <w:pPr>
        <w:pStyle w:val="TextBody"/>
        <w:bidi w:val="0"/>
        <w:spacing w:before="0" w:after="240"/>
        <w:jc w:val="both"/>
        <w:rPr>
          <w:rFonts w:ascii="Times New Roman" w:hAnsi="Times New Roman"/>
          <w:b/>
          <w:sz w:val="22"/>
        </w:rPr>
      </w:pPr>
      <w:r>
        <w:rPr>
          <w:rFonts w:ascii="Times New Roman" w:hAnsi="Times New Roman"/>
          <w:b/>
          <w:sz w:val="22"/>
        </w:rPr>
        <w:t>6.3</w:t>
      </w:r>
    </w:p>
    <w:p>
      <w:pPr>
        <w:pStyle w:val="TextBody"/>
        <w:bidi w:val="0"/>
        <w:spacing w:before="0" w:after="240"/>
        <w:jc w:val="both"/>
        <w:rPr/>
      </w:pPr>
      <w:r>
        <w:rPr>
          <w:rFonts w:ascii="Times New Roman;serif" w:hAnsi="Times New Roman;serif"/>
          <w:b/>
          <w:sz w:val="22"/>
        </w:rPr>
        <w:t>Confidential Information of Others.</w:t>
      </w:r>
      <w:r>
        <w:rPr/>
        <w:t xml:space="preserve"> </w:t>
      </w:r>
      <w:r>
        <w:rPr>
          <w:rFonts w:ascii="Times New Roman;serif" w:hAnsi="Times New Roman;serif"/>
          <w:b w:val="false"/>
          <w:sz w:val="22"/>
        </w:rPr>
        <w:t>Consultant agrees not to disclose to Company, bring onto Company’s premises, or induce Company to use any confidential information that belongs to anyone other than Company or Consultant. The performance by Consultant of the Services does not and will not breach any agreement which obligates Consultant to keep in confidence any confidential or proprietary information of any third party or to refrain from competing, directly or indirectly, with the business of any third party. Additionally, Consultant represents and warrants that Consultant’s performance of the Services hereunder does and will not infringe upon any patient privacy or intellectual property rights.</w:t>
      </w:r>
    </w:p>
    <w:p>
      <w:pPr>
        <w:pStyle w:val="TextBody"/>
        <w:bidi w:val="0"/>
        <w:spacing w:before="0" w:after="240"/>
        <w:jc w:val="both"/>
        <w:rPr>
          <w:rFonts w:ascii="Times New Roman" w:hAnsi="Times New Roman"/>
          <w:b/>
          <w:sz w:val="22"/>
        </w:rPr>
      </w:pPr>
      <w:r>
        <w:rPr>
          <w:rFonts w:ascii="Times New Roman" w:hAnsi="Times New Roman"/>
          <w:b/>
          <w:sz w:val="22"/>
        </w:rPr>
        <w:t>6.4</w:t>
      </w:r>
    </w:p>
    <w:p>
      <w:pPr>
        <w:pStyle w:val="TextBody"/>
        <w:bidi w:val="0"/>
        <w:spacing w:before="0" w:after="240"/>
        <w:jc w:val="both"/>
        <w:rPr/>
      </w:pPr>
      <w:r>
        <w:rPr>
          <w:rFonts w:ascii="Times New Roman;serif" w:hAnsi="Times New Roman;serif"/>
          <w:b/>
          <w:sz w:val="22"/>
        </w:rPr>
        <w:t>Securities Laws</w:t>
      </w:r>
      <w:r>
        <w:rPr>
          <w:rFonts w:ascii="Times New Roman;serif" w:hAnsi="Times New Roman;serif"/>
          <w:b w:val="false"/>
          <w:sz w:val="22"/>
        </w:rPr>
        <w:t>. United States securities laws prohibit any person who is given access to material, non-public information concerning a publicly traded company from purchasing or selling securities in that company or from communicating the information to any other person who is likely to purchase or sell securities of that company. In connection with this Agreement, Consultant may have access to information that is considered material, non-public information and Consultant agrees not to use, or cause any other person to use, such information to purchase or sell securities in any publicly traded company.</w:t>
      </w:r>
    </w:p>
    <w:p>
      <w:pPr>
        <w:pStyle w:val="TextBody"/>
        <w:bidi w:val="0"/>
        <w:spacing w:before="0" w:after="240"/>
        <w:jc w:val="both"/>
        <w:rPr>
          <w:rFonts w:ascii="Times New Roman" w:hAnsi="Times New Roman"/>
          <w:b/>
          <w:smallCaps/>
          <w:sz w:val="22"/>
        </w:rPr>
      </w:pPr>
      <w:r>
        <w:rPr>
          <w:rFonts w:ascii="Times New Roman" w:hAnsi="Times New Roman"/>
          <w:b/>
          <w:smallCaps/>
          <w:sz w:val="22"/>
        </w:rPr>
        <w:t>7.</w:t>
      </w:r>
    </w:p>
    <w:p>
      <w:pPr>
        <w:pStyle w:val="TextBody"/>
        <w:bidi w:val="0"/>
        <w:spacing w:before="0" w:after="240"/>
        <w:jc w:val="both"/>
        <w:rPr>
          <w:rFonts w:ascii="Times New Roman;serif" w:hAnsi="Times New Roman;serif"/>
          <w:b/>
          <w:smallCaps/>
          <w:sz w:val="22"/>
        </w:rPr>
      </w:pPr>
      <w:r>
        <w:rPr>
          <w:rFonts w:ascii="Times New Roman;serif" w:hAnsi="Times New Roman;serif"/>
          <w:b/>
          <w:smallCaps/>
          <w:sz w:val="22"/>
        </w:rPr>
        <w:t>Work Product and Intellectual Property Rights.</w:t>
      </w:r>
    </w:p>
    <w:p>
      <w:pPr>
        <w:pStyle w:val="TextBody"/>
        <w:bidi w:val="0"/>
        <w:spacing w:before="0" w:after="240"/>
        <w:jc w:val="both"/>
        <w:rPr>
          <w:rFonts w:ascii="Times New Roman" w:hAnsi="Times New Roman"/>
          <w:b/>
          <w:sz w:val="22"/>
        </w:rPr>
      </w:pPr>
      <w:r>
        <w:rPr>
          <w:rFonts w:ascii="Times New Roman" w:hAnsi="Times New Roman"/>
          <w:b/>
          <w:sz w:val="22"/>
        </w:rPr>
        <w:t>7.1</w:t>
      </w:r>
    </w:p>
    <w:p>
      <w:pPr>
        <w:pStyle w:val="TextBody"/>
        <w:bidi w:val="0"/>
        <w:spacing w:before="0" w:after="240"/>
        <w:jc w:val="both"/>
        <w:rPr/>
      </w:pPr>
      <w:r>
        <w:rPr>
          <w:rFonts w:ascii="Times New Roman;serif" w:hAnsi="Times New Roman;serif"/>
          <w:b/>
          <w:sz w:val="22"/>
        </w:rPr>
        <w:t>Disclosure of Work Product.</w:t>
      </w:r>
      <w:r>
        <w:rPr/>
        <w:t xml:space="preserve"> </w:t>
      </w:r>
      <w:r>
        <w:rPr>
          <w:rFonts w:ascii="Times New Roman;serif" w:hAnsi="Times New Roman;serif"/>
          <w:b w:val="false"/>
          <w:sz w:val="22"/>
        </w:rPr>
        <w:t>As used in this Agreement, the term “</w:t>
      </w:r>
      <w:r>
        <w:rPr>
          <w:rFonts w:ascii="Times New Roman;serif" w:hAnsi="Times New Roman;serif"/>
          <w:b w:val="false"/>
          <w:sz w:val="22"/>
          <w:u w:val="single"/>
        </w:rPr>
        <w:t>Work Product</w:t>
      </w:r>
      <w:r>
        <w:rPr/>
        <w:t xml:space="preserve">” </w:t>
      </w:r>
      <w:r>
        <w:rPr>
          <w:rFonts w:ascii="Times New Roman;serif" w:hAnsi="Times New Roman;serif"/>
          <w:b w:val="false"/>
          <w:sz w:val="22"/>
        </w:rPr>
        <w:t>includes, but is not limited to, any trade secrets, ideas, inventions (whether patentable or unpatentable), chemical and biological materials, samples of assay components, mask works, processes, procedures, formulations, formulas, software source and object codes, data, programs, other works of authorship, know-how, improvements, discoveries, developments, designs and techniques, trademarks, manufacturing techniques, clinical trial designs or other copyrightable or patentable works. Consultant agrees to disclose promptly in writing to Company, or any person designated by Company, all Work Product which is solely or jointly conceived, made, reduced to practice, or learned by Consultant in the course of any work or Services performed for Company (“</w:t>
      </w:r>
      <w:r>
        <w:rPr>
          <w:rFonts w:ascii="Times New Roman;serif" w:hAnsi="Times New Roman;serif"/>
          <w:b w:val="false"/>
          <w:sz w:val="22"/>
          <w:u w:val="single"/>
        </w:rPr>
        <w:t>Company Work Product</w:t>
      </w:r>
      <w:r>
        <w:rPr/>
        <w:t>”</w:t>
      </w:r>
      <w:r>
        <w:rPr>
          <w:rFonts w:ascii="Times New Roman;serif" w:hAnsi="Times New Roman;serif"/>
          <w:b w:val="false"/>
          <w:sz w:val="22"/>
        </w:rPr>
        <w:t xml:space="preserve">). </w:t>
      </w:r>
    </w:p>
    <w:p>
      <w:pPr>
        <w:pStyle w:val="TextBody"/>
        <w:bidi w:val="0"/>
        <w:spacing w:before="0" w:after="240"/>
        <w:jc w:val="both"/>
        <w:rPr>
          <w:rFonts w:ascii="Times New Roman" w:hAnsi="Times New Roman"/>
          <w:b/>
          <w:sz w:val="22"/>
        </w:rPr>
      </w:pPr>
      <w:r>
        <w:rPr>
          <w:rFonts w:ascii="Times New Roman" w:hAnsi="Times New Roman"/>
          <w:b/>
          <w:sz w:val="22"/>
        </w:rPr>
        <w:t>7.2</w:t>
      </w:r>
    </w:p>
    <w:p>
      <w:pPr>
        <w:pStyle w:val="TextBody"/>
        <w:bidi w:val="0"/>
        <w:spacing w:before="0" w:after="240"/>
        <w:jc w:val="both"/>
        <w:rPr/>
      </w:pPr>
      <w:r>
        <w:rPr>
          <w:rFonts w:ascii="Times New Roman;serif" w:hAnsi="Times New Roman;serif"/>
          <w:b/>
          <w:sz w:val="22"/>
        </w:rPr>
        <w:t>Assignment of Company Work Product.</w:t>
      </w:r>
      <w:r>
        <w:rPr/>
        <w:t xml:space="preserve"> </w:t>
      </w:r>
      <w:r>
        <w:rPr>
          <w:rFonts w:ascii="Times New Roman;serif" w:hAnsi="Times New Roman;serif"/>
          <w:b w:val="false"/>
          <w:sz w:val="22"/>
        </w:rPr>
        <w:t>Consultant irrevocably assigns to Company all right, title and interest worldwide in and to the Company Work Product and all applicable intellectual property rights related to the Company Work Product, including without limitation, copyrights, trademarks, trade secrets, patents, moral rights, contract and licensing rights (the “</w:t>
      </w:r>
      <w:r>
        <w:rPr>
          <w:rFonts w:ascii="Times New Roman;serif" w:hAnsi="Times New Roman;serif"/>
          <w:b w:val="false"/>
          <w:sz w:val="22"/>
          <w:u w:val="single"/>
        </w:rPr>
        <w:t>Proprietary Rights</w:t>
      </w:r>
      <w:r>
        <w:rPr/>
        <w:t>”</w:t>
      </w:r>
      <w:r>
        <w:rPr>
          <w:rFonts w:ascii="Times New Roman;serif" w:hAnsi="Times New Roman;serif"/>
          <w:b w:val="false"/>
          <w:sz w:val="22"/>
        </w:rPr>
        <w:t>). Consultant represents and warrants that Consultant Personnel performing any of the Services hereunder are obligated, pursuant to written agreement, to assign to Consultant any rights that they may have in any Company Work Product, such that Consultant is able to assign such rights to Company hereunder.</w:t>
      </w:r>
    </w:p>
    <w:p>
      <w:pPr>
        <w:pStyle w:val="TextBody"/>
        <w:bidi w:val="0"/>
        <w:spacing w:before="0" w:after="240"/>
        <w:jc w:val="both"/>
        <w:rPr>
          <w:rFonts w:ascii="Times New Roman" w:hAnsi="Times New Roman"/>
          <w:b/>
          <w:sz w:val="22"/>
        </w:rPr>
      </w:pPr>
      <w:r>
        <w:rPr>
          <w:rFonts w:ascii="Times New Roman" w:hAnsi="Times New Roman"/>
          <w:b/>
          <w:sz w:val="22"/>
        </w:rPr>
        <w:t>7.3</w:t>
      </w:r>
    </w:p>
    <w:p>
      <w:pPr>
        <w:pStyle w:val="TextBody"/>
        <w:bidi w:val="0"/>
        <w:spacing w:before="0" w:after="240"/>
        <w:jc w:val="both"/>
        <w:rPr/>
      </w:pPr>
      <w:r>
        <w:rPr>
          <w:rFonts w:ascii="Times New Roman;serif" w:hAnsi="Times New Roman;serif"/>
          <w:b/>
          <w:sz w:val="22"/>
        </w:rPr>
        <w:t>No Conflicting Obligations</w:t>
      </w:r>
      <w:r>
        <w:rPr>
          <w:rFonts w:ascii="Times New Roman;serif" w:hAnsi="Times New Roman;serif"/>
          <w:b w:val="false"/>
          <w:sz w:val="22"/>
        </w:rPr>
        <w:t xml:space="preserve">. Consultant agrees that he or she will not perform any Services for Company which would conflict with any agreement or obligation of Consultant or which would cause or result in any other person or entity having any ownership interest in any intellectual property of Company, and will promptly notify Company in writing in the event that any proposed Services may conflict with any such agreement or obligation, or result in such person or entity having any ownership interest. </w:t>
      </w:r>
    </w:p>
    <w:p>
      <w:pPr>
        <w:pStyle w:val="TextBody"/>
        <w:bidi w:val="0"/>
        <w:spacing w:before="0" w:after="240"/>
        <w:jc w:val="both"/>
        <w:rPr>
          <w:rFonts w:ascii="Times New Roman" w:hAnsi="Times New Roman"/>
          <w:b/>
          <w:sz w:val="22"/>
        </w:rPr>
      </w:pPr>
      <w:r>
        <w:rPr>
          <w:rFonts w:ascii="Times New Roman" w:hAnsi="Times New Roman"/>
          <w:b/>
          <w:sz w:val="22"/>
        </w:rPr>
        <w:t>7.4</w:t>
      </w:r>
    </w:p>
    <w:p>
      <w:pPr>
        <w:pStyle w:val="TextBody"/>
        <w:bidi w:val="0"/>
        <w:spacing w:before="0" w:after="240"/>
        <w:jc w:val="both"/>
        <w:rPr/>
      </w:pPr>
      <w:r>
        <w:rPr>
          <w:rFonts w:ascii="Times New Roman;serif" w:hAnsi="Times New Roman;serif"/>
          <w:b/>
          <w:sz w:val="22"/>
        </w:rPr>
        <w:t>Waiver or Assignment of Other Rights.</w:t>
      </w:r>
      <w:r>
        <w:rPr/>
        <w:t xml:space="preserve"> </w:t>
      </w:r>
      <w:r>
        <w:rPr>
          <w:rFonts w:ascii="Times New Roman;serif" w:hAnsi="Times New Roman;serif"/>
          <w:b w:val="false"/>
          <w:sz w:val="22"/>
        </w:rPr>
        <w:t xml:space="preserve">If Consultant has any rights to Company Work Product that cannot be assigned to Company, Consultant unconditionally and irrevocably waives the enforcement of such rights, and all claims and causes of action of any kind against Company with respect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to such rights, and agrees, at Company’s request and expense, to consent to and join in any action to enforce such rights. If Consultant has any right to the Company Work Product that cannot be assigned to Company or waived by Consultant, Consultant unconditionally and irrevocably grants to Company during the term of such rights, an exclusive, irrevocable, perpetual, worldwide, fully paid and royalty-free license, with rights to sublicense through multiple levels of sublicensees, to reproduce, create derivative works of, distribute, publicly perform and publicly display by all means now known or later developed, such rights.</w:t>
      </w:r>
    </w:p>
    <w:p>
      <w:pPr>
        <w:pStyle w:val="TextBody"/>
        <w:bidi w:val="0"/>
        <w:spacing w:before="0" w:after="240"/>
        <w:jc w:val="both"/>
        <w:rPr>
          <w:rFonts w:ascii="Times New Roman" w:hAnsi="Times New Roman"/>
          <w:b/>
          <w:sz w:val="22"/>
        </w:rPr>
      </w:pPr>
      <w:r>
        <w:rPr>
          <w:rFonts w:ascii="Times New Roman" w:hAnsi="Times New Roman"/>
          <w:b/>
          <w:sz w:val="22"/>
        </w:rPr>
        <w:t>7.5</w:t>
      </w:r>
    </w:p>
    <w:p>
      <w:pPr>
        <w:pStyle w:val="TextBody"/>
        <w:bidi w:val="0"/>
        <w:spacing w:before="0" w:after="240"/>
        <w:jc w:val="both"/>
        <w:rPr/>
      </w:pPr>
      <w:r>
        <w:rPr>
          <w:rFonts w:ascii="Times New Roman;serif" w:hAnsi="Times New Roman;serif"/>
          <w:b/>
          <w:sz w:val="22"/>
        </w:rPr>
        <w:t>Procurement and Enforcement of Proprietary Rights.</w:t>
      </w:r>
      <w:r>
        <w:rPr/>
        <w:t xml:space="preserve"> </w:t>
      </w:r>
      <w:r>
        <w:rPr>
          <w:rFonts w:ascii="Times New Roman;serif" w:hAnsi="Times New Roman;serif"/>
          <w:b w:val="false"/>
          <w:sz w:val="22"/>
        </w:rPr>
        <w:t xml:space="preserve">Consultant will assist Company, both during and after the term of this Agreement, in procuring, maintaining and enforcing any United States and foreign Proprietary Rights relating to Company Work Product in any and all countries. To that end Consultant will execute, verify and deliver such documents and perform such other acts (including appearances as a witness) as Company may reasonably request for use in applying for, obtaining, perfecting, evidencing, sustaining and enforcing such Proprietary Rights and the assignment thereof. In addition, Consultant will execute, verify and deliver assignments of such Proprietary Rights to Company or its designee. Consultant’s obligation to assist Company with respect to Proprietary Rights relating to such Company Work Product in any and all countries shall continue beyond the termination of this Agreement, but Company shall compensate Consultant at a reasonable rate (not less than Consultant’s hourly fee as set forth in Exhibit A) after such termination for the time actually spent by Consultant at Company’s request on such assistance. In the event Company is unable for any reason, after reasonable effort, to secure Consultant’s signature on any document needed in connection with the actions specified in this </w:t>
      </w:r>
      <w:r>
        <w:rPr>
          <w:rFonts w:ascii="Times New Roman;serif" w:hAnsi="Times New Roman;serif"/>
          <w:b w:val="false"/>
          <w:sz w:val="22"/>
          <w:u w:val="single"/>
        </w:rPr>
        <w:t>Section 7.5</w:t>
      </w:r>
      <w:r>
        <w:rPr>
          <w:rFonts w:ascii="Times New Roman;serif" w:hAnsi="Times New Roman;serif"/>
          <w:b w:val="false"/>
          <w:sz w:val="22"/>
        </w:rPr>
        <w:t xml:space="preserve">, Consultant hereby irrevocably designates and appoints Company and its duly authorized officers and agents as its agent and attorney in fact, which appointment is coupled with an interest, to act for and in its behalf to execute, verify and file any such documents and to do all other lawfully permitted acts to further the purposes of the preceding paragraph with the same legal force and effect as if executed by Consultant. </w:t>
      </w:r>
    </w:p>
    <w:p>
      <w:pPr>
        <w:pStyle w:val="TextBody"/>
        <w:bidi w:val="0"/>
        <w:spacing w:before="0" w:after="240"/>
        <w:jc w:val="both"/>
        <w:rPr>
          <w:rFonts w:ascii="Times New Roman" w:hAnsi="Times New Roman"/>
          <w:b/>
          <w:sz w:val="22"/>
        </w:rPr>
      </w:pPr>
      <w:r>
        <w:rPr>
          <w:rFonts w:ascii="Times New Roman" w:hAnsi="Times New Roman"/>
          <w:b/>
          <w:sz w:val="22"/>
        </w:rPr>
        <w:t>7.6</w:t>
      </w:r>
    </w:p>
    <w:p>
      <w:pPr>
        <w:pStyle w:val="TextBody"/>
        <w:bidi w:val="0"/>
        <w:spacing w:before="0" w:after="240"/>
        <w:jc w:val="both"/>
        <w:rPr/>
      </w:pPr>
      <w:r>
        <w:rPr>
          <w:rFonts w:ascii="Times New Roman;serif" w:hAnsi="Times New Roman;serif"/>
          <w:b/>
          <w:sz w:val="22"/>
        </w:rPr>
        <w:t>Consultant Property</w:t>
      </w:r>
      <w:r>
        <w:rPr>
          <w:rFonts w:ascii="Times New Roman;serif" w:hAnsi="Times New Roman;serif"/>
          <w:b w:val="false"/>
          <w:sz w:val="22"/>
        </w:rPr>
        <w:t xml:space="preserve">. Consultant will, however, retain full ownership rights in and to all templates, programs and other materials developed by Consultant or obtained or licensed from third parties by Consultant (“Consultant Property”) prior to or independent of the Services and without use of or reliance upon Company’s Confidential Information, regardless of whether such Consultant Property is used in the performance of the Services. Consultant hereby grants to Company a perpetual, non-exclusive, royalty-free, irrevocable, fully paid-up worldwide license to use Consultant Property solely to the extent required for Company’s use of the Company Work Products. </w:t>
      </w:r>
    </w:p>
    <w:p>
      <w:pPr>
        <w:pStyle w:val="TextBody"/>
        <w:bidi w:val="0"/>
        <w:spacing w:before="0" w:after="240"/>
        <w:jc w:val="both"/>
        <w:rPr>
          <w:rFonts w:ascii="Times New Roman" w:hAnsi="Times New Roman"/>
          <w:b/>
          <w:smallCaps/>
          <w:sz w:val="22"/>
        </w:rPr>
      </w:pPr>
      <w:r>
        <w:rPr>
          <w:rFonts w:ascii="Times New Roman" w:hAnsi="Times New Roman"/>
          <w:b/>
          <w:smallCaps/>
          <w:sz w:val="22"/>
        </w:rPr>
        <w:t>8.</w:t>
      </w:r>
    </w:p>
    <w:p>
      <w:pPr>
        <w:pStyle w:val="TextBody"/>
        <w:bidi w:val="0"/>
        <w:spacing w:before="0" w:after="240"/>
        <w:jc w:val="both"/>
        <w:rPr>
          <w:rFonts w:ascii="Times New Roman;serif" w:hAnsi="Times New Roman;serif"/>
          <w:b/>
          <w:smallCaps/>
          <w:sz w:val="22"/>
        </w:rPr>
      </w:pPr>
      <w:r>
        <w:rPr>
          <w:rFonts w:ascii="Times New Roman;serif" w:hAnsi="Times New Roman;serif"/>
          <w:b/>
          <w:smallCaps/>
          <w:sz w:val="22"/>
        </w:rPr>
        <w:t>Consultant Representations and Warranties.</w:t>
      </w:r>
    </w:p>
    <w:p>
      <w:pPr>
        <w:pStyle w:val="TextBody"/>
        <w:bidi w:val="0"/>
        <w:spacing w:before="0" w:after="240"/>
        <w:jc w:val="both"/>
        <w:rPr>
          <w:rFonts w:ascii="Times New Roman" w:hAnsi="Times New Roman"/>
          <w:b/>
          <w:sz w:val="22"/>
        </w:rPr>
      </w:pPr>
      <w:r>
        <w:rPr>
          <w:rFonts w:ascii="Times New Roman" w:hAnsi="Times New Roman"/>
          <w:b/>
          <w:sz w:val="22"/>
        </w:rPr>
        <w:t>8.1</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Consultant hereby represents and warrants that (a) the Company Work Product will be an original work of Consultant and any third parties will have executed assignment of rights reasonably acceptable to Company; (b) neither the Company Work Product nor any element thereof will infringe the Proprietary Rights of any third party; (c) neither the Company Work Product nor any element thereof will be subject to any restrictions or to any mortgages, liens, pledges, security interests, encumbrances or encroachments; (d) Consultant will not grant, directly or indirectly, any rights or interest whatsoever in the Company Work Product to third parties; (e) Consultant has full right and power to enter into and perform this Agreement without the consent of any third party; and (f) Consultant will take all necessary precautions to prevent injury to any persons (including employees of Company) or damage to property (including Company’s property) during the term of this Agreement.</w:t>
      </w:r>
    </w:p>
    <w:p>
      <w:pPr>
        <w:pStyle w:val="TextBody"/>
        <w:bidi w:val="0"/>
        <w:spacing w:before="0" w:after="240"/>
        <w:jc w:val="both"/>
        <w:rPr>
          <w:rFonts w:ascii="Times New Roman" w:hAnsi="Times New Roman"/>
          <w:sz w:val="20"/>
        </w:rPr>
      </w:pPr>
      <w:r>
        <w:rPr>
          <w:rFonts w:ascii="Times New Roman;serif" w:hAnsi="Times New Roman;serif"/>
          <w:b/>
          <w:sz w:val="22"/>
        </w:rPr>
        <w:t>8.2</w:t>
      </w:r>
      <w:r>
        <w:rPr>
          <w:rFonts w:ascii="Times New Roman" w:hAnsi="Times New Roman"/>
          <w:sz w:val="20"/>
        </w:rPr>
        <w:t xml:space="preserve"> </w:t>
      </w:r>
      <w:r>
        <w:rPr>
          <w:rFonts w:ascii="Times New Roman;serif" w:hAnsi="Times New Roman;serif"/>
          <w:b w:val="false"/>
          <w:sz w:val="22"/>
        </w:rPr>
        <w:t>Consultant shall ensure that all statements and claims regarding Company’s products made or proposed by Consultant in connection with the Services, including intended use, efficacy and safety, are consistent with Applicable Laws and the requirements of any applicable Regulatory Authority (as defined below) and are accurate, truthful and fairly balanced. Consultant shall not make any representation, statement, warranty or guaranty, oral or written, with respect to any Company product that is inconsistent</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serif" w:hAnsi="Times New Roman;serif"/>
          <w:b w:val="false"/>
          <w:sz w:val="22"/>
        </w:rPr>
        <w:t>with Applicable Laws or such applicable Regulatory Authority, that is deceptive or misleading in any way, or that disparages Company or any Company product. “</w:t>
      </w:r>
      <w:r>
        <w:rPr>
          <w:rFonts w:ascii="Times New Roman;serif" w:hAnsi="Times New Roman;serif"/>
          <w:b w:val="false"/>
          <w:sz w:val="22"/>
          <w:u w:val="single"/>
        </w:rPr>
        <w:t>Regulatory Authority</w:t>
      </w:r>
      <w:r>
        <w:rPr>
          <w:rFonts w:ascii="Times New Roman" w:hAnsi="Times New Roman"/>
          <w:sz w:val="20"/>
        </w:rPr>
        <w:t xml:space="preserve">” </w:t>
      </w:r>
      <w:r>
        <w:rPr>
          <w:rFonts w:ascii="Times New Roman;serif" w:hAnsi="Times New Roman;serif"/>
          <w:b w:val="false"/>
          <w:sz w:val="22"/>
        </w:rPr>
        <w:t>means any United States federal, state, or local government, or political subdivision thereof, or any authority, agency or commission entitled to exercise any administrative, executive, judicial, legislative, police, regulatory or taxing authority or power, any court or tribunal (or any department, bureau or division thereof), or any governmental arbitrator or arbitral body with responsibility for granting approvals necessary for the marketing of or having other legal or regulatory authority over a product of Company involved in the Services, including the U.S. Food and Drug Administration.</w:t>
      </w:r>
    </w:p>
    <w:p>
      <w:pPr>
        <w:pStyle w:val="TextBody"/>
        <w:bidi w:val="0"/>
        <w:spacing w:before="0" w:after="240"/>
        <w:jc w:val="both"/>
        <w:rPr>
          <w:rFonts w:ascii="Times New Roman" w:hAnsi="Times New Roman"/>
          <w:sz w:val="20"/>
        </w:rPr>
      </w:pPr>
      <w:r>
        <w:rPr>
          <w:rFonts w:ascii="Times New Roman;serif" w:hAnsi="Times New Roman;serif"/>
          <w:b/>
          <w:sz w:val="22"/>
        </w:rPr>
        <w:t>8.3</w:t>
      </w:r>
      <w:r>
        <w:rPr>
          <w:rFonts w:ascii="Times New Roman" w:hAnsi="Times New Roman"/>
          <w:sz w:val="20"/>
        </w:rPr>
        <w:t xml:space="preserve"> </w:t>
      </w:r>
      <w:r>
        <w:rPr>
          <w:rFonts w:ascii="Times New Roman;serif" w:hAnsi="Times New Roman;serif"/>
          <w:b w:val="false"/>
          <w:sz w:val="22"/>
        </w:rPr>
        <w:t>Consultant represents and warrants that neither Consultant nor any of Consultant’s Personnel used in connection with the Services is Debarred/Excluded (as defined below). In advance of any Consultant Personnel performing any Services under this Agreement, Consultant shall check the Debarment/Exclusion status of each such Consultant Personnel and confirm that such Consultant Personnel is not Debarred/Excluded and shall confirm such status at least annually thereafter. Upon discovering that Consultant or any Consultant Personnel is Debarred/Excluded, Consultant shall immediately notify Company and remove such Consultant Personnel from having any responsibilities relating to the Services. “</w:t>
      </w:r>
      <w:r>
        <w:rPr>
          <w:rFonts w:ascii="Times New Roman;serif" w:hAnsi="Times New Roman;serif"/>
          <w:b w:val="false"/>
          <w:sz w:val="22"/>
          <w:u w:val="single"/>
        </w:rPr>
        <w:t>Debarred/Excluded</w:t>
      </w:r>
      <w:r>
        <w:rPr>
          <w:rFonts w:ascii="Times New Roman" w:hAnsi="Times New Roman"/>
          <w:sz w:val="20"/>
        </w:rPr>
        <w:t xml:space="preserve">” </w:t>
      </w:r>
      <w:r>
        <w:rPr>
          <w:rFonts w:ascii="Times New Roman;serif" w:hAnsi="Times New Roman;serif"/>
          <w:b w:val="false"/>
          <w:sz w:val="22"/>
        </w:rPr>
        <w:t>means debarred or suspended under 21 U.S.C. §335(a) or (b), excluded from participation in a federal health care program (e.g., Medicare, Medicaid), debarred from federal contracting, or convicted of or pled nolo contendere to any felony or any federal or state legal violation (including misdemeanors) relating to health care products or services or fraud.</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sz w:val="22"/>
        </w:rPr>
        <w:t>8.4</w:t>
      </w:r>
      <w:r>
        <w:rPr>
          <w:rFonts w:ascii="Times New Roman" w:hAnsi="Times New Roman"/>
          <w:sz w:val="20"/>
        </w:rPr>
        <w:t xml:space="preserve"> </w:t>
      </w:r>
      <w:r>
        <w:rPr>
          <w:rFonts w:ascii="Times New Roman;serif" w:hAnsi="Times New Roman;serif"/>
          <w:b w:val="false"/>
          <w:sz w:val="22"/>
        </w:rPr>
        <w:t xml:space="preserve">If, during the term of this Agreement, all or part of the above representations and warranties in this </w:t>
      </w:r>
      <w:r>
        <w:rPr>
          <w:rFonts w:ascii="Times New Roman;serif" w:hAnsi="Times New Roman;serif"/>
          <w:b w:val="false"/>
          <w:sz w:val="22"/>
          <w:u w:val="single"/>
        </w:rPr>
        <w:t>Section 8</w:t>
      </w:r>
      <w:r>
        <w:rPr>
          <w:rFonts w:ascii="Times New Roman" w:hAnsi="Times New Roman"/>
          <w:sz w:val="20"/>
        </w:rPr>
        <w:t xml:space="preserve"> </w:t>
      </w:r>
      <w:r>
        <w:rPr>
          <w:rFonts w:ascii="Times New Roman;serif" w:hAnsi="Times New Roman;serif"/>
          <w:b w:val="false"/>
          <w:sz w:val="22"/>
        </w:rPr>
        <w:t>cease to be accurate, Consultant shall immediately notify Company of such circumstance, and, at Company’s option, this Agreement shall terminate as of the first date of such noncompliance.</w:t>
      </w:r>
    </w:p>
    <w:p>
      <w:pPr>
        <w:pStyle w:val="TextBody"/>
        <w:bidi w:val="0"/>
        <w:spacing w:before="0" w:after="240"/>
        <w:jc w:val="both"/>
        <w:rPr>
          <w:rFonts w:ascii="Times New Roman" w:hAnsi="Times New Roman"/>
          <w:b/>
          <w:smallCaps/>
          <w:sz w:val="22"/>
        </w:rPr>
      </w:pPr>
      <w:r>
        <w:rPr>
          <w:rFonts w:ascii="Times New Roman" w:hAnsi="Times New Roman"/>
          <w:b/>
          <w:smallCaps/>
          <w:sz w:val="22"/>
        </w:rPr>
        <w:t>9.</w:t>
      </w:r>
    </w:p>
    <w:p>
      <w:pPr>
        <w:pStyle w:val="TextBody"/>
        <w:bidi w:val="0"/>
        <w:spacing w:before="0" w:after="240"/>
        <w:jc w:val="both"/>
        <w:rPr/>
      </w:pPr>
      <w:r>
        <w:rPr>
          <w:rFonts w:ascii="Times New Roman;serif" w:hAnsi="Times New Roman;serif"/>
          <w:b/>
          <w:smallCaps/>
          <w:sz w:val="22"/>
        </w:rPr>
        <w:t xml:space="preserve">Notice of Government Inquiry. </w:t>
      </w:r>
      <w:r>
        <w:rPr>
          <w:rFonts w:ascii="Times New Roman;serif" w:hAnsi="Times New Roman;serif"/>
          <w:b w:val="false"/>
          <w:sz w:val="22"/>
        </w:rPr>
        <w:t>Consultant shall immediately notify Company, and provide Company with a copy, of any communication, correspondence or inquiry of any type, including, but not limited to, a subpoena, civil investigative demand, congressional inquiry letter, untitled letter or warning letter, from any federal, state or local governmental entity, Regulatory Authority or any other individual or party related in any way to Company, Company’s products, the Services, or this Agreement. This Section survives expiration or termination of the Agreement.</w:t>
      </w:r>
    </w:p>
    <w:p>
      <w:pPr>
        <w:pStyle w:val="TextBody"/>
        <w:bidi w:val="0"/>
        <w:spacing w:before="0" w:after="240"/>
        <w:jc w:val="both"/>
        <w:rPr>
          <w:rFonts w:ascii="Times New Roman" w:hAnsi="Times New Roman"/>
          <w:b/>
          <w:smallCaps/>
          <w:sz w:val="22"/>
        </w:rPr>
      </w:pPr>
      <w:r>
        <w:rPr>
          <w:rFonts w:ascii="Times New Roman" w:hAnsi="Times New Roman"/>
          <w:b/>
          <w:smallCaps/>
          <w:sz w:val="22"/>
        </w:rPr>
        <w:t>10.</w:t>
      </w:r>
    </w:p>
    <w:p>
      <w:pPr>
        <w:pStyle w:val="TextBody"/>
        <w:bidi w:val="0"/>
        <w:spacing w:before="0" w:after="240"/>
        <w:jc w:val="both"/>
        <w:rPr/>
      </w:pPr>
      <w:r>
        <w:rPr>
          <w:rFonts w:ascii="Times New Roman;serif" w:hAnsi="Times New Roman;serif"/>
          <w:b/>
          <w:smallCaps/>
          <w:sz w:val="22"/>
        </w:rPr>
        <w:t>Indemnification.</w:t>
      </w:r>
      <w:r>
        <w:rPr/>
        <w:t xml:space="preserve"> </w:t>
      </w:r>
      <w:r>
        <w:rPr>
          <w:rFonts w:ascii="Times New Roman;serif" w:hAnsi="Times New Roman;serif"/>
          <w:b w:val="false"/>
          <w:sz w:val="22"/>
        </w:rPr>
        <w:t xml:space="preserve">Consultant will indemnify and hold harmless Company, its officers, directors, employees, sublicensees, customers and agents from any and all claims, losses, liabilities, damages, expenses and costs (including attorneys’ fees and court costs) which result from and with respect to any and all third-party claims of any kind based on (i) willful misconduct of Consultant or any of Consultant’s Personnel under or in connection with Consultant’s obligations hereunder; (ii) a breach or alleged breach of any representation or warranty of Consultant set forth in </w:t>
      </w:r>
      <w:r>
        <w:rPr>
          <w:rFonts w:ascii="Times New Roman;serif" w:hAnsi="Times New Roman;serif"/>
          <w:b w:val="false"/>
          <w:sz w:val="22"/>
          <w:u w:val="single"/>
        </w:rPr>
        <w:t>Section 8</w:t>
      </w:r>
      <w:r>
        <w:rPr/>
        <w:t xml:space="preserve"> </w:t>
      </w:r>
      <w:r>
        <w:rPr>
          <w:rFonts w:ascii="Times New Roman;serif" w:hAnsi="Times New Roman;serif"/>
          <w:b w:val="false"/>
          <w:sz w:val="22"/>
        </w:rPr>
        <w:t>of this Agreement; or (iii) any infringement of any patent, trade secret, copyright, trademark or any other proprietary right of any person by the Company’s use of the Company Work Product. The Company will indemnify and hold harmless Consultant from any and all claims, losses, liabilities, damages, expenses and costs (including attorneys’ fees and court costs) which result from and with respect to any and all third-party claims of any kind based on willful misconduct by the Company.</w:t>
      </w:r>
    </w:p>
    <w:p>
      <w:pPr>
        <w:pStyle w:val="TextBody"/>
        <w:bidi w:val="0"/>
        <w:spacing w:before="0" w:after="240"/>
        <w:jc w:val="both"/>
        <w:rPr>
          <w:rFonts w:ascii="Times New Roman" w:hAnsi="Times New Roman"/>
          <w:b/>
          <w:smallCaps/>
          <w:sz w:val="22"/>
        </w:rPr>
      </w:pPr>
      <w:r>
        <w:rPr>
          <w:rFonts w:ascii="Times New Roman" w:hAnsi="Times New Roman"/>
          <w:b/>
          <w:smallCaps/>
          <w:sz w:val="22"/>
        </w:rPr>
        <w:t>11.</w:t>
      </w:r>
    </w:p>
    <w:p>
      <w:pPr>
        <w:pStyle w:val="TextBody"/>
        <w:bidi w:val="0"/>
        <w:spacing w:before="0" w:after="240"/>
        <w:jc w:val="both"/>
        <w:rPr>
          <w:rFonts w:ascii="Times New Roman;serif" w:hAnsi="Times New Roman;serif"/>
          <w:b/>
          <w:smallCaps/>
          <w:sz w:val="22"/>
        </w:rPr>
      </w:pPr>
      <w:r>
        <w:rPr>
          <w:rFonts w:ascii="Times New Roman;serif" w:hAnsi="Times New Roman;serif"/>
          <w:b/>
          <w:smallCaps/>
          <w:sz w:val="22"/>
        </w:rPr>
        <w:t>Term and Termination.</w:t>
      </w:r>
    </w:p>
    <w:p>
      <w:pPr>
        <w:pStyle w:val="TextBody"/>
        <w:bidi w:val="0"/>
        <w:spacing w:before="0" w:after="240"/>
        <w:jc w:val="both"/>
        <w:rPr>
          <w:rFonts w:ascii="Times New Roman" w:hAnsi="Times New Roman"/>
          <w:b/>
          <w:sz w:val="22"/>
        </w:rPr>
      </w:pPr>
      <w:r>
        <w:rPr>
          <w:rFonts w:ascii="Times New Roman" w:hAnsi="Times New Roman"/>
          <w:b/>
          <w:sz w:val="22"/>
        </w:rPr>
        <w:t>11.1</w:t>
      </w:r>
    </w:p>
    <w:p>
      <w:pPr>
        <w:pStyle w:val="TextBody"/>
        <w:bidi w:val="0"/>
        <w:spacing w:before="0" w:after="240"/>
        <w:jc w:val="both"/>
        <w:rPr/>
      </w:pPr>
      <w:r>
        <w:rPr>
          <w:rFonts w:ascii="Times New Roman;serif" w:hAnsi="Times New Roman;serif"/>
          <w:b/>
          <w:sz w:val="22"/>
        </w:rPr>
        <w:t xml:space="preserve">Term. </w:t>
      </w:r>
      <w:r>
        <w:rPr>
          <w:rFonts w:ascii="Times New Roman;serif" w:hAnsi="Times New Roman;serif"/>
          <w:b w:val="false"/>
          <w:sz w:val="22"/>
        </w:rPr>
        <w:t xml:space="preserve">The term of this Agreement will begin effective as of February 4, 2023 and will automatically end on February 3, 2024 unless either party provides 10 days’ advance notice of termination of this Agreement. Notwithstanding the foregoing, this Agreement shall not expire, but shall continue in full force and effect until Consultant’s completion of any unperformed obligations under any SOW executed prior to the date upon which the Agreement would otherwise have expired. The Company can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terminate this Agreement immediately if Consultant fails to execute the Waiver and General Release attached hereto as Exhibit B on or within two business days after the Effective Date or if Consultant revokes Consultant’s execution of same.</w:t>
      </w:r>
    </w:p>
    <w:p>
      <w:pPr>
        <w:pStyle w:val="TextBody"/>
        <w:bidi w:val="0"/>
        <w:spacing w:before="0" w:after="240"/>
        <w:jc w:val="both"/>
        <w:rPr>
          <w:rFonts w:ascii="Times New Roman" w:hAnsi="Times New Roman"/>
          <w:b/>
          <w:sz w:val="22"/>
        </w:rPr>
      </w:pPr>
      <w:r>
        <w:rPr>
          <w:rFonts w:ascii="Times New Roman" w:hAnsi="Times New Roman"/>
          <w:b/>
          <w:sz w:val="22"/>
        </w:rPr>
        <w:t>11.2</w:t>
      </w:r>
    </w:p>
    <w:p>
      <w:pPr>
        <w:pStyle w:val="TextBody"/>
        <w:bidi w:val="0"/>
        <w:spacing w:before="0" w:after="240"/>
        <w:jc w:val="both"/>
        <w:rPr/>
      </w:pPr>
      <w:r>
        <w:rPr>
          <w:rFonts w:ascii="Times New Roman;serif" w:hAnsi="Times New Roman;serif"/>
          <w:b/>
          <w:sz w:val="22"/>
        </w:rPr>
        <w:t>Return of Company Property.</w:t>
      </w:r>
      <w:r>
        <w:rPr/>
        <w:t xml:space="preserve"> </w:t>
      </w:r>
      <w:r>
        <w:rPr>
          <w:rFonts w:ascii="Times New Roman;serif" w:hAnsi="Times New Roman;serif"/>
          <w:b w:val="false"/>
          <w:sz w:val="22"/>
        </w:rPr>
        <w:t xml:space="preserve">Immediately upon termination of the Agreement (or earlier if requested by Company), Consultant shall cease work and, within seven (7) days of the termination date, deliver to Company or destroy any and all (including copies thereof) work in progress, Company-owned materials and/or equipment, including all material containing or disclosing any Company Work Product, Third Party Information or Company Confidential Information. </w:t>
      </w:r>
    </w:p>
    <w:p>
      <w:pPr>
        <w:pStyle w:val="TextBody"/>
        <w:bidi w:val="0"/>
        <w:spacing w:before="0" w:after="240"/>
        <w:jc w:val="both"/>
        <w:rPr>
          <w:rFonts w:ascii="Times New Roman" w:hAnsi="Times New Roman"/>
          <w:b/>
          <w:smallCaps/>
          <w:sz w:val="22"/>
        </w:rPr>
      </w:pPr>
      <w:r>
        <w:rPr>
          <w:rFonts w:ascii="Times New Roman" w:hAnsi="Times New Roman"/>
          <w:b/>
          <w:smallCaps/>
          <w:sz w:val="22"/>
        </w:rPr>
        <w:t>12.</w:t>
      </w:r>
    </w:p>
    <w:p>
      <w:pPr>
        <w:pStyle w:val="TextBody"/>
        <w:bidi w:val="0"/>
        <w:spacing w:before="0" w:after="240"/>
        <w:jc w:val="both"/>
        <w:rPr>
          <w:rFonts w:ascii="Times New Roman;serif" w:hAnsi="Times New Roman;serif"/>
          <w:b/>
          <w:smallCaps/>
          <w:sz w:val="22"/>
        </w:rPr>
      </w:pPr>
      <w:r>
        <w:rPr>
          <w:rFonts w:ascii="Times New Roman;serif" w:hAnsi="Times New Roman;serif"/>
          <w:b/>
          <w:smallCaps/>
          <w:sz w:val="22"/>
        </w:rPr>
        <w:t>General Provisions.</w:t>
      </w:r>
    </w:p>
    <w:p>
      <w:pPr>
        <w:pStyle w:val="TextBody"/>
        <w:bidi w:val="0"/>
        <w:spacing w:before="0" w:after="240"/>
        <w:jc w:val="both"/>
        <w:rPr>
          <w:rFonts w:ascii="Times New Roman" w:hAnsi="Times New Roman"/>
          <w:b/>
          <w:sz w:val="22"/>
        </w:rPr>
      </w:pPr>
      <w:r>
        <w:rPr>
          <w:rFonts w:ascii="Times New Roman" w:hAnsi="Times New Roman"/>
          <w:b/>
          <w:sz w:val="22"/>
        </w:rPr>
        <w:t>12.1</w:t>
      </w:r>
    </w:p>
    <w:p>
      <w:pPr>
        <w:pStyle w:val="TextBody"/>
        <w:bidi w:val="0"/>
        <w:spacing w:before="0" w:after="240"/>
        <w:jc w:val="both"/>
        <w:rPr/>
      </w:pPr>
      <w:r>
        <w:rPr>
          <w:rFonts w:ascii="Times New Roman;serif" w:hAnsi="Times New Roman;serif"/>
          <w:b/>
          <w:sz w:val="22"/>
        </w:rPr>
        <w:t>Governing Law.</w:t>
      </w:r>
      <w:r>
        <w:rPr/>
        <w:t xml:space="preserve"> </w:t>
      </w:r>
      <w:r>
        <w:rPr>
          <w:rFonts w:ascii="Times New Roman;serif" w:hAnsi="Times New Roman;serif"/>
          <w:b w:val="false"/>
          <w:sz w:val="22"/>
        </w:rPr>
        <w:t>This Agreement will be governed and construed in accordance with the laws of the State of Pennsylvania, USA, without regard to any conflict of laws principles that would result in the application of the laws of any other jurisdiction. Consultant hereby expressly consents to the personal jurisdiction of the state and federal courts located in the Commonwealth of Massachusetts for any lawsuit filed there against Consultant by Company arising from or related to this Agreement.</w:t>
      </w:r>
    </w:p>
    <w:p>
      <w:pPr>
        <w:pStyle w:val="TextBody"/>
        <w:bidi w:val="0"/>
        <w:spacing w:before="0" w:after="240"/>
        <w:jc w:val="both"/>
        <w:rPr>
          <w:rFonts w:ascii="Times New Roman" w:hAnsi="Times New Roman"/>
          <w:b/>
          <w:sz w:val="22"/>
        </w:rPr>
      </w:pPr>
      <w:r>
        <w:rPr>
          <w:rFonts w:ascii="Times New Roman" w:hAnsi="Times New Roman"/>
          <w:b/>
          <w:sz w:val="22"/>
        </w:rPr>
        <w:t>12.2</w:t>
      </w:r>
    </w:p>
    <w:p>
      <w:pPr>
        <w:pStyle w:val="TextBody"/>
        <w:bidi w:val="0"/>
        <w:spacing w:before="0" w:after="240"/>
        <w:jc w:val="both"/>
        <w:rPr/>
      </w:pPr>
      <w:r>
        <w:rPr>
          <w:rFonts w:ascii="Times New Roman;serif" w:hAnsi="Times New Roman;serif"/>
          <w:b/>
          <w:sz w:val="22"/>
        </w:rPr>
        <w:t xml:space="preserve">Non-solicitation. </w:t>
      </w:r>
      <w:r>
        <w:rPr>
          <w:rFonts w:ascii="Times New Roman;serif" w:hAnsi="Times New Roman;serif"/>
          <w:b w:val="false"/>
          <w:sz w:val="22"/>
        </w:rPr>
        <w:t>Consultant agrees that during the term of this Agreement, and for one year thereafter, Consultant will not either directly or indirectly, solicit or attempt to solicit any employee, independent contractor, or consultant of Company to terminate his, her, its or their relationship with Company in order to become an employee, consultant, or independent contractor to or for any other person or entity.</w:t>
      </w:r>
    </w:p>
    <w:p>
      <w:pPr>
        <w:pStyle w:val="TextBody"/>
        <w:bidi w:val="0"/>
        <w:spacing w:before="0" w:after="240"/>
        <w:jc w:val="both"/>
        <w:rPr>
          <w:rFonts w:ascii="Times New Roman" w:hAnsi="Times New Roman"/>
          <w:b/>
          <w:sz w:val="22"/>
        </w:rPr>
      </w:pPr>
      <w:r>
        <w:rPr>
          <w:rFonts w:ascii="Times New Roman" w:hAnsi="Times New Roman"/>
          <w:b/>
          <w:sz w:val="22"/>
        </w:rPr>
        <w:t>12.3</w:t>
      </w:r>
    </w:p>
    <w:p>
      <w:pPr>
        <w:pStyle w:val="TextBody"/>
        <w:bidi w:val="0"/>
        <w:spacing w:before="0" w:after="240"/>
        <w:jc w:val="both"/>
        <w:rPr/>
      </w:pPr>
      <w:r>
        <w:rPr>
          <w:rFonts w:ascii="Times New Roman;serif" w:hAnsi="Times New Roman;serif"/>
          <w:b/>
          <w:sz w:val="22"/>
        </w:rPr>
        <w:t>Severability.</w:t>
      </w:r>
      <w:r>
        <w:rPr/>
        <w:t xml:space="preserve"> </w:t>
      </w:r>
      <w:r>
        <w:rPr>
          <w:rFonts w:ascii="Times New Roman;serif" w:hAnsi="Times New Roman;serif"/>
          <w:b w:val="false"/>
          <w:sz w:val="22"/>
        </w:rPr>
        <w:t>In case any one or more of the provisions contained in this Agreement shall, for any reason, be held to be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pStyle w:val="TextBody"/>
        <w:bidi w:val="0"/>
        <w:spacing w:before="0" w:after="240"/>
        <w:jc w:val="both"/>
        <w:rPr>
          <w:rFonts w:ascii="Times New Roman" w:hAnsi="Times New Roman"/>
          <w:b/>
          <w:sz w:val="22"/>
        </w:rPr>
      </w:pPr>
      <w:r>
        <w:rPr>
          <w:rFonts w:ascii="Times New Roman" w:hAnsi="Times New Roman"/>
          <w:b/>
          <w:sz w:val="22"/>
        </w:rPr>
        <w:t>12.4</w:t>
      </w:r>
    </w:p>
    <w:p>
      <w:pPr>
        <w:pStyle w:val="TextBody"/>
        <w:bidi w:val="0"/>
        <w:spacing w:before="0" w:after="240"/>
        <w:jc w:val="both"/>
        <w:rPr/>
      </w:pPr>
      <w:r>
        <w:rPr>
          <w:rFonts w:ascii="Times New Roman;serif" w:hAnsi="Times New Roman;serif"/>
          <w:b/>
          <w:sz w:val="22"/>
        </w:rPr>
        <w:t>No Assignment; Subcontracting.</w:t>
      </w:r>
      <w:r>
        <w:rPr/>
        <w:t xml:space="preserve"> </w:t>
      </w:r>
      <w:r>
        <w:rPr>
          <w:rFonts w:ascii="Times New Roman;serif" w:hAnsi="Times New Roman;serif"/>
          <w:b w:val="false"/>
          <w:sz w:val="22"/>
        </w:rPr>
        <w:t>This Agreement may not be assigned by Consultant without Company’s consent, and any such attempted assignment shall be void and of no effect. Consultant may not subcontract or otherwise delegate its obligations under this Agreement without Company’s prior written consent, which consent may be withheld in Company’s sole discretion.</w:t>
      </w:r>
    </w:p>
    <w:p>
      <w:pPr>
        <w:pStyle w:val="TextBody"/>
        <w:bidi w:val="0"/>
        <w:spacing w:before="0" w:after="240"/>
        <w:jc w:val="both"/>
        <w:rPr>
          <w:rFonts w:ascii="Times New Roman" w:hAnsi="Times New Roman"/>
          <w:b/>
          <w:sz w:val="22"/>
        </w:rPr>
      </w:pPr>
      <w:r>
        <w:rPr>
          <w:rFonts w:ascii="Times New Roman" w:hAnsi="Times New Roman"/>
          <w:b/>
          <w:sz w:val="22"/>
        </w:rPr>
        <w:t>12.5</w:t>
      </w:r>
    </w:p>
    <w:p>
      <w:pPr>
        <w:pStyle w:val="TextBody"/>
        <w:bidi w:val="0"/>
        <w:spacing w:before="0" w:after="240"/>
        <w:jc w:val="both"/>
        <w:rPr/>
      </w:pPr>
      <w:r>
        <w:rPr>
          <w:rFonts w:ascii="Times New Roman;serif" w:hAnsi="Times New Roman;serif"/>
          <w:b/>
          <w:sz w:val="22"/>
        </w:rPr>
        <w:t>Notices.</w:t>
      </w:r>
      <w:r>
        <w:rPr/>
        <w:t xml:space="preserve"> </w:t>
      </w:r>
      <w:r>
        <w:rPr>
          <w:rFonts w:ascii="Times New Roman;serif" w:hAnsi="Times New Roman;serif"/>
          <w:b w:val="false"/>
          <w:sz w:val="22"/>
        </w:rPr>
        <w:t xml:space="preserve">All notices, requests and other communications under this Agreement must be in writing, and must be mailed by registered or certified mail, postage prepaid and return receipt requested, or delivered by hand to the party to whom such notice is required or permitted to be given. If mailed, any such notice will be considered to have been given five (5) business days after it was mailed, as evidenced by the postmark. If delivered by hand, any such notice will be considered to have been given when received by the party to whom notice is given, as evidenced by written and dated receipt of the receiving party. The mailing address for notice to either party will be the address shown on the signature page of this Agreement. Either party may change its mailing address by notice as provided by this </w:t>
      </w:r>
      <w:r>
        <w:rPr>
          <w:rFonts w:ascii="Times New Roman;serif" w:hAnsi="Times New Roman;serif"/>
          <w:b w:val="false"/>
          <w:sz w:val="22"/>
          <w:u w:val="single"/>
        </w:rPr>
        <w:t>Section 12.5</w:t>
      </w:r>
      <w:r>
        <w:rPr>
          <w:rFonts w:ascii="Times New Roman;serif" w:hAnsi="Times New Roman;serif"/>
          <w:b w:val="false"/>
          <w:sz w:val="22"/>
        </w:rPr>
        <w:t>.</w:t>
      </w:r>
    </w:p>
    <w:p>
      <w:pPr>
        <w:pStyle w:val="TextBody"/>
        <w:bidi w:val="0"/>
        <w:spacing w:before="0" w:after="240"/>
        <w:jc w:val="both"/>
        <w:rPr>
          <w:rFonts w:ascii="Times New Roman" w:hAnsi="Times New Roman"/>
          <w:b/>
          <w:sz w:val="22"/>
        </w:rPr>
      </w:pPr>
      <w:r>
        <w:rPr>
          <w:rFonts w:ascii="Times New Roman" w:hAnsi="Times New Roman"/>
          <w:b/>
          <w:sz w:val="22"/>
        </w:rPr>
        <w:t>12.6</w:t>
      </w:r>
    </w:p>
    <w:p>
      <w:pPr>
        <w:pStyle w:val="TextBody"/>
        <w:bidi w:val="0"/>
        <w:spacing w:before="0" w:after="240"/>
        <w:jc w:val="both"/>
        <w:rPr/>
      </w:pPr>
      <w:r>
        <w:rPr>
          <w:rFonts w:ascii="Times New Roman;serif" w:hAnsi="Times New Roman;serif"/>
          <w:b/>
          <w:sz w:val="22"/>
        </w:rPr>
        <w:t>Injunctive Relief.</w:t>
      </w:r>
      <w:r>
        <w:rPr/>
        <w:t xml:space="preserve"> </w:t>
      </w:r>
      <w:r>
        <w:rPr>
          <w:rFonts w:ascii="Times New Roman;serif" w:hAnsi="Times New Roman;serif"/>
          <w:b w:val="false"/>
          <w:sz w:val="22"/>
        </w:rPr>
        <w:t>A breach of any of the promises or agreements contained in this Agreement may result in irreparable and continuing damage to Company for which there may be no adequate remedy at law, and Company is therefore entitled to seek injunctive relief as well as such other and further relief as may be appropriate.</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sz w:val="22"/>
        </w:rPr>
      </w:pPr>
      <w:r>
        <w:rPr>
          <w:rFonts w:ascii="Times New Roman" w:hAnsi="Times New Roman"/>
          <w:b/>
          <w:sz w:val="22"/>
        </w:rPr>
        <w:t>12.7</w:t>
      </w:r>
    </w:p>
    <w:p>
      <w:pPr>
        <w:pStyle w:val="TextBody"/>
        <w:bidi w:val="0"/>
        <w:spacing w:before="0" w:after="240"/>
        <w:jc w:val="both"/>
        <w:rPr/>
      </w:pPr>
      <w:r>
        <w:rPr>
          <w:rFonts w:ascii="Times New Roman;serif" w:hAnsi="Times New Roman;serif"/>
          <w:b/>
          <w:sz w:val="22"/>
        </w:rPr>
        <w:t>Survival.</w:t>
      </w:r>
      <w:r>
        <w:rPr/>
        <w:t xml:space="preserve"> </w:t>
      </w:r>
      <w:r>
        <w:rPr>
          <w:rFonts w:ascii="Times New Roman;serif" w:hAnsi="Times New Roman;serif"/>
          <w:b w:val="false"/>
          <w:sz w:val="22"/>
        </w:rPr>
        <w:t xml:space="preserve">The following provisions shall survive expiration or termination of this Agreement: </w:t>
      </w:r>
      <w:r>
        <w:rPr>
          <w:rFonts w:ascii="Times New Roman;serif" w:hAnsi="Times New Roman;serif"/>
          <w:b w:val="false"/>
          <w:sz w:val="22"/>
          <w:u w:val="single"/>
        </w:rPr>
        <w:t>Sections 6</w:t>
      </w:r>
      <w:r>
        <w:rPr/>
        <w:t xml:space="preserve"> </w:t>
      </w:r>
      <w:r>
        <w:rPr>
          <w:rFonts w:ascii="Times New Roman;serif" w:hAnsi="Times New Roman;serif"/>
          <w:b w:val="false"/>
          <w:sz w:val="22"/>
        </w:rPr>
        <w:t xml:space="preserve">through </w:t>
      </w:r>
      <w:r>
        <w:rPr>
          <w:rFonts w:ascii="Times New Roman;serif" w:hAnsi="Times New Roman;serif"/>
          <w:b w:val="false"/>
          <w:sz w:val="22"/>
          <w:u w:val="single"/>
        </w:rPr>
        <w:t>12</w:t>
      </w:r>
      <w:r>
        <w:rPr>
          <w:rFonts w:ascii="Times New Roman;serif" w:hAnsi="Times New Roman;serif"/>
          <w:b w:val="false"/>
          <w:sz w:val="22"/>
        </w:rPr>
        <w:t>.</w:t>
      </w:r>
    </w:p>
    <w:p>
      <w:pPr>
        <w:pStyle w:val="TextBody"/>
        <w:bidi w:val="0"/>
        <w:spacing w:before="0" w:after="240"/>
        <w:jc w:val="both"/>
        <w:rPr>
          <w:rFonts w:ascii="Times New Roman" w:hAnsi="Times New Roman"/>
          <w:b/>
          <w:sz w:val="22"/>
        </w:rPr>
      </w:pPr>
      <w:r>
        <w:rPr>
          <w:rFonts w:ascii="Times New Roman" w:hAnsi="Times New Roman"/>
          <w:b/>
          <w:sz w:val="22"/>
        </w:rPr>
        <w:t>12.8</w:t>
      </w:r>
    </w:p>
    <w:p>
      <w:pPr>
        <w:pStyle w:val="TextBody"/>
        <w:bidi w:val="0"/>
        <w:spacing w:before="0" w:after="240"/>
        <w:jc w:val="both"/>
        <w:rPr/>
      </w:pPr>
      <w:r>
        <w:rPr>
          <w:rFonts w:ascii="Times New Roman;serif" w:hAnsi="Times New Roman;serif"/>
          <w:b/>
          <w:sz w:val="22"/>
        </w:rPr>
        <w:t>Waiver.</w:t>
      </w:r>
      <w:r>
        <w:rPr/>
        <w:t xml:space="preserve"> </w:t>
      </w:r>
      <w:r>
        <w:rPr>
          <w:rFonts w:ascii="Times New Roman;serif" w:hAnsi="Times New Roman;serif"/>
          <w:b w:val="false"/>
          <w:sz w:val="22"/>
        </w:rPr>
        <w:t>No waiver by Company of any breach of this Agreement shall be a waiver of any preceding or succeeding breach. No waiver by Company of any right under this Agreement shall be construed as a waiver of any other right. Company shall not be required to give notice to enforce strict adherence to all terms of this Agreement.</w:t>
      </w:r>
    </w:p>
    <w:p>
      <w:pPr>
        <w:pStyle w:val="TextBody"/>
        <w:bidi w:val="0"/>
        <w:spacing w:before="0" w:after="240"/>
        <w:jc w:val="both"/>
        <w:rPr>
          <w:rFonts w:ascii="Times New Roman" w:hAnsi="Times New Roman"/>
          <w:b/>
          <w:sz w:val="22"/>
        </w:rPr>
      </w:pPr>
      <w:r>
        <w:rPr>
          <w:rFonts w:ascii="Times New Roman" w:hAnsi="Times New Roman"/>
          <w:b/>
          <w:sz w:val="22"/>
        </w:rPr>
        <w:t>12.9</w:t>
      </w:r>
    </w:p>
    <w:p>
      <w:pPr>
        <w:pStyle w:val="TextBody"/>
        <w:bidi w:val="0"/>
        <w:spacing w:before="0" w:after="240"/>
        <w:jc w:val="both"/>
        <w:rPr/>
      </w:pPr>
      <w:r>
        <w:rPr>
          <w:rFonts w:ascii="Times New Roman;serif" w:hAnsi="Times New Roman;serif"/>
          <w:b/>
          <w:sz w:val="22"/>
        </w:rPr>
        <w:t>Entire Agreement</w:t>
      </w:r>
      <w:r>
        <w:rPr>
          <w:rFonts w:ascii="Times New Roman;serif" w:hAnsi="Times New Roman;serif"/>
          <w:b w:val="false"/>
          <w:sz w:val="22"/>
        </w:rPr>
        <w:t>. Except for the PIIA (as modified through Exhibit B and this Agreement as provided above), and Consultant’s continuing obligations under Section 9 of the employment agreement entered into between Consultant and the Company executed on or about August 5, 2021 (“Employment Agreement”), this Agreement, including all Exhibits, is the final, complete and exclusive agreement of the parties with respect to the subject matter hereof and supersedes and merges all prior discussions between the parties. No modification of or amendment to this Agreement, nor any waiver of any rights under this Agreement, will be effective unless in writing and signed by the party to be charged. The terms of this Agreement will govern all Services undertaken by Consultant for Company.</w:t>
      </w:r>
    </w:p>
    <w:p>
      <w:pPr>
        <w:pStyle w:val="TextBody"/>
        <w:bidi w:val="0"/>
        <w:spacing w:before="0" w:after="240"/>
        <w:jc w:val="both"/>
        <w:rPr>
          <w:rFonts w:ascii="Times New Roman" w:hAnsi="Times New Roman"/>
          <w:b/>
          <w:sz w:val="22"/>
        </w:rPr>
      </w:pPr>
      <w:r>
        <w:rPr>
          <w:rFonts w:ascii="Times New Roman" w:hAnsi="Times New Roman"/>
          <w:b/>
          <w:sz w:val="22"/>
        </w:rPr>
        <w:t>12.10</w:t>
      </w:r>
    </w:p>
    <w:p>
      <w:pPr>
        <w:pStyle w:val="TextBody"/>
        <w:bidi w:val="0"/>
        <w:spacing w:before="0" w:after="240"/>
        <w:jc w:val="both"/>
        <w:rPr/>
      </w:pPr>
      <w:r>
        <w:rPr>
          <w:rFonts w:ascii="Times New Roman;serif" w:hAnsi="Times New Roman;serif"/>
          <w:b/>
          <w:sz w:val="22"/>
        </w:rPr>
        <w:t>Execution in Counterparts; Electronic Signatures</w:t>
      </w:r>
      <w:r>
        <w:rPr>
          <w:rFonts w:ascii="Times New Roman;serif" w:hAnsi="Times New Roman;serif"/>
          <w:b w:val="false"/>
          <w:sz w:val="22"/>
        </w:rPr>
        <w:t>. This Agreement may be executed in two or more counterparts, each of which will be an original, and all of which together will constitute one and the same instrument. The parties agree that electronic signatures shall be deemed originals.</w:t>
      </w:r>
    </w:p>
    <w:p>
      <w:pPr>
        <w:pStyle w:val="TextBody"/>
        <w:bidi w:val="0"/>
        <w:spacing w:before="0" w:after="240"/>
        <w:jc w:val="center"/>
        <w:rPr>
          <w:rFonts w:ascii="Times New Roman" w:hAnsi="Times New Roman"/>
          <w:sz w:val="20"/>
        </w:rPr>
      </w:pPr>
      <w:r>
        <w:rPr>
          <w:rFonts w:ascii="Times New Roman;serif" w:hAnsi="Times New Roman;serif"/>
          <w:b w:val="false"/>
          <w:sz w:val="22"/>
        </w:rPr>
        <w:t>[</w:t>
      </w:r>
      <w:r>
        <w:rPr>
          <w:rFonts w:ascii="Times New Roman;serif" w:hAnsi="Times New Roman;serif"/>
          <w:b w:val="false"/>
          <w:i/>
          <w:sz w:val="22"/>
        </w:rPr>
        <w:t>Signature page follows</w:t>
      </w:r>
      <w:r>
        <w:rPr>
          <w:rFonts w:ascii="Times New Roman;serif" w:hAnsi="Times New Roman;serif"/>
          <w:b w:val="false"/>
          <w:sz w:val="22"/>
        </w:rPr>
        <w:t>]</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smallCaps/>
          <w:sz w:val="22"/>
        </w:rPr>
        <w:t>In Witness Whereof,</w:t>
      </w:r>
      <w:r>
        <w:rPr>
          <w:rFonts w:ascii="Times New Roman" w:hAnsi="Times New Roman"/>
          <w:sz w:val="20"/>
        </w:rPr>
        <w:t xml:space="preserve"> </w:t>
      </w:r>
      <w:r>
        <w:rPr>
          <w:rFonts w:ascii="Times New Roman;serif" w:hAnsi="Times New Roman;serif"/>
          <w:b w:val="false"/>
          <w:sz w:val="22"/>
        </w:rPr>
        <w:t>the parties have caused this Consulting Services Agreement to be executed by their duly authorized representative.</w:t>
      </w:r>
    </w:p>
    <w:p>
      <w:pPr>
        <w:pStyle w:val="TextBody"/>
        <w:bidi w:val="0"/>
        <w:spacing w:before="0" w:after="240"/>
        <w:jc w:val="both"/>
        <w:rPr/>
      </w:pPr>
      <w:r>
        <w:rPr/>
        <w:t> </w:t>
      </w:r>
    </w:p>
    <w:p>
      <w:pPr>
        <w:pStyle w:val="TextBody"/>
        <w:bidi w:val="0"/>
        <w:spacing w:before="0" w:after="240"/>
        <w:jc w:val="both"/>
        <w:rPr>
          <w:rFonts w:ascii="Times New Roman;serif" w:hAnsi="Times New Roman;serif"/>
          <w:b/>
          <w:smallCaps/>
          <w:sz w:val="22"/>
        </w:rPr>
      </w:pPr>
      <w:r>
        <w:rPr>
          <w:rFonts w:ascii="Times New Roman;serif" w:hAnsi="Times New Roman;serif"/>
          <w:b/>
          <w:smallCaps/>
          <w:sz w:val="22"/>
        </w:rPr>
        <w:t>COMPANY:</w:t>
      </w:r>
    </w:p>
    <w:p>
      <w:pPr>
        <w:pStyle w:val="TextBody"/>
        <w:bidi w:val="0"/>
        <w:spacing w:before="0" w:after="240"/>
        <w:jc w:val="left"/>
        <w:rPr>
          <w:rFonts w:ascii="Times New Roman;serif" w:hAnsi="Times New Roman;serif"/>
          <w:b/>
          <w:smallCaps/>
          <w:sz w:val="22"/>
        </w:rPr>
      </w:pPr>
      <w:r>
        <w:rPr>
          <w:rFonts w:ascii="Times New Roman;serif" w:hAnsi="Times New Roman;serif"/>
          <w:b/>
          <w:smallCaps/>
          <w:sz w:val="22"/>
        </w:rPr>
        <w:t>Invivyd, inc.</w:t>
      </w:r>
    </w:p>
    <w:p>
      <w:pPr>
        <w:pStyle w:val="TextBody"/>
        <w:bidi w:val="0"/>
        <w:spacing w:before="0" w:after="240"/>
        <w:jc w:val="left"/>
        <w:rPr>
          <w:rFonts w:ascii="Times New Roman" w:hAnsi="Times New Roman"/>
          <w:sz w:val="20"/>
        </w:rPr>
      </w:pPr>
      <w:r>
        <w:rPr>
          <w:rFonts w:ascii="Times New Roman;serif" w:hAnsi="Times New Roman;serif"/>
          <w:b w:val="false"/>
          <w:sz w:val="22"/>
        </w:rPr>
        <w:t>By:</w:t>
      </w:r>
      <w:r>
        <w:rPr>
          <w:rFonts w:ascii="Times New Roman" w:hAnsi="Times New Roman"/>
          <w:sz w:val="20"/>
          <w:u w:val="single"/>
        </w:rPr>
        <w:t xml:space="preserve"> </w:t>
      </w:r>
      <w:r>
        <w:rPr>
          <w:rFonts w:ascii="Times New Roman;serif" w:hAnsi="Times New Roman;serif"/>
          <w:b w:val="false"/>
          <w:sz w:val="22"/>
          <w:u w:val="single"/>
        </w:rPr>
        <w:t xml:space="preserve">David Hering </w:t>
      </w:r>
    </w:p>
    <w:p>
      <w:pPr>
        <w:pStyle w:val="TextBody"/>
        <w:bidi w:val="0"/>
        <w:spacing w:before="0" w:after="240"/>
        <w:jc w:val="both"/>
        <w:rPr>
          <w:rFonts w:ascii="Times New Roman" w:hAnsi="Times New Roman"/>
          <w:sz w:val="20"/>
        </w:rPr>
      </w:pPr>
      <w:r>
        <w:rPr>
          <w:rFonts w:ascii="Times New Roman;serif" w:hAnsi="Times New Roman;serif"/>
          <w:b w:val="false"/>
          <w:sz w:val="22"/>
        </w:rPr>
        <w:t>Name:</w:t>
      </w:r>
      <w:r>
        <w:rPr>
          <w:rFonts w:ascii="Times New Roman" w:hAnsi="Times New Roman"/>
          <w:sz w:val="20"/>
          <w:u w:val="single"/>
        </w:rPr>
        <w:t xml:space="preserve"> </w:t>
      </w:r>
      <w:r>
        <w:rPr>
          <w:rFonts w:ascii="Times New Roman;serif" w:hAnsi="Times New Roman;serif"/>
          <w:b w:val="false"/>
          <w:sz w:val="22"/>
          <w:u w:val="single"/>
        </w:rPr>
        <w:t xml:space="preserve">/s/ David Hering </w:t>
      </w:r>
    </w:p>
    <w:p>
      <w:pPr>
        <w:pStyle w:val="TextBody"/>
        <w:bidi w:val="0"/>
        <w:spacing w:before="0" w:after="240"/>
        <w:jc w:val="both"/>
        <w:rPr>
          <w:rFonts w:ascii="Times New Roman" w:hAnsi="Times New Roman"/>
          <w:sz w:val="20"/>
        </w:rPr>
      </w:pPr>
      <w:r>
        <w:rPr>
          <w:rFonts w:ascii="Times New Roman;serif" w:hAnsi="Times New Roman;serif"/>
          <w:b w:val="false"/>
          <w:sz w:val="22"/>
        </w:rPr>
        <w:t>Title:</w:t>
      </w:r>
      <w:r>
        <w:rPr>
          <w:rFonts w:ascii="Times New Roman" w:hAnsi="Times New Roman"/>
          <w:sz w:val="20"/>
          <w:u w:val="single"/>
        </w:rPr>
        <w:t xml:space="preserve"> </w:t>
      </w:r>
      <w:r>
        <w:rPr>
          <w:rFonts w:ascii="Times New Roman;serif" w:hAnsi="Times New Roman;serif"/>
          <w:b w:val="false"/>
          <w:sz w:val="22"/>
          <w:u w:val="single"/>
        </w:rPr>
        <w:t xml:space="preserve">CEO </w:t>
      </w:r>
    </w:p>
    <w:p>
      <w:pPr>
        <w:pStyle w:val="TextBody"/>
        <w:bidi w:val="0"/>
        <w:spacing w:before="0" w:after="240"/>
        <w:jc w:val="both"/>
        <w:rPr/>
      </w:pPr>
      <w:r>
        <w:rPr/>
        <w:t> </w:t>
      </w:r>
    </w:p>
    <w:p>
      <w:pPr>
        <w:pStyle w:val="TextBody"/>
        <w:bidi w:val="0"/>
        <w:spacing w:before="0" w:after="240"/>
        <w:jc w:val="both"/>
        <w:rPr>
          <w:rFonts w:ascii="Times New Roman;serif" w:hAnsi="Times New Roman;serif"/>
          <w:b/>
          <w:smallCaps/>
          <w:sz w:val="22"/>
        </w:rPr>
      </w:pPr>
      <w:r>
        <w:rPr>
          <w:rFonts w:ascii="Times New Roman;serif" w:hAnsi="Times New Roman;serif"/>
          <w:b/>
          <w:smallCaps/>
          <w:sz w:val="22"/>
        </w:rPr>
        <w:t>CONSULTANT: RDBio Consulting LLC</w:t>
      </w:r>
    </w:p>
    <w:p>
      <w:pPr>
        <w:pStyle w:val="TextBody"/>
        <w:bidi w:val="0"/>
        <w:spacing w:before="0" w:after="240"/>
        <w:jc w:val="both"/>
        <w:rPr>
          <w:rFonts w:ascii="Times New Roman" w:hAnsi="Times New Roman"/>
          <w:sz w:val="20"/>
        </w:rPr>
      </w:pPr>
      <w:r>
        <w:rPr>
          <w:rFonts w:ascii="Times New Roman;serif" w:hAnsi="Times New Roman;serif"/>
          <w:b w:val="false"/>
          <w:sz w:val="22"/>
        </w:rPr>
        <w:t>By:</w:t>
      </w:r>
      <w:r>
        <w:rPr>
          <w:rFonts w:ascii="Times New Roman" w:hAnsi="Times New Roman"/>
          <w:sz w:val="20"/>
          <w:u w:val="single"/>
        </w:rPr>
        <w:t xml:space="preserve"> </w:t>
      </w:r>
      <w:r>
        <w:rPr>
          <w:rFonts w:ascii="Times New Roman;serif" w:hAnsi="Times New Roman;serif"/>
          <w:b w:val="false"/>
          <w:sz w:val="22"/>
          <w:u w:val="single"/>
        </w:rPr>
        <w:t xml:space="preserve">/s/ Rebecca Dabora </w:t>
      </w:r>
    </w:p>
    <w:p>
      <w:pPr>
        <w:pStyle w:val="TextBody"/>
        <w:bidi w:val="0"/>
        <w:spacing w:before="0" w:after="240"/>
        <w:jc w:val="both"/>
        <w:rPr>
          <w:rFonts w:ascii="Times New Roman" w:hAnsi="Times New Roman"/>
          <w:sz w:val="20"/>
        </w:rPr>
      </w:pPr>
      <w:r>
        <w:rPr>
          <w:rFonts w:ascii="Times New Roman;serif" w:hAnsi="Times New Roman;serif"/>
          <w:b w:val="false"/>
          <w:sz w:val="22"/>
        </w:rPr>
        <w:t>Name:</w:t>
      </w:r>
      <w:r>
        <w:rPr>
          <w:rFonts w:ascii="Times New Roman" w:hAnsi="Times New Roman"/>
          <w:sz w:val="20"/>
          <w:u w:val="single"/>
        </w:rPr>
        <w:t xml:space="preserve"> </w:t>
      </w:r>
      <w:r>
        <w:rPr>
          <w:rFonts w:ascii="Times New Roman;serif" w:hAnsi="Times New Roman;serif"/>
          <w:b w:val="false"/>
          <w:sz w:val="22"/>
          <w:u w:val="single"/>
        </w:rPr>
        <w:t xml:space="preserve">Rebecca Dabora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serif" w:hAnsi="Times New Roman;serif"/>
          <w:b/>
          <w:sz w:val="22"/>
          <w:u w:val="single"/>
        </w:rPr>
      </w:pPr>
      <w:r>
        <w:rPr>
          <w:rFonts w:ascii="Times New Roman;serif" w:hAnsi="Times New Roman;serif"/>
          <w:b/>
          <w:sz w:val="22"/>
          <w:u w:val="single"/>
        </w:rPr>
        <w:t>EXHIBIT A</w:t>
      </w:r>
    </w:p>
    <w:p>
      <w:pPr>
        <w:pStyle w:val="TextBody"/>
        <w:bidi w:val="0"/>
        <w:spacing w:before="0" w:after="240"/>
        <w:jc w:val="center"/>
        <w:rPr>
          <w:rFonts w:ascii="Times New Roman;serif" w:hAnsi="Times New Roman;serif"/>
          <w:b/>
          <w:sz w:val="22"/>
        </w:rPr>
      </w:pPr>
      <w:r>
        <w:rPr>
          <w:rFonts w:ascii="Times New Roman;serif" w:hAnsi="Times New Roman;serif"/>
          <w:b/>
          <w:sz w:val="22"/>
        </w:rPr>
        <w:t>STATEMENT OF WORK #1</w:t>
      </w:r>
    </w:p>
    <w:p>
      <w:pPr>
        <w:pStyle w:val="TextBody"/>
        <w:bidi w:val="0"/>
        <w:spacing w:before="0" w:after="240"/>
        <w:jc w:val="left"/>
        <w:rPr>
          <w:rFonts w:ascii="Times New Roman" w:hAnsi="Times New Roman"/>
          <w:sz w:val="20"/>
        </w:rPr>
      </w:pPr>
      <w:r>
        <w:rPr>
          <w:rFonts w:ascii="Times New Roman;serif" w:hAnsi="Times New Roman;serif"/>
          <w:b w:val="false"/>
          <w:sz w:val="22"/>
        </w:rPr>
        <w:t>This Statement of Work #1 (“</w:t>
      </w:r>
      <w:r>
        <w:rPr>
          <w:rFonts w:ascii="Times New Roman;serif" w:hAnsi="Times New Roman;serif"/>
          <w:b w:val="false"/>
          <w:sz w:val="22"/>
          <w:u w:val="single"/>
        </w:rPr>
        <w:t>SOW #1</w:t>
      </w:r>
      <w:r>
        <w:rPr>
          <w:rFonts w:ascii="Times New Roman" w:hAnsi="Times New Roman"/>
          <w:sz w:val="20"/>
        </w:rPr>
        <w:t>”</w:t>
      </w:r>
      <w:r>
        <w:rPr>
          <w:rFonts w:ascii="Times New Roman;serif" w:hAnsi="Times New Roman;serif"/>
          <w:b w:val="false"/>
          <w:sz w:val="22"/>
        </w:rPr>
        <w:t>), effective as of February 4, 2023 (the “</w:t>
      </w:r>
      <w:r>
        <w:rPr>
          <w:rFonts w:ascii="Times New Roman;serif" w:hAnsi="Times New Roman;serif"/>
          <w:b w:val="false"/>
          <w:sz w:val="22"/>
          <w:u w:val="single"/>
        </w:rPr>
        <w:t>Effective Date</w:t>
      </w:r>
      <w:r>
        <w:rPr>
          <w:rFonts w:ascii="Times New Roman" w:hAnsi="Times New Roman"/>
          <w:sz w:val="20"/>
        </w:rPr>
        <w:t>”</w:t>
      </w:r>
      <w:r>
        <w:rPr>
          <w:rFonts w:ascii="Times New Roman;serif" w:hAnsi="Times New Roman;serif"/>
          <w:b w:val="false"/>
          <w:sz w:val="22"/>
        </w:rPr>
        <w:t xml:space="preserve">), is made by and between </w:t>
      </w:r>
      <w:r>
        <w:rPr>
          <w:rFonts w:ascii="Times New Roman;serif" w:hAnsi="Times New Roman;serif"/>
          <w:b/>
          <w:sz w:val="22"/>
        </w:rPr>
        <w:t>INVIVYD, INC.</w:t>
      </w:r>
      <w:r>
        <w:rPr>
          <w:rFonts w:ascii="Times New Roman;serif" w:hAnsi="Times New Roman;serif"/>
          <w:b w:val="false"/>
          <w:sz w:val="22"/>
        </w:rPr>
        <w:t>, a Delaware corporation and its successors or assignees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 and RDBio Consulting LLC</w:t>
      </w:r>
      <w:r>
        <w:rPr>
          <w:rFonts w:ascii="Times New Roman" w:hAnsi="Times New Roman"/>
          <w:smallCaps/>
          <w:sz w:val="20"/>
        </w:rPr>
        <w:t xml:space="preserve"> </w:t>
      </w:r>
      <w:r>
        <w:rPr>
          <w:rFonts w:ascii="Times New Roman;serif" w:hAnsi="Times New Roman;serif"/>
          <w:b w:val="false"/>
          <w:smallCaps/>
          <w:sz w:val="22"/>
        </w:rPr>
        <w:t>(“</w:t>
      </w:r>
      <w:r>
        <w:rPr>
          <w:rFonts w:ascii="Times New Roman;serif" w:hAnsi="Times New Roman;serif"/>
          <w:b w:val="false"/>
          <w:sz w:val="22"/>
          <w:u w:val="single"/>
        </w:rPr>
        <w:t>Consultant</w:t>
      </w:r>
      <w:r>
        <w:rPr>
          <w:rFonts w:ascii="Times New Roman" w:hAnsi="Times New Roman"/>
          <w:sz w:val="20"/>
        </w:rPr>
        <w:t>”</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Consultant and Company are parties to that certain Consulting Services Agreement, effective as of February 4, 2023 (the “</w:t>
      </w:r>
      <w:r>
        <w:rPr>
          <w:rFonts w:ascii="Times New Roman;serif" w:hAnsi="Times New Roman;serif"/>
          <w:b w:val="false"/>
          <w:sz w:val="22"/>
          <w:u w:val="single"/>
        </w:rPr>
        <w:t>Agreement</w:t>
      </w:r>
      <w:r>
        <w:rPr>
          <w:rFonts w:ascii="Times New Roman" w:hAnsi="Times New Roman"/>
          <w:sz w:val="20"/>
        </w:rPr>
        <w:t>”</w:t>
      </w:r>
      <w:r>
        <w:rPr>
          <w:rFonts w:ascii="Times New Roman;serif" w:hAnsi="Times New Roman;serif"/>
          <w:b w:val="false"/>
          <w:sz w:val="22"/>
        </w:rPr>
        <w:t>). Consultant shall perform for Company the services specifically described herein (the “</w:t>
      </w:r>
      <w:r>
        <w:rPr>
          <w:rFonts w:ascii="Times New Roman;serif" w:hAnsi="Times New Roman;serif"/>
          <w:b w:val="false"/>
          <w:sz w:val="22"/>
          <w:u w:val="single"/>
        </w:rPr>
        <w:t>Services</w:t>
      </w:r>
      <w:r>
        <w:rPr>
          <w:rFonts w:ascii="Times New Roman" w:hAnsi="Times New Roman"/>
          <w:sz w:val="20"/>
        </w:rPr>
        <w:t>”</w:t>
      </w:r>
      <w:r>
        <w:rPr>
          <w:rFonts w:ascii="Times New Roman;serif" w:hAnsi="Times New Roman;serif"/>
          <w:b w:val="false"/>
          <w:sz w:val="22"/>
        </w:rPr>
        <w:t>). This SOW #1 is incorporated into the Agreement and expressly made a part thereof and, thus, subject to the terms and conditions of the Agreement.</w:t>
      </w:r>
    </w:p>
    <w:p>
      <w:pPr>
        <w:pStyle w:val="TextBody"/>
        <w:bidi w:val="0"/>
        <w:spacing w:before="0" w:after="240"/>
        <w:jc w:val="both"/>
        <w:rPr>
          <w:rFonts w:ascii="Times New Roman;serif" w:hAnsi="Times New Roman;serif"/>
          <w:b/>
          <w:sz w:val="22"/>
          <w:u w:val="single"/>
        </w:rPr>
      </w:pPr>
      <w:r>
        <w:rPr>
          <w:rFonts w:ascii="Times New Roman;serif" w:hAnsi="Times New Roman;serif"/>
          <w:b/>
          <w:sz w:val="22"/>
          <w:u w:val="single"/>
        </w:rPr>
        <w:t>SERVICES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Consulting services with respect to chemistry, manufacturing and controls and general issues related to Invivyd’s products, including participating in discussions with and about contract manufacturing organizations and regulatory agencies. Providing services as an officer of the Company is outside the scope of the services under this Agreement.</w:t>
      </w:r>
    </w:p>
    <w:p>
      <w:pPr>
        <w:pStyle w:val="TextBody"/>
        <w:bidi w:val="0"/>
        <w:spacing w:before="0" w:after="240"/>
        <w:jc w:val="both"/>
        <w:rPr>
          <w:rFonts w:ascii="Times New Roman;serif" w:hAnsi="Times New Roman;serif"/>
          <w:b/>
          <w:sz w:val="22"/>
          <w:u w:val="single"/>
        </w:rPr>
      </w:pPr>
      <w:r>
        <w:rPr>
          <w:rFonts w:ascii="Times New Roman;serif" w:hAnsi="Times New Roman;serif"/>
          <w:b/>
          <w:sz w:val="22"/>
          <w:u w:val="single"/>
        </w:rPr>
        <w:t>FEES</w:t>
      </w:r>
    </w:p>
    <w:p>
      <w:pPr>
        <w:pStyle w:val="TextBody"/>
        <w:bidi w:val="0"/>
        <w:spacing w:before="0" w:after="240"/>
        <w:jc w:val="both"/>
        <w:rPr>
          <w:rFonts w:ascii="Times New Roman" w:hAnsi="Times New Roman"/>
          <w:sz w:val="20"/>
        </w:rPr>
      </w:pPr>
      <w:r>
        <w:rPr>
          <w:rFonts w:ascii="Times New Roman;serif" w:hAnsi="Times New Roman;serif"/>
          <w:b/>
          <w:i/>
          <w:sz w:val="22"/>
        </w:rPr>
        <w:t>Cash Fee</w:t>
      </w:r>
      <w:r>
        <w:rPr>
          <w:rFonts w:ascii="Times New Roman;serif" w:hAnsi="Times New Roman;serif"/>
          <w:b w:val="false"/>
          <w:sz w:val="22"/>
        </w:rPr>
        <w:t>: Consultant’s hourly fee for the Services provided under this SOW #1 shall be $450 per hour, with the total daily fees to be paid to Consultant under this SOW #1 not to exceed $3,600.</w:t>
      </w:r>
    </w:p>
    <w:p>
      <w:pPr>
        <w:pStyle w:val="TextBody"/>
        <w:bidi w:val="0"/>
        <w:spacing w:before="0" w:after="240"/>
        <w:jc w:val="both"/>
        <w:rPr>
          <w:rFonts w:ascii="Times New Roman" w:hAnsi="Times New Roman"/>
          <w:sz w:val="20"/>
        </w:rPr>
      </w:pPr>
      <w:r>
        <w:rPr>
          <w:rFonts w:ascii="Times New Roman;serif" w:hAnsi="Times New Roman;serif"/>
          <w:b/>
          <w:i/>
          <w:sz w:val="22"/>
        </w:rPr>
        <w:t>Reimbursements</w:t>
      </w:r>
      <w:r>
        <w:rPr>
          <w:rFonts w:ascii="Times New Roman;serif" w:hAnsi="Times New Roman;serif"/>
          <w:b w:val="false"/>
          <w:sz w:val="22"/>
        </w:rPr>
        <w:t>: Consultant shall submit an invoice to Company related to the Services provided to Company and any appropriate, reimbursable expenses. Company will issue payment for the invoice within forty-five (45) days of receipt of an invoice. All invoices shall be submitted and paid in accordance with Section 2.3 of the Agreement.</w:t>
      </w:r>
    </w:p>
    <w:p>
      <w:pPr>
        <w:pStyle w:val="TextBody"/>
        <w:bidi w:val="0"/>
        <w:spacing w:before="0" w:after="240"/>
        <w:jc w:val="center"/>
        <w:rPr>
          <w:rFonts w:ascii="Times New Roman;serif" w:hAnsi="Times New Roman;serif"/>
          <w:b w:val="false"/>
          <w:i/>
          <w:sz w:val="22"/>
        </w:rPr>
      </w:pPr>
      <w:r>
        <w:rPr>
          <w:rFonts w:ascii="Times New Roman;serif" w:hAnsi="Times New Roman;serif"/>
          <w:b w:val="false"/>
          <w:i/>
          <w:sz w:val="22"/>
        </w:rPr>
        <w:t>[Signature page follows]</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smallCaps/>
          <w:sz w:val="22"/>
        </w:rPr>
        <w:t>In Witness Whereof</w:t>
      </w:r>
      <w:r>
        <w:rPr>
          <w:rFonts w:ascii="Times New Roman;serif" w:hAnsi="Times New Roman;serif"/>
          <w:b w:val="false"/>
          <w:smallCaps/>
          <w:sz w:val="22"/>
        </w:rPr>
        <w:t>,</w:t>
      </w:r>
      <w:r>
        <w:rPr>
          <w:rFonts w:ascii="Times New Roman" w:hAnsi="Times New Roman"/>
          <w:sz w:val="20"/>
        </w:rPr>
        <w:t xml:space="preserve"> </w:t>
      </w:r>
      <w:r>
        <w:rPr>
          <w:rFonts w:ascii="Times New Roman;serif" w:hAnsi="Times New Roman;serif"/>
          <w:b w:val="false"/>
          <w:sz w:val="22"/>
        </w:rPr>
        <w:t>the parties have caused this Statement of Work #1 to be executed by their duly authorized representative.</w:t>
      </w:r>
    </w:p>
    <w:p>
      <w:pPr>
        <w:pStyle w:val="TextBody"/>
        <w:bidi w:val="0"/>
        <w:spacing w:before="0" w:after="240"/>
        <w:jc w:val="both"/>
        <w:rPr/>
      </w:pPr>
      <w:r>
        <w:rPr/>
        <w:t> </w:t>
      </w:r>
    </w:p>
    <w:p>
      <w:pPr>
        <w:pStyle w:val="TextBody"/>
        <w:bidi w:val="0"/>
        <w:spacing w:before="0" w:after="240"/>
        <w:jc w:val="both"/>
        <w:rPr>
          <w:rFonts w:ascii="Times New Roman;serif" w:hAnsi="Times New Roman;serif"/>
          <w:b/>
          <w:smallCaps/>
          <w:sz w:val="22"/>
        </w:rPr>
      </w:pPr>
      <w:r>
        <w:rPr>
          <w:rFonts w:ascii="Times New Roman;serif" w:hAnsi="Times New Roman;serif"/>
          <w:b/>
          <w:smallCaps/>
          <w:sz w:val="22"/>
        </w:rPr>
        <w:t>COMPANY:</w:t>
      </w:r>
    </w:p>
    <w:p>
      <w:pPr>
        <w:pStyle w:val="TextBody"/>
        <w:bidi w:val="0"/>
        <w:spacing w:before="0" w:after="240"/>
        <w:jc w:val="left"/>
        <w:rPr>
          <w:rFonts w:ascii="Times New Roman;serif" w:hAnsi="Times New Roman;serif"/>
          <w:b/>
          <w:smallCaps/>
          <w:sz w:val="22"/>
        </w:rPr>
      </w:pPr>
      <w:r>
        <w:rPr>
          <w:rFonts w:ascii="Times New Roman;serif" w:hAnsi="Times New Roman;serif"/>
          <w:b/>
          <w:smallCaps/>
          <w:sz w:val="22"/>
        </w:rPr>
        <w:t>invivyd, inc.</w:t>
      </w:r>
    </w:p>
    <w:p>
      <w:pPr>
        <w:pStyle w:val="TextBody"/>
        <w:bidi w:val="0"/>
        <w:spacing w:before="0" w:after="240"/>
        <w:jc w:val="both"/>
        <w:rPr>
          <w:rFonts w:ascii="Times New Roman" w:hAnsi="Times New Roman"/>
          <w:sz w:val="20"/>
        </w:rPr>
      </w:pPr>
      <w:r>
        <w:rPr>
          <w:rFonts w:ascii="Times New Roman;serif" w:hAnsi="Times New Roman;serif"/>
          <w:b w:val="false"/>
          <w:sz w:val="22"/>
        </w:rPr>
        <w:t>By:</w:t>
      </w:r>
      <w:r>
        <w:rPr>
          <w:rFonts w:ascii="Times New Roman" w:hAnsi="Times New Roman"/>
          <w:sz w:val="20"/>
          <w:u w:val="single"/>
        </w:rPr>
        <w:t xml:space="preserve"> </w:t>
      </w:r>
      <w:r>
        <w:rPr>
          <w:rFonts w:ascii="Times New Roman;serif" w:hAnsi="Times New Roman;serif"/>
          <w:b w:val="false"/>
          <w:sz w:val="22"/>
          <w:u w:val="single"/>
        </w:rPr>
        <w:t xml:space="preserve">/s/ David Hering </w:t>
      </w:r>
    </w:p>
    <w:p>
      <w:pPr>
        <w:pStyle w:val="TextBody"/>
        <w:bidi w:val="0"/>
        <w:spacing w:before="0" w:after="240"/>
        <w:jc w:val="both"/>
        <w:rPr>
          <w:rFonts w:ascii="Times New Roman" w:hAnsi="Times New Roman"/>
          <w:sz w:val="20"/>
        </w:rPr>
      </w:pPr>
      <w:r>
        <w:rPr>
          <w:rFonts w:ascii="Times New Roman;serif" w:hAnsi="Times New Roman;serif"/>
          <w:b w:val="false"/>
          <w:sz w:val="22"/>
        </w:rPr>
        <w:t>Name:</w:t>
      </w:r>
      <w:r>
        <w:rPr>
          <w:rFonts w:ascii="Times New Roman" w:hAnsi="Times New Roman"/>
          <w:sz w:val="20"/>
          <w:u w:val="single"/>
        </w:rPr>
        <w:t xml:space="preserve"> </w:t>
      </w:r>
      <w:r>
        <w:rPr>
          <w:rFonts w:ascii="Times New Roman;serif" w:hAnsi="Times New Roman;serif"/>
          <w:b w:val="false"/>
          <w:sz w:val="22"/>
          <w:u w:val="single"/>
        </w:rPr>
        <w:t xml:space="preserve">David Hering </w:t>
      </w:r>
    </w:p>
    <w:p>
      <w:pPr>
        <w:pStyle w:val="TextBody"/>
        <w:bidi w:val="0"/>
        <w:spacing w:before="0" w:after="240"/>
        <w:jc w:val="both"/>
        <w:rPr>
          <w:rFonts w:ascii="Times New Roman" w:hAnsi="Times New Roman"/>
          <w:sz w:val="20"/>
        </w:rPr>
      </w:pPr>
      <w:r>
        <w:rPr>
          <w:rFonts w:ascii="Times New Roman;serif" w:hAnsi="Times New Roman;serif"/>
          <w:b w:val="false"/>
          <w:sz w:val="22"/>
        </w:rPr>
        <w:t>Title:</w:t>
      </w:r>
      <w:r>
        <w:rPr>
          <w:rFonts w:ascii="Times New Roman" w:hAnsi="Times New Roman"/>
          <w:sz w:val="20"/>
          <w:u w:val="single"/>
        </w:rPr>
        <w:t xml:space="preserve"> </w:t>
      </w:r>
      <w:r>
        <w:rPr>
          <w:rFonts w:ascii="Times New Roman;serif" w:hAnsi="Times New Roman;serif"/>
          <w:b w:val="false"/>
          <w:sz w:val="22"/>
          <w:u w:val="single"/>
        </w:rPr>
        <w:t>CEO</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serif" w:hAnsi="Times New Roman;serif"/>
          <w:b/>
          <w:smallCaps/>
          <w:sz w:val="22"/>
        </w:rPr>
        <w:t>CONSULTANT:</w:t>
      </w:r>
      <w:r>
        <w:rPr>
          <w:rFonts w:ascii="Times New Roman" w:hAnsi="Times New Roman"/>
          <w:smallCaps/>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RDBio Consulting LLC</w:t>
      </w:r>
    </w:p>
    <w:p>
      <w:pPr>
        <w:pStyle w:val="TextBody"/>
        <w:bidi w:val="0"/>
        <w:spacing w:before="0" w:after="240"/>
        <w:jc w:val="both"/>
        <w:rPr>
          <w:rFonts w:ascii="Times New Roman" w:hAnsi="Times New Roman"/>
          <w:sz w:val="20"/>
        </w:rPr>
      </w:pPr>
      <w:r>
        <w:rPr>
          <w:rFonts w:ascii="Times New Roman;serif" w:hAnsi="Times New Roman;serif"/>
          <w:b w:val="false"/>
          <w:sz w:val="22"/>
        </w:rPr>
        <w:t>By:</w:t>
      </w:r>
      <w:r>
        <w:rPr>
          <w:rFonts w:ascii="Times New Roman" w:hAnsi="Times New Roman"/>
          <w:sz w:val="20"/>
          <w:u w:val="single"/>
        </w:rPr>
        <w:t xml:space="preserve"> </w:t>
      </w:r>
      <w:r>
        <w:rPr>
          <w:rFonts w:ascii="Times New Roman;serif" w:hAnsi="Times New Roman;serif"/>
          <w:b w:val="false"/>
          <w:sz w:val="22"/>
          <w:u w:val="single"/>
        </w:rPr>
        <w:t xml:space="preserve">/s/ Rebecca Dabora </w:t>
      </w:r>
    </w:p>
    <w:p>
      <w:pPr>
        <w:pStyle w:val="TextBody"/>
        <w:bidi w:val="0"/>
        <w:spacing w:before="0" w:after="240"/>
        <w:jc w:val="both"/>
        <w:rPr>
          <w:rFonts w:ascii="Times New Roman" w:hAnsi="Times New Roman"/>
          <w:sz w:val="20"/>
        </w:rPr>
      </w:pPr>
      <w:r>
        <w:rPr>
          <w:rFonts w:ascii="Times New Roman;serif" w:hAnsi="Times New Roman;serif"/>
          <w:b w:val="false"/>
          <w:sz w:val="22"/>
        </w:rPr>
        <w:t>Name:</w:t>
      </w:r>
      <w:r>
        <w:rPr>
          <w:rFonts w:ascii="Times New Roman" w:hAnsi="Times New Roman"/>
          <w:sz w:val="20"/>
          <w:u w:val="single"/>
        </w:rPr>
        <w:t xml:space="preserve"> </w:t>
      </w:r>
      <w:r>
        <w:rPr>
          <w:rFonts w:ascii="Times New Roman;serif" w:hAnsi="Times New Roman;serif"/>
          <w:b w:val="false"/>
          <w:sz w:val="22"/>
          <w:u w:val="single"/>
        </w:rPr>
        <w:t xml:space="preserve">Rebecca Dabora </w:t>
      </w:r>
    </w:p>
    <w:p>
      <w:pPr>
        <w:pStyle w:val="TextBody"/>
        <w:bidi w:val="0"/>
        <w:spacing w:before="0" w:after="240"/>
        <w:jc w:val="both"/>
        <w:rPr/>
      </w:pPr>
      <w:r>
        <w:rPr/>
        <w:t> </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2"/>
        </w:rPr>
      </w:pPr>
      <w:r>
        <w:rPr>
          <w:rFonts w:ascii="Times New Roman;serif" w:hAnsi="Times New Roman;serif"/>
          <w:b/>
          <w:sz w:val="22"/>
        </w:rPr>
        <w:t>Exhibit B</w:t>
      </w:r>
    </w:p>
    <w:p>
      <w:pPr>
        <w:pStyle w:val="TextBody"/>
        <w:bidi w:val="0"/>
        <w:spacing w:before="0" w:after="0"/>
        <w:jc w:val="left"/>
        <w:rPr>
          <w:rFonts w:ascii="Times New Roman;serif" w:hAnsi="Times New Roman;serif"/>
          <w:b/>
          <w:smallCaps/>
          <w:sz w:val="22"/>
        </w:rPr>
      </w:pPr>
      <w:r>
        <w:rPr>
          <w:rFonts w:ascii="Times New Roman;serif" w:hAnsi="Times New Roman;serif"/>
          <w:b/>
          <w:smallCaps/>
          <w:sz w:val="22"/>
        </w:rPr>
        <w:t>Waiver and General Release of Claims</w:t>
      </w:r>
    </w:p>
    <w:p>
      <w:pPr>
        <w:pStyle w:val="TextBody"/>
        <w:bidi w:val="0"/>
        <w:spacing w:before="0" w:after="0"/>
        <w:jc w:val="center"/>
        <w:rPr/>
      </w:pPr>
      <w:r>
        <w:rPr/>
        <w:t> </w:t>
      </w:r>
    </w:p>
    <w:p>
      <w:pPr>
        <w:pStyle w:val="TextBody"/>
        <w:bidi w:val="0"/>
        <w:spacing w:before="0" w:after="0"/>
        <w:jc w:val="both"/>
        <w:rPr>
          <w:rFonts w:ascii="Times New Roman" w:hAnsi="Times New Roman"/>
          <w:sz w:val="20"/>
        </w:rPr>
      </w:pPr>
      <w:r>
        <w:rPr>
          <w:rFonts w:ascii="Times New Roman;serif" w:hAnsi="Times New Roman;serif"/>
          <w:b/>
          <w:smallCaps/>
          <w:sz w:val="22"/>
        </w:rPr>
        <w:t>This General Release of Claims Agreement</w:t>
      </w:r>
      <w:r>
        <w:rPr>
          <w:rFonts w:ascii="Times New Roman" w:hAnsi="Times New Roman"/>
          <w:sz w:val="20"/>
        </w:rPr>
        <w:t xml:space="preserve"> </w:t>
      </w:r>
      <w:r>
        <w:rPr>
          <w:rFonts w:ascii="Times New Roman;serif" w:hAnsi="Times New Roman;serif"/>
          <w:b w:val="false"/>
          <w:sz w:val="22"/>
        </w:rPr>
        <w:t>(this</w:t>
      </w:r>
      <w:r>
        <w:rPr>
          <w:rFonts w:ascii="Times New Roman" w:hAnsi="Times New Roman"/>
          <w:sz w:val="20"/>
        </w:rPr>
        <w:t xml:space="preserve"> “</w:t>
      </w:r>
      <w:r>
        <w:rPr>
          <w:rFonts w:ascii="Times New Roman;serif" w:hAnsi="Times New Roman;serif"/>
          <w:b w:val="false"/>
          <w:sz w:val="22"/>
          <w:u w:val="single"/>
        </w:rPr>
        <w:t>Release Agreement</w:t>
      </w:r>
      <w:r>
        <w:rPr>
          <w:rFonts w:ascii="Times New Roman" w:hAnsi="Times New Roman"/>
          <w:sz w:val="20"/>
        </w:rPr>
        <w:t>”</w:t>
      </w:r>
      <w:r>
        <w:rPr>
          <w:rFonts w:ascii="Times New Roman;serif" w:hAnsi="Times New Roman;serif"/>
          <w:b w:val="false"/>
          <w:sz w:val="22"/>
        </w:rPr>
        <w:t xml:space="preserve">) is between </w:t>
      </w:r>
      <w:r>
        <w:rPr>
          <w:rFonts w:ascii="Times New Roman;serif" w:hAnsi="Times New Roman;serif"/>
          <w:b/>
          <w:sz w:val="22"/>
        </w:rPr>
        <w:t>INVIVYD</w:t>
      </w:r>
      <w:r>
        <w:rPr>
          <w:rFonts w:ascii="Times New Roman;serif" w:hAnsi="Times New Roman;serif"/>
          <w:b/>
          <w:smallCaps/>
          <w:sz w:val="22"/>
        </w:rPr>
        <w:t xml:space="preserve">, Inc. </w:t>
      </w:r>
      <w:r>
        <w:rPr>
          <w:rFonts w:ascii="Times New Roman;serif" w:hAnsi="Times New Roman;serif"/>
          <w:b w:val="false"/>
          <w:sz w:val="22"/>
        </w:rPr>
        <w:t>a Delaware corporation having a place of business at 1601 Trapelo Road, Suite 178, Waltham, MA 02451, and its successors or assignees (“</w:t>
      </w:r>
      <w:r>
        <w:rPr>
          <w:rFonts w:ascii="Times New Roman;serif" w:hAnsi="Times New Roman;serif"/>
          <w:b w:val="false"/>
          <w:sz w:val="22"/>
          <w:u w:val="single"/>
        </w:rPr>
        <w:t>Invivyd</w:t>
      </w:r>
      <w:r>
        <w:rPr>
          <w:rFonts w:ascii="Times New Roman" w:hAnsi="Times New Roman"/>
          <w:sz w:val="20"/>
        </w:rPr>
        <w:t xml:space="preserve">” </w:t>
      </w:r>
      <w:r>
        <w:rPr>
          <w:rFonts w:ascii="Times New Roman;serif" w:hAnsi="Times New Roman;serif"/>
          <w:b w:val="false"/>
          <w:sz w:val="22"/>
        </w:rPr>
        <w:t>or the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 and Rebecca Dabora, having a place of business at [***] (</w:t>
      </w:r>
      <w:r>
        <w:rPr>
          <w:rFonts w:ascii="Times New Roman" w:hAnsi="Times New Roman"/>
          <w:smallCaps/>
          <w:sz w:val="20"/>
        </w:rPr>
        <w:t>“</w:t>
      </w:r>
      <w:r>
        <w:rPr>
          <w:rFonts w:ascii="Times New Roman;serif" w:hAnsi="Times New Roman;serif"/>
          <w:b w:val="false"/>
          <w:sz w:val="22"/>
          <w:u w:val="single"/>
        </w:rPr>
        <w:t>Consultant</w:t>
      </w:r>
      <w:r>
        <w:rPr>
          <w:rFonts w:ascii="Times New Roman" w:hAnsi="Times New Roman"/>
          <w:sz w:val="20"/>
        </w:rPr>
        <w:t xml:space="preserve">” </w:t>
      </w:r>
      <w:r>
        <w:rPr>
          <w:rFonts w:ascii="Times New Roman;serif" w:hAnsi="Times New Roman;serif"/>
          <w:b w:val="false"/>
          <w:sz w:val="22"/>
        </w:rPr>
        <w:t>or “</w:t>
      </w:r>
      <w:r>
        <w:rPr>
          <w:rFonts w:ascii="Times New Roman;serif" w:hAnsi="Times New Roman;serif"/>
          <w:b w:val="false"/>
          <w:sz w:val="22"/>
          <w:u w:val="single"/>
        </w:rPr>
        <w:t>You</w:t>
      </w:r>
      <w:r>
        <w:rPr>
          <w:rFonts w:ascii="Times New Roman" w:hAnsi="Times New Roman"/>
          <w:sz w:val="20"/>
        </w:rPr>
        <w:t>”</w:t>
      </w:r>
      <w:r>
        <w:rPr>
          <w:rFonts w:ascii="Times New Roman;serif" w:hAnsi="Times New Roman;serif"/>
          <w:b w:val="false"/>
          <w:sz w:val="22"/>
        </w:rPr>
        <w:t>).</w:t>
      </w:r>
    </w:p>
    <w:p>
      <w:pPr>
        <w:pStyle w:val="TextBody"/>
        <w:bidi w:val="0"/>
        <w:spacing w:before="0" w:after="0"/>
        <w:jc w:val="left"/>
        <w:rPr/>
      </w:pPr>
      <w:r>
        <w:rPr/>
        <w:t> </w:t>
      </w:r>
    </w:p>
    <w:p>
      <w:pPr>
        <w:pStyle w:val="TextBody"/>
        <w:bidi w:val="0"/>
        <w:spacing w:before="0" w:after="240"/>
        <w:jc w:val="both"/>
        <w:rPr>
          <w:rFonts w:ascii="Times New Roman" w:hAnsi="Times New Roman"/>
          <w:b/>
          <w:sz w:val="22"/>
        </w:rPr>
      </w:pPr>
      <w:r>
        <w:rPr>
          <w:rFonts w:ascii="Times New Roman" w:hAnsi="Times New Roman"/>
          <w:b/>
          <w:sz w:val="22"/>
        </w:rPr>
        <w:t>1.</w:t>
      </w:r>
    </w:p>
    <w:p>
      <w:pPr>
        <w:pStyle w:val="TextBody"/>
        <w:bidi w:val="0"/>
        <w:spacing w:before="0" w:after="240"/>
        <w:jc w:val="both"/>
        <w:rPr/>
      </w:pPr>
      <w:r>
        <w:rPr>
          <w:rFonts w:ascii="Times New Roman;serif" w:hAnsi="Times New Roman;serif"/>
          <w:b/>
          <w:smallCaps/>
          <w:sz w:val="22"/>
        </w:rPr>
        <w:t>Partial waiver of Consultant’s existing Non-Competition and Non-Solicitation obligations</w:t>
      </w:r>
      <w:r>
        <w:rPr>
          <w:rFonts w:ascii="Times New Roman;serif" w:hAnsi="Times New Roman;serif"/>
          <w:b/>
          <w:sz w:val="22"/>
        </w:rPr>
        <w:t xml:space="preserve">. </w:t>
      </w:r>
      <w:r>
        <w:rPr>
          <w:rFonts w:ascii="Times New Roman;serif" w:hAnsi="Times New Roman;serif"/>
          <w:b w:val="false"/>
          <w:sz w:val="22"/>
        </w:rPr>
        <w:t>In exchange for executing on February 3, 2023 and not revoking this Release Agreement, the Company agrees to:</w:t>
      </w:r>
    </w:p>
    <w:p>
      <w:pPr>
        <w:pStyle w:val="TextBody"/>
        <w:bidi w:val="0"/>
        <w:spacing w:before="0" w:after="240"/>
        <w:jc w:val="both"/>
        <w:rPr>
          <w:rFonts w:ascii="Times New Roman" w:hAnsi="Times New Roman"/>
          <w:b/>
          <w:sz w:val="22"/>
        </w:rPr>
      </w:pPr>
      <w:r>
        <w:rPr>
          <w:rFonts w:ascii="Times New Roman" w:hAnsi="Times New Roman"/>
          <w:b/>
          <w:sz w:val="22"/>
        </w:rPr>
        <w:t>a.</w:t>
      </w:r>
    </w:p>
    <w:p>
      <w:pPr>
        <w:pStyle w:val="TextBody"/>
        <w:bidi w:val="0"/>
        <w:spacing w:before="0" w:after="240"/>
        <w:jc w:val="both"/>
        <w:rPr/>
      </w:pPr>
      <w:r>
        <w:rPr>
          <w:rFonts w:ascii="Times New Roman;serif" w:hAnsi="Times New Roman;serif"/>
          <w:b w:val="false"/>
          <w:sz w:val="22"/>
        </w:rPr>
        <w:t>partially release you from Section 6.1 of the Adagio Therapeutics, Inc. Employee Proprietary Information and Inventions Assignment Agreement that Consultant entered into on or about May 10, 2021 when you were an employee of the Company (“</w:t>
      </w:r>
      <w:r>
        <w:rPr>
          <w:rFonts w:ascii="Times New Roman;serif" w:hAnsi="Times New Roman;serif"/>
          <w:b w:val="false"/>
          <w:sz w:val="22"/>
          <w:u w:val="single"/>
        </w:rPr>
        <w:t>PIIA</w:t>
      </w:r>
      <w:r>
        <w:rPr/>
        <w:t>”</w:t>
      </w:r>
      <w:r>
        <w:rPr>
          <w:rFonts w:ascii="Times New Roman;serif" w:hAnsi="Times New Roman;serif"/>
          <w:b w:val="false"/>
          <w:sz w:val="22"/>
        </w:rPr>
        <w:t xml:space="preserve">) whereby you will be permitted to provide consulting services to companies engaged in the Business (as defined therein), provided that You provide prompt written notice to Invivyd of the name of any company or other entity or individual engaged in the Business by whom you are engaged to provide consulting services. For the avoidance of doubt, however, you remain restricted from becoming employed by a company engaged in the Business in the Restricted Territory (as defined therein) during the Non-Competition Restricted Period (as defined therein). </w:t>
      </w:r>
    </w:p>
    <w:p>
      <w:pPr>
        <w:pStyle w:val="TextBody"/>
        <w:bidi w:val="0"/>
        <w:spacing w:before="0" w:after="240"/>
        <w:jc w:val="both"/>
        <w:rPr>
          <w:rFonts w:ascii="Times New Roman" w:hAnsi="Times New Roman"/>
          <w:b/>
          <w:sz w:val="22"/>
        </w:rPr>
      </w:pPr>
      <w:r>
        <w:rPr>
          <w:rFonts w:ascii="Times New Roman" w:hAnsi="Times New Roman"/>
          <w:b/>
          <w:sz w:val="22"/>
        </w:rPr>
        <w:t>b.</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 xml:space="preserve">waive your obligations under Section 6.3 of the PIIA. </w:t>
      </w:r>
    </w:p>
    <w:p>
      <w:pPr>
        <w:pStyle w:val="TextBody"/>
        <w:bidi w:val="0"/>
        <w:spacing w:before="0" w:after="240"/>
        <w:jc w:val="both"/>
        <w:rPr>
          <w:rFonts w:ascii="Times New Roman" w:hAnsi="Times New Roman"/>
          <w:b/>
          <w:sz w:val="22"/>
        </w:rPr>
      </w:pPr>
      <w:r>
        <w:rPr>
          <w:rFonts w:ascii="Times New Roman" w:hAnsi="Times New Roman"/>
          <w:b/>
          <w:sz w:val="22"/>
        </w:rPr>
        <w:t>2.</w:t>
      </w:r>
    </w:p>
    <w:p>
      <w:pPr>
        <w:pStyle w:val="TextBody"/>
        <w:bidi w:val="0"/>
        <w:spacing w:before="0" w:after="240"/>
        <w:jc w:val="both"/>
        <w:rPr/>
      </w:pPr>
      <w:r>
        <w:rPr>
          <w:rFonts w:ascii="Times New Roman;serif" w:hAnsi="Times New Roman;serif"/>
          <w:b/>
          <w:smallCaps/>
          <w:sz w:val="22"/>
        </w:rPr>
        <w:t>Release</w:t>
      </w:r>
      <w:r>
        <w:rPr>
          <w:rFonts w:ascii="Times New Roman;serif" w:hAnsi="Times New Roman;serif"/>
          <w:b/>
          <w:sz w:val="22"/>
        </w:rPr>
        <w:t xml:space="preserve">. </w:t>
      </w:r>
      <w:r>
        <w:rPr>
          <w:rFonts w:ascii="Times New Roman;serif" w:hAnsi="Times New Roman;serif"/>
          <w:b w:val="false"/>
          <w:sz w:val="22"/>
        </w:rPr>
        <w:t xml:space="preserve">In consideration for (i) entering into the Consulting Services Agreement (“Agreement”); (ii) the partial waiver of your continuing obligations under the PIIA as set forth in </w:t>
      </w:r>
      <w:r>
        <w:rPr>
          <w:rFonts w:ascii="Times New Roman;serif" w:hAnsi="Times New Roman;serif"/>
          <w:b w:val="false"/>
          <w:sz w:val="22"/>
          <w:u w:val="single"/>
        </w:rPr>
        <w:t>Section 1</w:t>
      </w:r>
      <w:r>
        <w:rPr/>
        <w:t xml:space="preserve"> </w:t>
      </w:r>
      <w:r>
        <w:rPr>
          <w:rFonts w:ascii="Times New Roman;serif" w:hAnsi="Times New Roman;serif"/>
          <w:b w:val="false"/>
          <w:sz w:val="22"/>
        </w:rPr>
        <w:t xml:space="preserve">above; and (iii) your continued vesting of shares under the Equity Plans, as set forth in </w:t>
      </w:r>
      <w:r>
        <w:rPr>
          <w:rFonts w:ascii="Times New Roman;serif" w:hAnsi="Times New Roman;serif"/>
          <w:b w:val="false"/>
          <w:sz w:val="22"/>
          <w:u w:val="single"/>
        </w:rPr>
        <w:t>Section 3.2</w:t>
      </w:r>
      <w:r>
        <w:rPr/>
        <w:t xml:space="preserve"> </w:t>
      </w:r>
      <w:r>
        <w:rPr>
          <w:rFonts w:ascii="Times New Roman;serif" w:hAnsi="Times New Roman;serif"/>
          <w:b w:val="false"/>
          <w:sz w:val="22"/>
        </w:rPr>
        <w:t>of the Consulting Agreement, you agree to, on behalf of yourself and, to the extent permitted by law, on behalf of your spouse, heirs, executors, administrators, assigns, insurers, attorneys and other persons or entities, acting or purporting to act on your behalf (collectively, the “</w:t>
      </w:r>
      <w:r>
        <w:rPr>
          <w:rFonts w:ascii="Times New Roman;serif" w:hAnsi="Times New Roman;serif"/>
          <w:b w:val="false"/>
          <w:sz w:val="22"/>
          <w:u w:val="single"/>
        </w:rPr>
        <w:t>Consultant Parties</w:t>
      </w:r>
      <w:r>
        <w:rPr/>
        <w:t>”</w:t>
      </w:r>
      <w:r>
        <w:rPr>
          <w:rFonts w:ascii="Times New Roman;serif" w:hAnsi="Times New Roman;serif"/>
          <w:b w:val="false"/>
          <w:sz w:val="22"/>
        </w:rPr>
        <w:t>),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w:t>
      </w:r>
      <w:r>
        <w:rPr>
          <w:rFonts w:ascii="Times New Roman;serif" w:hAnsi="Times New Roman;serif"/>
          <w:b w:val="false"/>
          <w:sz w:val="22"/>
          <w:u w:val="single"/>
        </w:rPr>
        <w:t>Company Parties</w:t>
      </w:r>
      <w:r>
        <w:rPr/>
        <w:t>”</w:t>
      </w:r>
      <w:r>
        <w:rPr>
          <w:rFonts w:ascii="Times New Roman;serif" w:hAnsi="Times New Roman;serif"/>
          <w:b w:val="false"/>
          <w:sz w:val="22"/>
        </w:rPr>
        <w:t>)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(including, but not limited to claims under the employment agreement between you and the Company on or about August 5, 2021 (“Employment Agreement”) and/or any additional agreement that you may have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including those relating to any employment agreement Consultant may have entered into with the Company, (individually a “Claim” and collectively “</w:t>
      </w:r>
      <w:r>
        <w:rPr>
          <w:rFonts w:ascii="Times New Roman;serif" w:hAnsi="Times New Roman;serif"/>
          <w:b w:val="false"/>
          <w:sz w:val="22"/>
          <w:u w:val="single"/>
        </w:rPr>
        <w:t>Claims</w:t>
      </w:r>
      <w:r>
        <w:rPr/>
        <w:t>”</w:t>
      </w:r>
      <w:r>
        <w:rPr>
          <w:rFonts w:ascii="Times New Roman;serif" w:hAnsi="Times New Roman;serif"/>
          <w:b w:val="false"/>
          <w:sz w:val="22"/>
        </w:rPr>
        <w:t>). The Claims you are releasing and waiving in this Release Agreement include, but are not limited to, any and all Claims that any of the Company Parties:</w:t>
      </w:r>
    </w:p>
    <w:p>
      <w:pPr>
        <w:pStyle w:val="TextBody"/>
        <w:bidi w:val="0"/>
        <w:spacing w:before="0" w:after="240"/>
        <w:jc w:val="both"/>
        <w:rPr>
          <w:rFonts w:ascii="Times New Roman" w:hAnsi="Times New Roman"/>
          <w:sz w:val="20"/>
        </w:rPr>
      </w:pPr>
      <w:r>
        <w:rPr>
          <w:rFonts w:ascii="Times New Roman;serif" w:hAnsi="Times New Roman;serif"/>
          <w:b w:val="false"/>
          <w:sz w:val="26"/>
        </w:rPr>
        <w:t xml:space="preserve"> </w:t>
      </w:r>
      <w:r>
        <w:rPr>
          <w:rFonts w:ascii="Times New Roman;serif" w:hAnsi="Times New Roman;serif"/>
          <w:b w:val="false"/>
          <w:sz w:val="22"/>
        </w:rPr>
        <w:t>has violated its personnel policies, handbooks, contracts of employment, or covenants of good faith and fair dealing;</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 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the Pennsylvania Fair Employment Practices Act, all as amended, and any and all other federal, state or local laws, rules, regulations, constitutions, ordinances or public policies, whether known or unknown, prohibiting employment discrimination;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 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the Pennsylvania Parental and Family Leave Act, all as amended, and any and all other federal, state or local laws, rules, regulations, constitutions, ordinances or public policies, whether known or unknown relating to employment laws, such as veterans’ reemployment rights laws;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 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pStyle w:val="TextBody"/>
        <w:bidi w:val="0"/>
        <w:spacing w:before="0" w:after="240"/>
        <w:jc w:val="both"/>
        <w:rPr>
          <w:rFonts w:ascii="Times New Roman" w:hAnsi="Times New Roman"/>
          <w:sz w:val="20"/>
        </w:rPr>
      </w:pPr>
      <w:r>
        <w:rPr>
          <w:rFonts w:ascii="Times New Roman;serif" w:hAnsi="Times New Roman;serif"/>
          <w:b w:val="false"/>
          <w:sz w:val="22"/>
        </w:rPr>
        <w:t>Notwithstanding the foregoing, other than events expressly contemplated by this Release Agreement You do not waive or release rights or Claims that may arise from events that occur after the date this waiver is executed or your right to enforce this Release Agreement or the Consulting Agreement. Also excluded from this Release Agreement are (i) any Claims which cannot be waived by law, including, without</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limitation, any rights you may have under applicable workers’ compensation laws and your right, if applicable, to file or participate in an investigative proceeding of any federal, state or local governmental agency, (ii) any lawsuit brought to challenge the validity of this Release under ADEA, (iii) payments or benefits under the Consulting Agreement, including continued vesting and exercisability of equity awards, which were provided in exchange for this Release, (iv) any claims for indemnification arising under any applicable indemnification obligation of the Company or its affiliates, (v) vested benefits under any employee benefit plan and (vi) any rights to payments pursuant to any vested option, restricted stock unit or other vested equity compensation award.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w:t>
      </w:r>
      <w:r>
        <w:rPr>
          <w:rFonts w:ascii="Times New Roman;serif" w:hAnsi="Times New Roman;serif"/>
          <w:b w:val="false"/>
          <w:sz w:val="22"/>
          <w:u w:val="single"/>
        </w:rPr>
        <w:t>Government Agencies</w:t>
      </w:r>
      <w:r>
        <w:rPr>
          <w:rFonts w:ascii="Times New Roman" w:hAnsi="Times New Roman"/>
          <w:sz w:val="20"/>
        </w:rPr>
        <w:t>”</w:t>
      </w:r>
      <w:r>
        <w:rPr>
          <w:rFonts w:ascii="Times New Roman;serif" w:hAnsi="Times New Roman;serif"/>
          <w:b w:val="false"/>
          <w:sz w:val="22"/>
        </w:rPr>
        <w:t>), or exercising any rights pursuant to Section 7 of the National Labor Relations Act. You further understand this Release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Release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Release Agreement does not abrogate your existing rights under any Company benefit plan or any plan or agreement related to equity ownership in the Company; however, it does waive, release and forever discharge Claims existing as of the date you execute this Release Agreement pursuant to any such plan or agreement.</w:t>
      </w:r>
    </w:p>
    <w:p>
      <w:pPr>
        <w:pStyle w:val="TextBody"/>
        <w:bidi w:val="0"/>
        <w:spacing w:before="0" w:after="240"/>
        <w:jc w:val="both"/>
        <w:rPr>
          <w:rFonts w:ascii="Times New Roman" w:hAnsi="Times New Roman"/>
          <w:b/>
          <w:sz w:val="22"/>
        </w:rPr>
      </w:pPr>
      <w:r>
        <w:rPr>
          <w:rFonts w:ascii="Times New Roman" w:hAnsi="Times New Roman"/>
          <w:b/>
          <w:sz w:val="22"/>
        </w:rPr>
        <w:t>3.</w:t>
      </w:r>
    </w:p>
    <w:p>
      <w:pPr>
        <w:pStyle w:val="TextBody"/>
        <w:bidi w:val="0"/>
        <w:spacing w:before="0" w:after="240"/>
        <w:jc w:val="both"/>
        <w:rPr/>
      </w:pPr>
      <w:r>
        <w:rPr>
          <w:rFonts w:ascii="Times New Roman;serif" w:hAnsi="Times New Roman;serif"/>
          <w:b/>
          <w:smallCaps/>
          <w:sz w:val="22"/>
        </w:rPr>
        <w:t>Your Acknowledgments and Affirmations; Effective Date of Release Agreement</w:t>
      </w:r>
      <w:r>
        <w:rPr>
          <w:rFonts w:ascii="Times New Roman;serif" w:hAnsi="Times New Roman;serif"/>
          <w:b/>
          <w:sz w:val="22"/>
        </w:rPr>
        <w:t xml:space="preserve">. </w:t>
      </w:r>
      <w:r>
        <w:rPr>
          <w:rFonts w:ascii="Times New Roman;serif" w:hAnsi="Times New Roman;serif"/>
          <w:b w:val="false"/>
          <w:sz w:val="22"/>
        </w:rPr>
        <w:t xml:space="preserve">You acknowledge that you are knowingly and voluntarily waiving and releasing any and all rights you have under the ADEA, as amended. You also acknowledge and agree that (i) the consideration given to you in exchange for the waiver and release in this Agreement is above and beyond any wages or salary or other sums to which you are entitled from the Company under the terms of your employment with the Company or under any other contract or law,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Release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Release Agreement; (b) you have been advised hereby that you have the right to consult with an attorney prior to executing this Release Agreement; (c) you have been given a period of at least twenty-one (21) days to consider this Release Agreement; (d) you have seven (7) days following your execution of this Release Agreement to revoke this Release Agreement; and (e) this Release Agreement shall not be effective until the date upon which the revocation period has expired unexercised (the "Effective Date"), which shall be the eighth day after this Agreement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is executed by you. Failure to execute this Release Agreement on the Effective Date will render this Release Agreement null and void. If you revoke this Release Agreement, this Release Agreement shall become null and void and the Company may terminate the Consulting Services Agreement immediately.</w:t>
      </w:r>
    </w:p>
    <w:p>
      <w:pPr>
        <w:pStyle w:val="TextBody"/>
        <w:bidi w:val="0"/>
        <w:spacing w:before="0" w:after="0"/>
        <w:jc w:val="both"/>
        <w:rPr>
          <w:rFonts w:ascii="Times New Roman" w:hAnsi="Times New Roman"/>
          <w:b/>
          <w:sz w:val="22"/>
        </w:rPr>
      </w:pPr>
      <w:r>
        <w:rPr>
          <w:rFonts w:ascii="Times New Roman" w:hAnsi="Times New Roman"/>
          <w:b/>
          <w:sz w:val="22"/>
        </w:rPr>
        <w:t>4.</w:t>
      </w:r>
    </w:p>
    <w:p>
      <w:pPr>
        <w:pStyle w:val="TextBody"/>
        <w:bidi w:val="0"/>
        <w:jc w:val="both"/>
        <w:rPr/>
      </w:pPr>
      <w:r>
        <w:rPr>
          <w:rFonts w:ascii="Times New Roman;serif" w:hAnsi="Times New Roman;serif"/>
          <w:b/>
          <w:smallCaps/>
          <w:sz w:val="22"/>
        </w:rPr>
        <w:t>Miscellaneous</w:t>
      </w:r>
      <w:r>
        <w:rPr>
          <w:rFonts w:ascii="Times New Roman;serif" w:hAnsi="Times New Roman;serif"/>
          <w:b w:val="false"/>
          <w:sz w:val="22"/>
        </w:rPr>
        <w:t xml:space="preserve">. This Release Agreement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Release Agreement may not be modified or amended except in a writing signed by both you and a duly authorized officer of the Company. This Release Agreement will bind the heirs, personal representatives, successors and assigns of both you and the Company, and inure to the benefit of both you and the Company, their heirs, successors and assigns. If any provision of this </w:t>
      </w:r>
      <w:r>
        <w:rPr>
          <w:rFonts w:ascii="Cambria;serif" w:hAnsi="Cambria;serif"/>
          <w:b w:val="false"/>
          <w:sz w:val="22"/>
        </w:rPr>
        <w:t xml:space="preserve">Release </w:t>
      </w:r>
      <w:r>
        <w:rPr>
          <w:rFonts w:ascii="Times New Roman;serif" w:hAnsi="Times New Roman;serif"/>
          <w:b w:val="false"/>
          <w:sz w:val="22"/>
        </w:rPr>
        <w:t xml:space="preserve">Agreement is determined to be invalid or unenforceable, in whole or in part, this determination will not affect any other provision of this </w:t>
      </w:r>
      <w:r>
        <w:rPr>
          <w:rFonts w:ascii="Cambria;serif" w:hAnsi="Cambria;serif"/>
          <w:b w:val="false"/>
          <w:sz w:val="22"/>
        </w:rPr>
        <w:t xml:space="preserve">Release </w:t>
      </w:r>
      <w:r>
        <w:rPr>
          <w:rFonts w:ascii="Times New Roman;serif" w:hAnsi="Times New Roman;serif"/>
          <w:b w:val="false"/>
          <w:sz w:val="22"/>
        </w:rPr>
        <w:t xml:space="preserve">Agreement and the provision in question will be modified by the court so as to be rendered enforceable. This </w:t>
      </w:r>
      <w:r>
        <w:rPr>
          <w:rFonts w:ascii="Cambria;serif" w:hAnsi="Cambria;serif"/>
          <w:b w:val="false"/>
          <w:sz w:val="22"/>
        </w:rPr>
        <w:t xml:space="preserve">Release </w:t>
      </w:r>
      <w:r>
        <w:rPr>
          <w:rFonts w:ascii="Times New Roman;serif" w:hAnsi="Times New Roman;serif"/>
          <w:b w:val="false"/>
          <w:sz w:val="22"/>
        </w:rPr>
        <w:t>Agreement will be deemed to have been entered into and will be construed and enforced in accordance with the laws of the State of Pennsylvania.</w:t>
      </w:r>
    </w:p>
    <w:p>
      <w:pPr>
        <w:pStyle w:val="TextBody"/>
        <w:bidi w:val="0"/>
        <w:spacing w:before="0" w:after="0"/>
        <w:jc w:val="both"/>
        <w:rPr/>
      </w:pPr>
      <w:r>
        <w:rPr/>
        <w:t> </w:t>
      </w:r>
    </w:p>
    <w:p>
      <w:pPr>
        <w:pStyle w:val="TextBody"/>
        <w:bidi w:val="0"/>
        <w:spacing w:before="0" w:after="240"/>
        <w:jc w:val="both"/>
        <w:rPr>
          <w:rFonts w:ascii="Times New Roman" w:hAnsi="Times New Roman"/>
          <w:b/>
          <w:sz w:val="22"/>
        </w:rPr>
      </w:pPr>
      <w:r>
        <w:rPr>
          <w:rFonts w:ascii="Times New Roman" w:hAnsi="Times New Roman"/>
          <w:b/>
          <w:sz w:val="22"/>
        </w:rPr>
        <w:t>5.</w:t>
      </w:r>
    </w:p>
    <w:p>
      <w:pPr>
        <w:pStyle w:val="TextBody"/>
        <w:bidi w:val="0"/>
        <w:spacing w:before="0" w:after="240"/>
        <w:jc w:val="both"/>
        <w:rPr/>
      </w:pPr>
      <w:r>
        <w:rPr>
          <w:rFonts w:ascii="Times New Roman;serif" w:hAnsi="Times New Roman;serif"/>
          <w:b w:val="false"/>
          <w:sz w:val="22"/>
        </w:rPr>
        <w:t xml:space="preserve">To ensure the rapid and economical resolution of disputes that may arise in connection with your employment or engagement with the Company, you and the Company agree that any and all disputes, claims, or causes of action, in law or equity, including but not limited to statutory claims (including, but not limited to, the Massachusetts Antidiscrimination Act, Mass. Gen. Laws ch.151B and the Massachusetts Wage Act, Mass. Gen. Laws ch. 149, the Pennsylvania Fair Employment Practices Act or statutory claims under the laws of the state in which you worked for the Company), arising from or relating to the enforcement, breach, performance, or interpretation of this Release Agreement, your employment or engagement with the Company, or the termination of your employment or engagement, shall be resolved, to the fullest extent permitted by law, by final, binding and confidential arbitration conducted by JAMS or its successor, under JAMS’ then applicable rules and procedures for employment disputes (available upon request and also currently available at http://www.jamsadr.com/rules-employment-arbitration/). </w:t>
      </w:r>
      <w:r>
        <w:rPr>
          <w:rFonts w:ascii="Times New Roman;serif" w:hAnsi="Times New Roman;serif"/>
          <w:b/>
          <w:sz w:val="22"/>
        </w:rPr>
        <w:t>You acknowledge that by agreeing to this arbitration procedure, both you and the Company waive the right to resolve any such dispute through a trial by jury or judge or administrative proceeding, except nothing herein shall prevent the Company from seeking injunctive relief in a court of competent jurisdiction related to confidentiality, restrictive covenants or trade secrets or disparagement.</w:t>
      </w:r>
      <w:r>
        <w:rPr/>
        <w:t xml:space="preserve"> </w:t>
      </w:r>
      <w:r>
        <w:rPr>
          <w:rFonts w:ascii="Times New Roman;serif" w:hAnsi="Times New Roman;serif"/>
          <w:b w:val="false"/>
          <w:sz w:val="22"/>
        </w:rPr>
        <w:t>You will have the right to be represented 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Release Agreement is intended to prevent either you or the Company from obtaining injunctive relief in a court of competent jurisdiction to prevent irreparable harm pending the conclusion of any such arbitration.</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serif" w:hAnsi="Times New Roman;serif"/>
          <w:b/>
          <w:sz w:val="22"/>
        </w:rPr>
      </w:pPr>
      <w:r>
        <w:rPr>
          <w:rFonts w:ascii="Times New Roman;serif" w:hAnsi="Times New Roman;serif"/>
          <w:b/>
          <w:sz w:val="22"/>
        </w:rPr>
        <w:t>EXECUTE ON FEBRUARY 3, 2023</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BY SIGNING BELOW, YOU REPRESENT AND WARRANT THAT YOU HAVE FULL LEGAL CAPACITY TO ENTER INTO THIS RELEASE AGREEMENT, YOU HAVE CAREFULLY READ AND UNDERSTAND THIS RELEASE AGREEMENT IN ITS ENTIRETY, HAVE HAD A FULL OPPORTUNITY TO REVIEW THIS RELEASE AGREEMENT WITH AN ATTORNEY OF YOUR CHOOSING, AND HAVE EXECUTED THIS RELEASE AGREEMENT VOLUNTARILY, WITHOUT DURESS, COERCION OR UNDUE INFLUENCE.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AGREED TO AND ACCEPTED:</w:t>
      </w:r>
    </w:p>
    <w:p>
      <w:pPr>
        <w:pStyle w:val="TextBody"/>
        <w:bidi w:val="0"/>
        <w:spacing w:before="0" w:after="240"/>
        <w:jc w:val="both"/>
        <w:rPr>
          <w:rFonts w:ascii="Times New Roman" w:hAnsi="Times New Roman"/>
          <w:sz w:val="20"/>
        </w:rPr>
      </w:pPr>
      <w:r>
        <w:rPr>
          <w:rFonts w:ascii="Times New Roman;serif" w:hAnsi="Times New Roman;serif"/>
          <w:b w:val="false"/>
          <w:sz w:val="22"/>
          <w:u w:val="single"/>
        </w:rPr>
        <w:t>/s/ Rebecca Dabora</w:t>
      </w:r>
      <w:r>
        <w:rPr>
          <w:rFonts w:ascii="Times New Roman;serif" w:hAnsi="Times New Roman;serif"/>
          <w:b w:val="false"/>
          <w:sz w:val="22"/>
        </w:rPr>
        <w:t>_________________________</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Name: Rebecca Dabora</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Date: 2/3/2023</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6" w:name="ivvd-ex10_3.htm"/>
      <w:bookmarkStart w:id="27" w:name="ksivvdex10_3"/>
      <w:bookmarkEnd w:id="26"/>
      <w:bookmarkEnd w:id="27"/>
      <w:r>
        <w:rPr>
          <w:rFonts w:ascii="Times New Roman;serif" w:hAnsi="Times New Roman;serif"/>
          <w:b/>
          <w:sz w:val="20"/>
        </w:rPr>
        <w:t>Exhibit 10.3</w:t>
      </w:r>
      <w:r>
        <w:br w:type="page"/>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Invivyd, Inc.</w:t>
      </w:r>
    </w:p>
    <w:p>
      <w:pPr>
        <w:pStyle w:val="TextBody"/>
        <w:bidi w:val="0"/>
        <w:spacing w:before="0" w:after="0"/>
        <w:jc w:val="center"/>
        <w:rPr/>
      </w:pPr>
      <w:r>
        <w:rPr/>
        <w:t> </w:t>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Non-Employee Director Compensation Policy</w:t>
      </w:r>
    </w:p>
    <w:p>
      <w:pPr>
        <w:pStyle w:val="TextBody"/>
        <w:bidi w:val="0"/>
        <w:spacing w:before="0" w:after="0"/>
        <w:jc w:val="center"/>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4"/>
        </w:rPr>
        <w:t>Each member of the Board of Directors (the “</w:t>
      </w:r>
      <w:r>
        <w:rPr>
          <w:rFonts w:ascii="Times New Roman;serif" w:hAnsi="Times New Roman;serif"/>
          <w:b/>
          <w:i/>
          <w:sz w:val="24"/>
        </w:rPr>
        <w:t>Board</w:t>
      </w:r>
      <w:r>
        <w:rPr>
          <w:rFonts w:ascii="Times New Roman" w:hAnsi="Times New Roman"/>
          <w:sz w:val="20"/>
        </w:rPr>
        <w:t>”</w:t>
      </w:r>
      <w:r>
        <w:rPr>
          <w:rFonts w:ascii="Times New Roman;serif" w:hAnsi="Times New Roman;serif"/>
          <w:b w:val="false"/>
          <w:sz w:val="24"/>
        </w:rPr>
        <w:t>) who is not also serving as an employee of or consultant to Invivyd, Inc. (the “</w:t>
      </w:r>
      <w:r>
        <w:rPr>
          <w:rFonts w:ascii="Times New Roman;serif" w:hAnsi="Times New Roman;serif"/>
          <w:b/>
          <w:i/>
          <w:sz w:val="24"/>
        </w:rPr>
        <w:t>Company</w:t>
      </w:r>
      <w:r>
        <w:rPr>
          <w:rFonts w:ascii="Times New Roman" w:hAnsi="Times New Roman"/>
          <w:sz w:val="20"/>
        </w:rPr>
        <w:t>”</w:t>
      </w:r>
      <w:r>
        <w:rPr>
          <w:rFonts w:ascii="Times New Roman;serif" w:hAnsi="Times New Roman;serif"/>
          <w:b w:val="false"/>
          <w:sz w:val="24"/>
        </w:rPr>
        <w:t>) or any of its subsidiaries (each such member, an “</w:t>
      </w:r>
      <w:r>
        <w:rPr>
          <w:rFonts w:ascii="Times New Roman;serif" w:hAnsi="Times New Roman;serif"/>
          <w:b/>
          <w:i/>
          <w:sz w:val="24"/>
        </w:rPr>
        <w:t>Eligible Director</w:t>
      </w:r>
      <w:r>
        <w:rPr>
          <w:rFonts w:ascii="Times New Roman" w:hAnsi="Times New Roman"/>
          <w:sz w:val="20"/>
        </w:rPr>
        <w:t>”</w:t>
      </w:r>
      <w:r>
        <w:rPr>
          <w:rFonts w:ascii="Times New Roman;serif" w:hAnsi="Times New Roman;serif"/>
          <w:b w:val="false"/>
          <w:sz w:val="24"/>
        </w:rPr>
        <w:t>) will receive the compensation described in this Non-Employee Director Compensation Policy for his or her Board service. An Eligible Director may decline all or any portion of his or her compensation by giving notice to the Company prior to the date cash may be paid or equity awards are to be granted, as the case may be. This policy is effective as of the date of approval by the Board and may be amended at any time in the sole discretion of the Board.</w:t>
      </w:r>
    </w:p>
    <w:p>
      <w:pPr>
        <w:pStyle w:val="TextBody"/>
        <w:bidi w:val="0"/>
        <w:spacing w:before="0" w:after="0"/>
        <w:jc w:val="left"/>
        <w:rPr/>
      </w:pPr>
      <w:r>
        <w:rPr/>
        <w:t> </w:t>
      </w:r>
    </w:p>
    <w:p>
      <w:pPr>
        <w:pStyle w:val="TextBody"/>
        <w:bidi w:val="0"/>
        <w:spacing w:before="0" w:after="0"/>
        <w:jc w:val="both"/>
        <w:rPr>
          <w:rFonts w:ascii="Times New Roman;serif" w:hAnsi="Times New Roman;serif"/>
          <w:b/>
          <w:sz w:val="24"/>
        </w:rPr>
      </w:pPr>
      <w:r>
        <w:rPr>
          <w:rFonts w:ascii="Times New Roman;serif" w:hAnsi="Times New Roman;serif"/>
          <w:b/>
          <w:sz w:val="24"/>
        </w:rPr>
        <w:t>Annual Cash Compensation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4"/>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4"/>
        </w:rPr>
        <w:t xml:space="preserve">1. </w:t>
      </w:r>
      <w:r>
        <w:rPr>
          <w:rFonts w:ascii="Times New Roman;serif" w:hAnsi="Times New Roman;serif"/>
          <w:b w:val="false"/>
          <w:sz w:val="24"/>
          <w:u w:val="single"/>
        </w:rPr>
        <w:t>Annual Board Service Retainer</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a. All Eligible Directors: $40,000</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b. Independent Chairperson of the Board Service Retainer (in addition to Eligible Director Service Retainer): $30,000</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4"/>
        </w:rPr>
        <w:t xml:space="preserve">2. </w:t>
      </w:r>
      <w:r>
        <w:rPr>
          <w:rFonts w:ascii="Times New Roman;serif" w:hAnsi="Times New Roman;serif"/>
          <w:b w:val="false"/>
          <w:sz w:val="24"/>
          <w:u w:val="single"/>
        </w:rPr>
        <w:t>Annual Committee Chairperson Service Retainer</w:t>
      </w:r>
      <w:r>
        <w:rPr>
          <w:rFonts w:ascii="Times New Roman;serif" w:hAnsi="Times New Roman;serif"/>
          <w:b w:val="false"/>
          <w:sz w:val="24"/>
        </w:rPr>
        <w:t>:</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a. Chairperson of the Audit Committee: $15,000</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b. Chairperson of the Compensation Committee: $10,000</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c. Chairperson of the Nominating and Corporate Governance Committee: $8,000</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4"/>
        </w:rPr>
        <w:t xml:space="preserve">3. </w:t>
      </w:r>
      <w:r>
        <w:rPr>
          <w:rFonts w:ascii="Times New Roman;serif" w:hAnsi="Times New Roman;serif"/>
          <w:b w:val="false"/>
          <w:sz w:val="24"/>
          <w:u w:val="single"/>
        </w:rPr>
        <w:t>Annual Committee Member Service Retainer (not applicable to Committee Chairpersons)</w:t>
      </w:r>
      <w:r>
        <w:rPr>
          <w:rFonts w:ascii="Times New Roman;serif" w:hAnsi="Times New Roman;serif"/>
          <w:b w:val="false"/>
          <w:sz w:val="24"/>
        </w:rPr>
        <w:t>:</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a. Member of the Audit Committee: $7,500</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b. Member of the Compensation Committee: $5,000</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c. Member of the Nominating and Corporate Governance Committee: $4,000</w:t>
      </w:r>
    </w:p>
    <w:p>
      <w:pPr>
        <w:pStyle w:val="TextBody"/>
        <w:bidi w:val="0"/>
        <w:spacing w:before="0" w:after="0"/>
        <w:jc w:val="left"/>
        <w:rPr/>
      </w:pPr>
      <w:r>
        <w:rPr/>
        <w:t> </w:t>
      </w:r>
    </w:p>
    <w:p>
      <w:pPr>
        <w:pStyle w:val="TextBody"/>
        <w:bidi w:val="0"/>
        <w:spacing w:before="0" w:after="0"/>
        <w:jc w:val="both"/>
        <w:rPr>
          <w:rFonts w:ascii="Times New Roman;serif" w:hAnsi="Times New Roman;serif"/>
          <w:b/>
          <w:sz w:val="24"/>
        </w:rPr>
      </w:pPr>
      <w:r>
        <w:rPr>
          <w:rFonts w:ascii="Times New Roman;serif" w:hAnsi="Times New Roman;serif"/>
          <w:b/>
          <w:sz w:val="24"/>
        </w:rPr>
        <w:t>Expenses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The Company will reimburse Eligible Directors for ordinary, necessary and reasonable out-of-pocket travel expenses to cover in-person attendance at and participation in Board and committee meetings; provided, that the Eligible Director timely submit to the Company appropriate documentation substantiating such expenses in accordance with the Company’s travel and expense policy, as in effect from time to time.</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serif" w:hAnsi="Times New Roman;serif"/>
          <w:b/>
          <w:sz w:val="24"/>
        </w:rPr>
      </w:pPr>
      <w:r>
        <w:rPr>
          <w:rFonts w:ascii="Times New Roman;serif" w:hAnsi="Times New Roman;serif"/>
          <w:b/>
          <w:sz w:val="24"/>
        </w:rPr>
        <w:t>Equity Compensation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4"/>
        </w:rPr>
        <w:t>The equity compensation set forth below will be granted under the Company’s 2021 Equity Incentive Plan (the “</w:t>
      </w:r>
      <w:r>
        <w:rPr>
          <w:rFonts w:ascii="Times New Roman;serif" w:hAnsi="Times New Roman;serif"/>
          <w:b/>
          <w:i/>
          <w:sz w:val="24"/>
        </w:rPr>
        <w:t>Plan</w:t>
      </w:r>
      <w:r>
        <w:rPr>
          <w:rFonts w:ascii="Times New Roman" w:hAnsi="Times New Roman"/>
          <w:sz w:val="20"/>
        </w:rPr>
        <w:t>”</w:t>
      </w:r>
      <w:r>
        <w:rPr>
          <w:rFonts w:ascii="Times New Roman;serif" w:hAnsi="Times New Roman;serif"/>
          <w:b w:val="false"/>
          <w:sz w:val="24"/>
        </w:rPr>
        <w:t>). All stock options granted under this policy will be nonstatutory stock options, with an exercise price per share equal to 100% of the Fair Market Value (as defined in the Plan) of the Company’s common stock (the “</w:t>
      </w:r>
      <w:r>
        <w:rPr>
          <w:rFonts w:ascii="Times New Roman;serif" w:hAnsi="Times New Roman;serif"/>
          <w:b/>
          <w:i/>
          <w:sz w:val="24"/>
        </w:rPr>
        <w:t>Common Stock</w:t>
      </w:r>
      <w:r>
        <w:rPr>
          <w:rFonts w:ascii="Times New Roman" w:hAnsi="Times New Roman"/>
          <w:sz w:val="20"/>
        </w:rPr>
        <w:t>”</w:t>
      </w:r>
      <w:r>
        <w:rPr>
          <w:rFonts w:ascii="Times New Roman;serif" w:hAnsi="Times New Roman;serif"/>
          <w:b w:val="false"/>
          <w:sz w:val="24"/>
        </w:rPr>
        <w:t>) on the date of grant, and a term of ten years from the date of grant (subject to earlier termination in connection with a termination of service as provided in the Plan).</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4"/>
        </w:rPr>
        <w:t xml:space="preserve">1. </w:t>
      </w:r>
      <w:r>
        <w:rPr>
          <w:rFonts w:ascii="Times New Roman;serif" w:hAnsi="Times New Roman;serif"/>
          <w:b w:val="false"/>
          <w:sz w:val="24"/>
          <w:u w:val="single"/>
        </w:rPr>
        <w:t>Initial Grants</w:t>
      </w:r>
      <w:r>
        <w:rPr>
          <w:rFonts w:ascii="Times New Roman;serif" w:hAnsi="Times New Roman;serif"/>
          <w:b w:val="false"/>
          <w:sz w:val="24"/>
        </w:rPr>
        <w:t>: On the date of each Eligible Director’s initial election or appointment to the Board (or, if such date is not a market trading day, the first market trading day thereafter), such Eligible Director will be automatically, and without further action by the Board or the Compensation Committee of the Board, granted a stock option to purchase 100,000 shares of Common Stock (the “</w:t>
      </w:r>
      <w:r>
        <w:rPr>
          <w:rFonts w:ascii="Times New Roman;serif" w:hAnsi="Times New Roman;serif"/>
          <w:b/>
          <w:i/>
          <w:sz w:val="24"/>
        </w:rPr>
        <w:t>Initial Grant</w:t>
      </w:r>
      <w:r>
        <w:rPr>
          <w:rFonts w:ascii="Times New Roman" w:hAnsi="Times New Roman"/>
          <w:sz w:val="20"/>
        </w:rPr>
        <w:t>”</w:t>
      </w:r>
      <w:r>
        <w:rPr>
          <w:rFonts w:ascii="Times New Roman;serif" w:hAnsi="Times New Roman;serif"/>
          <w:b w:val="false"/>
          <w:sz w:val="24"/>
        </w:rPr>
        <w:t>). The shares subject to each Initial Grant will vest over a three-year period, with one-third of the shares subject to the Initial Grant vesting on the first anniversary of the grant date and 1/36th of the shares subject to the Initial Grant vesting in equal monthly installments thereafter, such that the option is fully vested on the third anniversary of the date of grant, subject to the Eligible Director’s Continuous Service (as defined in the Plan) through each such vesting date, and will vest in full upon a Change in Control (as defined in the Plan), subject to the Eligible Director’s Continuous Service through such date.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4"/>
        </w:rPr>
        <w:t xml:space="preserve">2. </w:t>
      </w:r>
      <w:r>
        <w:rPr>
          <w:rFonts w:ascii="Times New Roman;serif" w:hAnsi="Times New Roman;serif"/>
          <w:b w:val="false"/>
          <w:sz w:val="24"/>
          <w:u w:val="single"/>
        </w:rPr>
        <w:t>Annual Grants</w:t>
      </w:r>
      <w:r>
        <w:rPr>
          <w:rFonts w:ascii="Times New Roman;serif" w:hAnsi="Times New Roman;serif"/>
          <w:b w:val="false"/>
          <w:sz w:val="24"/>
        </w:rPr>
        <w:t>: On the date of each annual stockholder meeting of the Company, each Eligible Director who continues to serve as a non-employee member of the Board following such stockholder meeting (excluding any Eligible Director who is first appointed or elected by the Board at such meeting) will be automatically, and without further action by the Board or the Compensation Committee of the Board, granted a stock option to purchase 50,000 shares of Common Stock (the “</w:t>
      </w:r>
      <w:r>
        <w:rPr>
          <w:rFonts w:ascii="Times New Roman;serif" w:hAnsi="Times New Roman;serif"/>
          <w:b/>
          <w:i/>
          <w:sz w:val="24"/>
        </w:rPr>
        <w:t>Annual Grant</w:t>
      </w:r>
      <w:r>
        <w:rPr>
          <w:rFonts w:ascii="Times New Roman" w:hAnsi="Times New Roman"/>
          <w:sz w:val="20"/>
        </w:rPr>
        <w:t>”</w:t>
      </w:r>
      <w:r>
        <w:rPr>
          <w:rFonts w:ascii="Times New Roman;serif" w:hAnsi="Times New Roman;serif"/>
          <w:b w:val="false"/>
          <w:sz w:val="24"/>
        </w:rPr>
        <w:t>). The shares subject to the Annual Grant will vest in full on the first anniversary of the date of grant, subject to the Eligible Director’s Continuous Service through such vesting date; provided, that the Annual Grant will in any case be fully vested on the date of Company’s next annual stockholder meeting, subject to the Eligible Director’s Continuous Service through such vesting date; provided, further, that the Annual Grant will vest in full upon a Change in Control, subject to the Eligible Director’s Continuous Service through such date. With respect to an Eligible Director who was first elected or appointed to the Board on a date other than the date of the Company’s annual stockholder meeting, upon the Company’s first annual stockholder meeting following such Eligible Director’s first joining the Board, such Eligible Director’s first Annual Grant will be pro-rated to reflect the time between such Eligible Director’s election or appointment date and the date of such first annual stockholder meeting.</w:t>
      </w:r>
    </w:p>
    <w:p>
      <w:pPr>
        <w:pStyle w:val="TextBody"/>
        <w:bidi w:val="0"/>
        <w:spacing w:before="0" w:after="0"/>
        <w:jc w:val="both"/>
        <w:rPr/>
      </w:pPr>
      <w:r>
        <w:rPr/>
        <w:t> </w:t>
      </w:r>
    </w:p>
    <w:p>
      <w:pPr>
        <w:pStyle w:val="TextBody"/>
        <w:bidi w:val="0"/>
        <w:spacing w:before="0" w:after="240"/>
        <w:jc w:val="both"/>
        <w:rPr>
          <w:rFonts w:ascii="Times New Roman;serif" w:hAnsi="Times New Roman;serif"/>
          <w:b/>
          <w:sz w:val="24"/>
        </w:rPr>
      </w:pPr>
      <w:r>
        <w:rPr>
          <w:rFonts w:ascii="Times New Roman;serif" w:hAnsi="Times New Roman;serif"/>
          <w:b/>
          <w:sz w:val="24"/>
        </w:rPr>
        <w:t>Non-Employee Director Compensation Limit</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Notwithstanding the foregoing, the aggregate value of all compensation granted or paid, as applicable, to any individual for service as a Non-Employee Director (as defined in the Plan) shall in no event exceed the limits set forth in Section 3(d) of the Plan.</w:t>
      </w:r>
    </w:p>
    <w:p>
      <w:pPr>
        <w:pStyle w:val="TextBody"/>
        <w:bidi w:val="0"/>
        <w:spacing w:before="0" w:after="0"/>
        <w:jc w:val="both"/>
        <w:rPr/>
      </w:pPr>
      <w:r>
        <w:rPr/>
        <w:t> </w:t>
      </w:r>
    </w:p>
    <w:p>
      <w:pPr>
        <w:pStyle w:val="TextBody"/>
        <w:bidi w:val="0"/>
        <w:spacing w:before="0" w:after="0"/>
        <w:jc w:val="left"/>
        <w:rPr>
          <w:rFonts w:ascii="Times New Roman;serif" w:hAnsi="Times New Roman;serif"/>
          <w:b w:val="false"/>
          <w:i/>
          <w:sz w:val="24"/>
        </w:rPr>
      </w:pPr>
      <w:r>
        <w:rPr>
          <w:rFonts w:ascii="Times New Roman;serif" w:hAnsi="Times New Roman;serif"/>
          <w:b w:val="false"/>
          <w:i/>
          <w:sz w:val="24"/>
        </w:rPr>
        <w:t>Approved by the Board: March 29, 2023</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8" w:name="ivvd-ex31_1.htm"/>
      <w:bookmarkStart w:id="29" w:name="ksivvdex31_1"/>
      <w:bookmarkEnd w:id="28"/>
      <w:bookmarkEnd w:id="29"/>
      <w:r>
        <w:rPr>
          <w:rFonts w:ascii="Times New Roman;serif" w:hAnsi="Times New Roman;serif"/>
          <w:b/>
          <w:sz w:val="20"/>
        </w:rPr>
        <w:t>Exhibit 31.1</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David Hering,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Invivyd,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829" w:type="dxa"/>
        <w:jc w:val="left"/>
        <w:tblInd w:w="0" w:type="dxa"/>
        <w:tblLayout w:type="fixed"/>
        <w:tblCellMar>
          <w:top w:w="28" w:type="dxa"/>
          <w:left w:w="28" w:type="dxa"/>
          <w:bottom w:w="28" w:type="dxa"/>
          <w:right w:w="28" w:type="dxa"/>
        </w:tblCellMar>
      </w:tblPr>
      <w:tblGrid>
        <w:gridCol w:w="1741"/>
        <w:gridCol w:w="146"/>
        <w:gridCol w:w="406"/>
        <w:gridCol w:w="253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David Hering, M.B.A.</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David Hering, M.B.A.</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5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(Principal Executive Officer)</w:t>
            </w:r>
          </w:p>
        </w:tc>
      </w:tr>
    </w:tbl>
    <w:p>
      <w:pPr>
        <w:pStyle w:val="TextBody"/>
        <w:bidi w:val="0"/>
        <w:spacing w:before="24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0" w:name="ivvd-ex31_2.htm"/>
      <w:bookmarkStart w:id="31" w:name="ksivvdex31_2"/>
      <w:bookmarkEnd w:id="30"/>
      <w:bookmarkEnd w:id="31"/>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Frederick W. Driscoll,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Invivyd,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7634" w:type="dxa"/>
        <w:jc w:val="left"/>
        <w:tblInd w:w="0" w:type="dxa"/>
        <w:tblLayout w:type="fixed"/>
        <w:tblCellMar>
          <w:top w:w="28" w:type="dxa"/>
          <w:left w:w="28" w:type="dxa"/>
          <w:bottom w:w="28" w:type="dxa"/>
          <w:right w:w="28" w:type="dxa"/>
        </w:tblCellMar>
      </w:tblPr>
      <w:tblGrid>
        <w:gridCol w:w="1741"/>
        <w:gridCol w:w="146"/>
        <w:gridCol w:w="406"/>
        <w:gridCol w:w="534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3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Frederick W. Driscoll</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Frederick W. Driscoll</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3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Interim 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2" w:name="ivvd-ex32_1.htm"/>
      <w:bookmarkStart w:id="33" w:name="ksivvdex32_1"/>
      <w:bookmarkEnd w:id="32"/>
      <w:bookmarkEnd w:id="33"/>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Invivyd, Inc. (the “Company”) on Form 10-Q for the period ended March 31, 2023 as filed with the Securities and Exchange Commission on the date hereof (the “Report”), I certify, pursuant to 18 U.S.C. § 1350, as adopted pursuant to § 906 of the Sarbanes-Oxley Act of 2002, that, to my knowledge:</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4829" w:type="dxa"/>
        <w:jc w:val="left"/>
        <w:tblInd w:w="0" w:type="dxa"/>
        <w:tblLayout w:type="fixed"/>
        <w:tblCellMar>
          <w:top w:w="28" w:type="dxa"/>
          <w:left w:w="28" w:type="dxa"/>
          <w:bottom w:w="28" w:type="dxa"/>
          <w:right w:w="28" w:type="dxa"/>
        </w:tblCellMar>
      </w:tblPr>
      <w:tblGrid>
        <w:gridCol w:w="1741"/>
        <w:gridCol w:w="146"/>
        <w:gridCol w:w="406"/>
        <w:gridCol w:w="253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David Hering, M.B.A.</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David Hering, M.B.A.</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5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(Principal Executive Officer)</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4" w:name="ivvd-ex32_2.htm"/>
      <w:bookmarkStart w:id="35" w:name="ksivvdex32_2"/>
      <w:bookmarkEnd w:id="34"/>
      <w:bookmarkEnd w:id="35"/>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Invivyd, Inc. (the “Company”) on Form 10-Q for the period ended March 31, 2023 as filed with the Securities and Exchange Commission on the date hereof (the “Report”), I certify, pursuant to 18 U.S.C. § 1350, as adopted pursuant to § 906 of the Sarbanes-Oxley Act of 2002, that, to my knowledge:</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7634" w:type="dxa"/>
        <w:jc w:val="left"/>
        <w:tblInd w:w="0" w:type="dxa"/>
        <w:tblLayout w:type="fixed"/>
        <w:tblCellMar>
          <w:top w:w="28" w:type="dxa"/>
          <w:left w:w="28" w:type="dxa"/>
          <w:bottom w:w="28" w:type="dxa"/>
          <w:right w:w="28" w:type="dxa"/>
        </w:tblCellMar>
      </w:tblPr>
      <w:tblGrid>
        <w:gridCol w:w="1741"/>
        <w:gridCol w:w="146"/>
        <w:gridCol w:w="406"/>
        <w:gridCol w:w="534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3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Frederick W. Driscoll</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Frederick W. Driscoll</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3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Interim 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2038/000119312521242044/d211424dex31.htm" TargetMode="External"/><Relationship Id="rId3" Type="http://schemas.openxmlformats.org/officeDocument/2006/relationships/hyperlink" Target="https://www.sec.gov/Archives/edgar/data/1832038/000119312522243285/d388436dex31.htm" TargetMode="External"/><Relationship Id="rId4" Type="http://schemas.openxmlformats.org/officeDocument/2006/relationships/hyperlink" Target="https://www.sec.gov/Archives/edgar/data/1832038/000119312522243285/d388436dex32.htm" TargetMode="External"/><Relationship Id="rId5" Type="http://schemas.openxmlformats.org/officeDocument/2006/relationships/hyperlink" Target="https://www.sec.gov/Archives/edgar/data/1832038/000119312522253372/d392092dex33.htm" TargetMode="External"/><Relationship Id="rId6" Type="http://schemas.openxmlformats.org/officeDocument/2006/relationships/hyperlink" Target="https://www.sec.gov/Archives/edgar/data/1832038/000119312522253372/d392092dex33.htm" TargetMode="External"/><Relationship Id="rId7" Type="http://schemas.openxmlformats.org/officeDocument/2006/relationships/hyperlink" Target="https://www.sec.gov/Archives/edgar/data/1832038/000095017023009516/ivvd-ex10_16.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34765</Words>
  <Characters>194186</Characters>
  <CharactersWithSpaces>229442</CharactersWithSpaces>
  <Paragraphs>4080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