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Duke William 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209 CHURCH STREET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01/29/2026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06510</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01/29/2026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625,000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01/28/2036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625,000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625,000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20"/>
        <w:spacing w:after="0" w:line="24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over a three-year period, with 1/36th of the shares subject to the option vesting in substantially equal monthly installments measured from one month following the grant date of January 29, 2026, subject to the Reporting Person's continuous service as of each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Jill Andersen attorney-in-fact </w:t>
      </w:r>
      <w:r>
        <w:rPr>
          <w:rFonts w:ascii="Times New Roman" w:cs="Times New Roman" w:eastAsia="Times New Roman" w:hAnsi="Times New Roman"/>
          <w:sz w:val="31"/>
          <w:szCs w:val="31"/>
          <w:color w:val="0000FF"/>
          <w:vertAlign w:val="subscript"/>
        </w:rPr>
        <w:t>01/30/2026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William E. Duke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858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6135"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2026-01-30T16:46:29Z</dcterms:created>
  <dcterms:modified xsi:type="dcterms:W3CDTF">2026-01-30T16:46:29Z</dcterms:modified>
</cp:coreProperties>
</file>